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F6C44" w:rsidRPr="006F7D35" w:rsidRDefault="00CF6C44">
      <w:pPr>
        <w:pStyle w:val="Title"/>
      </w:pPr>
      <w:bookmarkStart w:id="0" w:name="_7s127tuoya20" w:colFirst="0" w:colLast="0"/>
      <w:bookmarkEnd w:id="0"/>
    </w:p>
    <w:p w14:paraId="00000002" w14:textId="77777777" w:rsidR="00CF6C44" w:rsidRPr="006F7D35" w:rsidRDefault="00CF6C44">
      <w:pPr>
        <w:pStyle w:val="Title"/>
      </w:pPr>
      <w:bookmarkStart w:id="1" w:name="_hosv88j8ux7a" w:colFirst="0" w:colLast="0"/>
      <w:bookmarkEnd w:id="1"/>
    </w:p>
    <w:p w14:paraId="00000003" w14:textId="77777777" w:rsidR="00CF6C44" w:rsidRPr="006F7D35" w:rsidRDefault="00CF6C44">
      <w:pPr>
        <w:pStyle w:val="Title"/>
      </w:pPr>
      <w:bookmarkStart w:id="2" w:name="_ktd1b5tut47h" w:colFirst="0" w:colLast="0"/>
      <w:bookmarkEnd w:id="2"/>
    </w:p>
    <w:p w14:paraId="00000004" w14:textId="77777777" w:rsidR="00CF6C44" w:rsidRPr="006F7D35" w:rsidRDefault="00CF6C44">
      <w:pPr>
        <w:pStyle w:val="Title"/>
      </w:pPr>
      <w:bookmarkStart w:id="3" w:name="_evq65kkhi8dg" w:colFirst="0" w:colLast="0"/>
      <w:bookmarkEnd w:id="3"/>
    </w:p>
    <w:p w14:paraId="00000005" w14:textId="77777777" w:rsidR="00CF6C44" w:rsidRPr="006F7D35" w:rsidRDefault="00CF6C44">
      <w:pPr>
        <w:pStyle w:val="Title"/>
      </w:pPr>
      <w:bookmarkStart w:id="4" w:name="_95jlmj4d725p" w:colFirst="0" w:colLast="0"/>
      <w:bookmarkEnd w:id="4"/>
    </w:p>
    <w:p w14:paraId="00000006" w14:textId="77777777" w:rsidR="00CF6C44" w:rsidRPr="006F7D35" w:rsidRDefault="00CF6C44">
      <w:pPr>
        <w:pStyle w:val="Title"/>
      </w:pPr>
      <w:bookmarkStart w:id="5" w:name="_k7defhxk16kq" w:colFirst="0" w:colLast="0"/>
      <w:bookmarkEnd w:id="5"/>
    </w:p>
    <w:p w14:paraId="00000007" w14:textId="77777777" w:rsidR="00CF6C44" w:rsidRPr="006F7D35" w:rsidRDefault="00CF6C44">
      <w:pPr>
        <w:pStyle w:val="Title"/>
      </w:pPr>
      <w:bookmarkStart w:id="6" w:name="_kp7zw7utyif1" w:colFirst="0" w:colLast="0"/>
      <w:bookmarkEnd w:id="6"/>
    </w:p>
    <w:p w14:paraId="00000008" w14:textId="32894076" w:rsidR="00CF6C44" w:rsidRPr="006F7D35" w:rsidRDefault="00000000">
      <w:pPr>
        <w:pStyle w:val="Title"/>
        <w:rPr>
          <w:sz w:val="36"/>
          <w:szCs w:val="36"/>
        </w:rPr>
      </w:pPr>
      <w:bookmarkStart w:id="7" w:name="_56e32fxb2vxn" w:colFirst="0" w:colLast="0"/>
      <w:bookmarkEnd w:id="7"/>
      <w:r w:rsidRPr="006F7D35">
        <w:rPr>
          <w:sz w:val="36"/>
          <w:szCs w:val="36"/>
        </w:rPr>
        <w:t xml:space="preserve">Module </w:t>
      </w:r>
      <w:r w:rsidR="00C23550">
        <w:rPr>
          <w:sz w:val="36"/>
          <w:szCs w:val="36"/>
        </w:rPr>
        <w:t>Name</w:t>
      </w:r>
      <w:r w:rsidRPr="006F7D35">
        <w:rPr>
          <w:sz w:val="36"/>
          <w:szCs w:val="36"/>
        </w:rPr>
        <w:t>: Global Business Environment</w:t>
      </w:r>
    </w:p>
    <w:p w14:paraId="00000009" w14:textId="79DF07DB" w:rsidR="00CF6C44" w:rsidRPr="006F7D35" w:rsidRDefault="00000000">
      <w:pPr>
        <w:jc w:val="center"/>
        <w:rPr>
          <w:b/>
          <w:bCs/>
          <w:sz w:val="36"/>
          <w:szCs w:val="36"/>
        </w:rPr>
      </w:pPr>
      <w:r w:rsidRPr="006F7D35">
        <w:rPr>
          <w:b/>
          <w:bCs/>
          <w:sz w:val="36"/>
          <w:szCs w:val="36"/>
        </w:rPr>
        <w:t>Module Code:</w:t>
      </w:r>
      <w:r w:rsidR="00653C58">
        <w:rPr>
          <w:b/>
          <w:bCs/>
          <w:sz w:val="36"/>
          <w:szCs w:val="36"/>
        </w:rPr>
        <w:t xml:space="preserve"> </w:t>
      </w:r>
      <w:r w:rsidRPr="006F7D35">
        <w:rPr>
          <w:b/>
          <w:bCs/>
          <w:sz w:val="36"/>
          <w:szCs w:val="36"/>
        </w:rPr>
        <w:t>LCBB4016</w:t>
      </w:r>
    </w:p>
    <w:p w14:paraId="0000000A" w14:textId="7BB7F005" w:rsidR="00CF6C44" w:rsidRPr="006F7D35" w:rsidRDefault="00000000">
      <w:pPr>
        <w:jc w:val="center"/>
        <w:rPr>
          <w:b/>
          <w:bCs/>
          <w:sz w:val="36"/>
          <w:szCs w:val="36"/>
        </w:rPr>
      </w:pPr>
      <w:r w:rsidRPr="006F7D35">
        <w:rPr>
          <w:b/>
          <w:bCs/>
          <w:sz w:val="36"/>
          <w:szCs w:val="36"/>
        </w:rPr>
        <w:t xml:space="preserve">Student Name: </w:t>
      </w:r>
      <w:r w:rsidR="00C23550">
        <w:rPr>
          <w:b/>
          <w:bCs/>
          <w:sz w:val="36"/>
          <w:szCs w:val="36"/>
        </w:rPr>
        <w:t>Constantin-Marius Dascalescu</w:t>
      </w:r>
    </w:p>
    <w:p w14:paraId="0000000B" w14:textId="308D3162" w:rsidR="00CF6C44" w:rsidRPr="006F7D35" w:rsidRDefault="00000000">
      <w:pPr>
        <w:jc w:val="center"/>
        <w:rPr>
          <w:b/>
          <w:bCs/>
          <w:sz w:val="36"/>
          <w:szCs w:val="36"/>
        </w:rPr>
      </w:pPr>
      <w:r w:rsidRPr="006F7D35">
        <w:rPr>
          <w:b/>
          <w:bCs/>
          <w:sz w:val="36"/>
          <w:szCs w:val="36"/>
        </w:rPr>
        <w:t xml:space="preserve">Student ID: </w:t>
      </w:r>
      <w:r w:rsidR="00C23550">
        <w:rPr>
          <w:b/>
          <w:bCs/>
          <w:sz w:val="36"/>
          <w:szCs w:val="36"/>
        </w:rPr>
        <w:t>2328200</w:t>
      </w:r>
    </w:p>
    <w:p w14:paraId="198F2481" w14:textId="0C2B3B12" w:rsidR="006516F6" w:rsidRPr="00174369" w:rsidRDefault="00000000" w:rsidP="00174369">
      <w:pPr>
        <w:pStyle w:val="Title"/>
      </w:pPr>
      <w:bookmarkStart w:id="8" w:name="_rnastx2bnngx" w:colFirst="0" w:colLast="0"/>
      <w:bookmarkEnd w:id="8"/>
      <w:r w:rsidRPr="006F7D35">
        <w:rPr>
          <w:sz w:val="36"/>
          <w:szCs w:val="36"/>
        </w:rPr>
        <w:t>Component 2: Coursework Essay</w:t>
      </w:r>
      <w:bookmarkStart w:id="9" w:name="_f0p0zxzgtfx" w:colFirst="0" w:colLast="0"/>
      <w:bookmarkEnd w:id="9"/>
      <w:r w:rsidR="006516F6" w:rsidRPr="006F7D35">
        <w:br w:type="page"/>
      </w:r>
    </w:p>
    <w:sdt>
      <w:sdtPr>
        <w:rPr>
          <w:rFonts w:ascii="Times New Roman" w:eastAsia="Times New Roman" w:hAnsi="Times New Roman" w:cs="Times New Roman"/>
          <w:color w:val="auto"/>
          <w:sz w:val="24"/>
          <w:szCs w:val="24"/>
          <w:lang w:val="en-GB" w:eastAsia="en-IN"/>
        </w:rPr>
        <w:id w:val="446443451"/>
        <w:docPartObj>
          <w:docPartGallery w:val="Table of Contents"/>
          <w:docPartUnique/>
        </w:docPartObj>
      </w:sdtPr>
      <w:sdtEndPr>
        <w:rPr>
          <w:b/>
          <w:bCs/>
        </w:rPr>
      </w:sdtEndPr>
      <w:sdtContent>
        <w:p w14:paraId="23782E2D" w14:textId="672B516B" w:rsidR="006516F6" w:rsidRPr="006F7D35" w:rsidRDefault="006516F6" w:rsidP="006516F6">
          <w:pPr>
            <w:pStyle w:val="TOCHeading"/>
            <w:spacing w:line="360" w:lineRule="auto"/>
            <w:jc w:val="center"/>
            <w:rPr>
              <w:rFonts w:ascii="Times New Roman" w:hAnsi="Times New Roman" w:cs="Times New Roman"/>
              <w:b/>
              <w:bCs/>
              <w:color w:val="000000" w:themeColor="text1"/>
              <w:sz w:val="24"/>
              <w:szCs w:val="24"/>
              <w:lang w:val="en-GB"/>
            </w:rPr>
          </w:pPr>
          <w:r w:rsidRPr="006F7D35">
            <w:rPr>
              <w:rFonts w:ascii="Times New Roman" w:hAnsi="Times New Roman" w:cs="Times New Roman"/>
              <w:b/>
              <w:bCs/>
              <w:color w:val="000000" w:themeColor="text1"/>
              <w:sz w:val="24"/>
              <w:szCs w:val="24"/>
              <w:lang w:val="en-GB"/>
            </w:rPr>
            <w:t>Table of Contents</w:t>
          </w:r>
        </w:p>
        <w:p w14:paraId="59484BA2" w14:textId="752102DC" w:rsidR="0053722F" w:rsidRDefault="006516F6">
          <w:pPr>
            <w:pStyle w:val="TOC1"/>
            <w:tabs>
              <w:tab w:val="right" w:leader="dot" w:pos="9350"/>
            </w:tabs>
            <w:rPr>
              <w:rFonts w:asciiTheme="minorHAnsi" w:eastAsiaTheme="minorEastAsia" w:hAnsiTheme="minorHAnsi" w:cstheme="minorBidi"/>
              <w:noProof/>
              <w:kern w:val="2"/>
              <w:lang w:val="en-IN"/>
              <w14:ligatures w14:val="standardContextual"/>
            </w:rPr>
          </w:pPr>
          <w:r w:rsidRPr="006F7D35">
            <w:fldChar w:fldCharType="begin"/>
          </w:r>
          <w:r w:rsidRPr="006F7D35">
            <w:instrText xml:space="preserve"> TOC \o "1-3" \h \z \u </w:instrText>
          </w:r>
          <w:r w:rsidRPr="006F7D35">
            <w:fldChar w:fldCharType="separate"/>
          </w:r>
          <w:hyperlink w:anchor="_Toc215152592" w:history="1">
            <w:r w:rsidR="0053722F" w:rsidRPr="007F4805">
              <w:rPr>
                <w:rStyle w:val="Hyperlink"/>
                <w:noProof/>
              </w:rPr>
              <w:t>Introduction</w:t>
            </w:r>
            <w:r w:rsidR="0053722F">
              <w:rPr>
                <w:noProof/>
                <w:webHidden/>
              </w:rPr>
              <w:tab/>
            </w:r>
            <w:r w:rsidR="0053722F">
              <w:rPr>
                <w:noProof/>
                <w:webHidden/>
              </w:rPr>
              <w:fldChar w:fldCharType="begin"/>
            </w:r>
            <w:r w:rsidR="0053722F">
              <w:rPr>
                <w:noProof/>
                <w:webHidden/>
              </w:rPr>
              <w:instrText xml:space="preserve"> PAGEREF _Toc215152592 \h </w:instrText>
            </w:r>
            <w:r w:rsidR="0053722F">
              <w:rPr>
                <w:noProof/>
                <w:webHidden/>
              </w:rPr>
            </w:r>
            <w:r w:rsidR="0053722F">
              <w:rPr>
                <w:noProof/>
                <w:webHidden/>
              </w:rPr>
              <w:fldChar w:fldCharType="separate"/>
            </w:r>
            <w:r w:rsidR="00C23550">
              <w:rPr>
                <w:noProof/>
                <w:webHidden/>
              </w:rPr>
              <w:t>3</w:t>
            </w:r>
            <w:r w:rsidR="0053722F">
              <w:rPr>
                <w:noProof/>
                <w:webHidden/>
              </w:rPr>
              <w:fldChar w:fldCharType="end"/>
            </w:r>
          </w:hyperlink>
        </w:p>
        <w:p w14:paraId="458A7BDD" w14:textId="741A22FE" w:rsidR="0053722F" w:rsidRDefault="0053722F">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152593" w:history="1">
            <w:r w:rsidRPr="007F4805">
              <w:rPr>
                <w:rStyle w:val="Hyperlink"/>
                <w:noProof/>
              </w:rPr>
              <w:t>Body</w:t>
            </w:r>
            <w:r>
              <w:rPr>
                <w:noProof/>
                <w:webHidden/>
              </w:rPr>
              <w:tab/>
            </w:r>
            <w:r>
              <w:rPr>
                <w:noProof/>
                <w:webHidden/>
              </w:rPr>
              <w:fldChar w:fldCharType="begin"/>
            </w:r>
            <w:r>
              <w:rPr>
                <w:noProof/>
                <w:webHidden/>
              </w:rPr>
              <w:instrText xml:space="preserve"> PAGEREF _Toc215152593 \h </w:instrText>
            </w:r>
            <w:r>
              <w:rPr>
                <w:noProof/>
                <w:webHidden/>
              </w:rPr>
            </w:r>
            <w:r>
              <w:rPr>
                <w:noProof/>
                <w:webHidden/>
              </w:rPr>
              <w:fldChar w:fldCharType="separate"/>
            </w:r>
            <w:r w:rsidR="00C23550">
              <w:rPr>
                <w:noProof/>
                <w:webHidden/>
              </w:rPr>
              <w:t>4</w:t>
            </w:r>
            <w:r>
              <w:rPr>
                <w:noProof/>
                <w:webHidden/>
              </w:rPr>
              <w:fldChar w:fldCharType="end"/>
            </w:r>
          </w:hyperlink>
        </w:p>
        <w:p w14:paraId="6CBEAA58" w14:textId="6209A34F" w:rsidR="0053722F" w:rsidRDefault="0053722F">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152594" w:history="1">
            <w:r w:rsidRPr="007F4805">
              <w:rPr>
                <w:rStyle w:val="Hyperlink"/>
                <w:noProof/>
              </w:rPr>
              <w:t>Conclusion</w:t>
            </w:r>
            <w:r>
              <w:rPr>
                <w:noProof/>
                <w:webHidden/>
              </w:rPr>
              <w:tab/>
            </w:r>
            <w:r>
              <w:rPr>
                <w:noProof/>
                <w:webHidden/>
              </w:rPr>
              <w:fldChar w:fldCharType="begin"/>
            </w:r>
            <w:r>
              <w:rPr>
                <w:noProof/>
                <w:webHidden/>
              </w:rPr>
              <w:instrText xml:space="preserve"> PAGEREF _Toc215152594 \h </w:instrText>
            </w:r>
            <w:r>
              <w:rPr>
                <w:noProof/>
                <w:webHidden/>
              </w:rPr>
            </w:r>
            <w:r>
              <w:rPr>
                <w:noProof/>
                <w:webHidden/>
              </w:rPr>
              <w:fldChar w:fldCharType="separate"/>
            </w:r>
            <w:r w:rsidR="00C23550">
              <w:rPr>
                <w:noProof/>
                <w:webHidden/>
              </w:rPr>
              <w:t>7</w:t>
            </w:r>
            <w:r>
              <w:rPr>
                <w:noProof/>
                <w:webHidden/>
              </w:rPr>
              <w:fldChar w:fldCharType="end"/>
            </w:r>
          </w:hyperlink>
        </w:p>
        <w:p w14:paraId="6999E2BC" w14:textId="52327E85" w:rsidR="0053722F" w:rsidRDefault="0053722F">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152595" w:history="1">
            <w:r w:rsidRPr="007F4805">
              <w:rPr>
                <w:rStyle w:val="Hyperlink"/>
                <w:noProof/>
              </w:rPr>
              <w:t>References</w:t>
            </w:r>
            <w:r>
              <w:rPr>
                <w:noProof/>
                <w:webHidden/>
              </w:rPr>
              <w:tab/>
            </w:r>
            <w:r>
              <w:rPr>
                <w:noProof/>
                <w:webHidden/>
              </w:rPr>
              <w:fldChar w:fldCharType="begin"/>
            </w:r>
            <w:r>
              <w:rPr>
                <w:noProof/>
                <w:webHidden/>
              </w:rPr>
              <w:instrText xml:space="preserve"> PAGEREF _Toc215152595 \h </w:instrText>
            </w:r>
            <w:r>
              <w:rPr>
                <w:noProof/>
                <w:webHidden/>
              </w:rPr>
            </w:r>
            <w:r>
              <w:rPr>
                <w:noProof/>
                <w:webHidden/>
              </w:rPr>
              <w:fldChar w:fldCharType="separate"/>
            </w:r>
            <w:r w:rsidR="00C23550">
              <w:rPr>
                <w:noProof/>
                <w:webHidden/>
              </w:rPr>
              <w:t>8</w:t>
            </w:r>
            <w:r>
              <w:rPr>
                <w:noProof/>
                <w:webHidden/>
              </w:rPr>
              <w:fldChar w:fldCharType="end"/>
            </w:r>
          </w:hyperlink>
        </w:p>
        <w:p w14:paraId="5490287F" w14:textId="4F9C2E5F" w:rsidR="006516F6" w:rsidRPr="006F7D35" w:rsidRDefault="006516F6">
          <w:r w:rsidRPr="006F7D35">
            <w:rPr>
              <w:b/>
              <w:bCs/>
            </w:rPr>
            <w:fldChar w:fldCharType="end"/>
          </w:r>
        </w:p>
      </w:sdtContent>
    </w:sdt>
    <w:p w14:paraId="6E4168D4" w14:textId="2087ECAB" w:rsidR="006516F6" w:rsidRPr="006F7D35" w:rsidRDefault="006516F6">
      <w:pPr>
        <w:rPr>
          <w:b/>
          <w:bCs/>
        </w:rPr>
      </w:pPr>
    </w:p>
    <w:p w14:paraId="789A8B84" w14:textId="77777777" w:rsidR="00F47DB4" w:rsidRDefault="00F47DB4">
      <w:pPr>
        <w:rPr>
          <w:b/>
          <w:bCs/>
        </w:rPr>
      </w:pPr>
      <w:r>
        <w:br w:type="page"/>
      </w:r>
    </w:p>
    <w:p w14:paraId="00000014" w14:textId="2A39706B" w:rsidR="00CF6C44" w:rsidRPr="006F7D35" w:rsidRDefault="00000000">
      <w:pPr>
        <w:pStyle w:val="Heading1"/>
      </w:pPr>
      <w:bookmarkStart w:id="10" w:name="_Toc215152592"/>
      <w:r w:rsidRPr="006F7D35">
        <w:lastRenderedPageBreak/>
        <w:t>Introduction</w:t>
      </w:r>
      <w:bookmarkEnd w:id="10"/>
      <w:r w:rsidRPr="006F7D35">
        <w:t xml:space="preserve"> </w:t>
      </w:r>
    </w:p>
    <w:p w14:paraId="00000015" w14:textId="2A9F0961" w:rsidR="00CF6C44" w:rsidRPr="006F7D35" w:rsidRDefault="00000000">
      <w:r w:rsidRPr="006F7D35">
        <w:t xml:space="preserve">The global business sector has been driven by different forces and challenges that impacts on the business. The prime aim of the study is to evaluate the impact of the major changes in the global business and its impact on the organisation British Petroleum (BP). The organisation has operations over 60 countries across multiple continents (BP, 2025). The business operations of the brand is strong and it has become one of the largest suppliers for oil and gas. The content of the essay will include both the challenges and opportunities of the major changes occurring globally. In the present time, technical innovation has changed the parameters of the business. The impact has fallen in the oil and gas sector due to the problem of the </w:t>
      </w:r>
      <w:r w:rsidR="00287394" w:rsidRPr="006F7D35">
        <w:t>red</w:t>
      </w:r>
      <w:r w:rsidRPr="006F7D35">
        <w:t xml:space="preserve"> sea disruption. The analysis of the impact will be done along with the strategic recommendations.</w:t>
      </w:r>
      <w:r w:rsidR="00653C58">
        <w:t xml:space="preserve"> </w:t>
      </w:r>
    </w:p>
    <w:p w14:paraId="00000016" w14:textId="77777777" w:rsidR="00CF6C44" w:rsidRPr="006F7D35" w:rsidRDefault="00000000">
      <w:pPr>
        <w:pStyle w:val="Heading1"/>
      </w:pPr>
      <w:bookmarkStart w:id="11" w:name="_mf4b0ekvohg1" w:colFirst="0" w:colLast="0"/>
      <w:bookmarkEnd w:id="11"/>
      <w:r w:rsidRPr="006F7D35">
        <w:br w:type="page"/>
      </w:r>
    </w:p>
    <w:p w14:paraId="00000017" w14:textId="77777777" w:rsidR="00CF6C44" w:rsidRPr="006F7D35" w:rsidRDefault="00000000">
      <w:pPr>
        <w:pStyle w:val="Heading1"/>
      </w:pPr>
      <w:bookmarkStart w:id="12" w:name="_aeynbd73b5t7" w:colFirst="0" w:colLast="0"/>
      <w:bookmarkStart w:id="13" w:name="_Toc215152593"/>
      <w:bookmarkEnd w:id="12"/>
      <w:r w:rsidRPr="006F7D35">
        <w:lastRenderedPageBreak/>
        <w:t>Body</w:t>
      </w:r>
      <w:bookmarkEnd w:id="13"/>
      <w:r w:rsidRPr="006F7D35">
        <w:t xml:space="preserve"> </w:t>
      </w:r>
    </w:p>
    <w:p w14:paraId="00000019" w14:textId="65F25CE9" w:rsidR="00CF6C44" w:rsidRPr="006F7D35" w:rsidRDefault="00000000">
      <w:bookmarkStart w:id="14" w:name="_mh5nxdvfjo7" w:colFirst="0" w:colLast="0"/>
      <w:bookmarkEnd w:id="14"/>
      <w:r w:rsidRPr="006F7D35">
        <w:t>The current global forces that have the impact on the business are basically the innovation with AI, Red Sea disruption and the issues of China-Taiwan. The opportunities have been brought by the innovation and the integration of AI in the business. The increase of efficiency, automation process and the faster range of decision making can be done with the help of AI (Schmitt, 2023).</w:t>
      </w:r>
      <w:r w:rsidR="00653C58">
        <w:t xml:space="preserve"> </w:t>
      </w:r>
      <w:r w:rsidRPr="006F7D35">
        <w:t xml:space="preserve">The business communication and the better improvement on the overall operations of the supply chain across the orders can be initiated well. The benefits are there for the organisations in the oil and gas sector as the predictive maintenance and the optimisation works well with AI. </w:t>
      </w:r>
    </w:p>
    <w:p w14:paraId="0000001A" w14:textId="141E8335" w:rsidR="00CF6C44" w:rsidRPr="006F7D35" w:rsidRDefault="00000000">
      <w:r w:rsidRPr="006F7D35">
        <w:t>The challenges in the business have been there due to the global business force challenges based on Red Sea disruption</w:t>
      </w:r>
      <w:r w:rsidR="00653C58">
        <w:t xml:space="preserve"> </w:t>
      </w:r>
      <w:r w:rsidRPr="006F7D35">
        <w:t>and for China-Tiawan issues. The</w:t>
      </w:r>
      <w:r w:rsidR="00653C58">
        <w:t xml:space="preserve"> </w:t>
      </w:r>
      <w:r w:rsidRPr="006F7D35">
        <w:t xml:space="preserve">significant issue has been there in global trade with the Red Sea crisis. The Houthi rebels in the location of Yemen have attacked the commercial vessels on the route of Suez Canal. More than 12% of the global trade that is handled by Suez Canal and the reworking has been done for the commercial ships by Cape of Good Hope (Theguardian, 2024). It has added close to 10 days duration more for the shipment and increases the overall shipping cost. The inflationary pressure rises due to the rise of the shipment cost and on the </w:t>
      </w:r>
      <w:r w:rsidR="009329AC" w:rsidRPr="006F7D35">
        <w:t>supply,</w:t>
      </w:r>
      <w:r w:rsidRPr="006F7D35">
        <w:t xml:space="preserve"> chain issues due to the Red Sea crisis (Notteboom </w:t>
      </w:r>
      <w:r w:rsidRPr="006F7D35">
        <w:rPr>
          <w:i/>
          <w:iCs/>
        </w:rPr>
        <w:t>et al</w:t>
      </w:r>
      <w:r w:rsidRPr="006F7D35">
        <w:t xml:space="preserve">., 2024). The shipment of the oil is done by the major route of the Suez Canal from Europe to the region of North America. The rise for the cost of living and the overall crude oil is there due to the mentioned global force issues. </w:t>
      </w:r>
    </w:p>
    <w:p w14:paraId="0000001B" w14:textId="77777777" w:rsidR="00CF6C44" w:rsidRPr="006F7D35" w:rsidRDefault="00000000">
      <w:r w:rsidRPr="006F7D35">
        <w:t xml:space="preserve">The political tension in between China and Taiwan has made the dispute over the business relation and on the global trade process. The mock drill has been done by China around Taiwan and that affects the issues for the business relation. The challenges regarding the supply chain and the shortage of semiconductor manufacturing can be increased with the rise in the political tensions for the China-Taiwan conflict (Forbes, 2021). The major trade partners who are linked with the trade routes can get the block in the operations. </w:t>
      </w:r>
    </w:p>
    <w:p w14:paraId="0000001D" w14:textId="77777777" w:rsidR="00CF6C44" w:rsidRPr="006F7D35" w:rsidRDefault="00000000">
      <w:bookmarkStart w:id="15" w:name="_5o1ukuk7qxui" w:colFirst="0" w:colLast="0"/>
      <w:bookmarkEnd w:id="15"/>
      <w:r w:rsidRPr="006F7D35">
        <w:t xml:space="preserve">The present forces in the world are restructuring the operations, costs and long term plan of BP. The introduction of artificial intelligence (AI) is transforming the way the company conducts its upstream and downstream operations on its global portfolio. Refineries, pipelines and offshore platforms AI-based tools can also be used to aid predictive maintenance by minimizing unexpected shutdowns and equipment failures, which reduces the operating cost per barrel (The CEEI, 2024; </w:t>
      </w:r>
      <w:r w:rsidRPr="006F7D35">
        <w:lastRenderedPageBreak/>
        <w:t>Klover.ai, 2025). AI is also found in production planning, commodity trading and risk management, where decisions can be made in volatile oil and gas markets more quickly and using data (Palantir, 2024; Offshore Technology, 2024). These innovations increase the efficiency of operation and may increase the profitability and resilience of BP over less digitalised businesses.</w:t>
      </w:r>
    </w:p>
    <w:p w14:paraId="0000001F" w14:textId="0C7CA6FA" w:rsidR="00CF6C44" w:rsidRPr="006F7D35" w:rsidRDefault="00000000">
      <w:r w:rsidRPr="006F7D35">
        <w:t>The Red Sea disruption has, however, set up acute operational and cost pressures. Oil companies took a break on commercial shipping routes through the Red Sea and Suez Canal due to attacks and redirected tankers to the Cape of Good Hope due to security considerations (BBC News, 2024; Nasdaq, 2023). The extended routes have a lot more impact on the time of the voyage, fuel usage, charter fees and insurance premiums and make planning deliveries to Europe and North America a complicated matter (Fitch Ratings, 2024; BBC News, 2024). These are extra logistics expenses that squeeze margins and spread further oscillations in crude oil and refined products (Reuters, 2024). Constant disruption also enhances the risk of delays in supply, something that can ruin customer relationships and lower the perceived reliability of BP as a supplier (Acuity Knowledge Partners, 2025).</w:t>
      </w:r>
    </w:p>
    <w:p w14:paraId="00000020" w14:textId="77777777" w:rsidR="00CF6C44" w:rsidRPr="006F7D35" w:rsidRDefault="00000000">
      <w:r w:rsidRPr="006F7D35">
        <w:t>Further indirect risks are brought by geopolitical tension between China and Taiwan. The Taiwanese semiconductor business is at the heart of the world chip supply chains of modern chips, sensors and data centres, which are the backbone of AI and automation initiatives (Resilinc, 2023; Mueckstein, 2025). According to scenario analysis, the critical areas can encounter significant shortages and lead times of important parts in the event of a critical escalation, impacting industrial sectors globally (Resilinc, 2025; Oxford Economics, 2024). In the case of BP, it would imply additional expenses and delays in introducing AI platforms, intelligent monitoring and more sophisticated process control, slowing down the digital transformation process and reducing the anticipated efficiency (Resilinc, 2023; Klover.ai, 2025). All these forces make BP reconsider its vulnerability to chokepoints, high-risk areas and technology bottlenecks, and incorporate supply-chain resilience and digital capability more into corporate strategy (Oxford Economics, 2024; Acuity Knowledge Partners, 2025).</w:t>
      </w:r>
    </w:p>
    <w:p w14:paraId="00000022" w14:textId="77777777" w:rsidR="00CF6C44" w:rsidRPr="006F7D35" w:rsidRDefault="00000000">
      <w:bookmarkStart w:id="16" w:name="_h92mu4n24kvc" w:colFirst="0" w:colLast="0"/>
      <w:bookmarkEnd w:id="16"/>
      <w:r w:rsidRPr="006F7D35">
        <w:t xml:space="preserve">BP needs to implement a combination of strategic responses which will directly respond to these forces of the world. To start with, the company should intensify and narrow down the scope of the AI strategy and strategically maximise the operational and financial gains and manage risks. Scalability of digital twins, integrated data platforms and AI-driven optimisation of all its upstream </w:t>
      </w:r>
      <w:r w:rsidRPr="006F7D35">
        <w:lastRenderedPageBreak/>
        <w:t>and downstream assets allows BP to enhance quality of decisions and reliability through the extension and operationalisation of the five-year relationship with Palantir (Palantir, 2024; Offshore Technology, 2024). The focus on high-impact AI applications like predictive maintenance, production optimisation and emissions monitoring can create cost-saving and help achieve financial and sustainability goals (The CEEI, 2024; Klover.ai, 2025).</w:t>
      </w:r>
    </w:p>
    <w:p w14:paraId="00000023" w14:textId="77777777" w:rsidR="00CF6C44" w:rsidRPr="006F7D35" w:rsidRDefault="00000000">
      <w:r w:rsidRPr="006F7D35">
        <w:t>Second, BP ought to enhance route/supply chain resiliency due to the Red Sea crisis. Some of the measures that can be implemented in practice are to diversify exports and import routes, set up more flexible agreements with shipping partners, and incorporate scenario planning that envisages temporarily closing chokepoints such as the Red Sea and Suez Canal (BBC News, 2024; Nasdaq, 2023). Adding longer journey durations and increased insurance premium to the forward-planning would result in a decrease in the margin shocks and facilitate the preservation of dependable deliveries to the major markets (Fitch Ratings, 2024; Acuity Knowledge Partners, 2025). Third, BP should balance its portfolio strategy by investing more in oil and gas, as well as focusing on selective yet credible low-carbon investments. The recent actions to increase hydrocarbon investment and reduce the size of some renewable investments can help sustain near-term cash flows but continued focused investment in financially viable low-carbon assets can be relevant to manage transition risks and stakeholder requirements in the long run (Reuters, 2025; Earth.org, 2025; Sustainability Magazine, 2025).</w:t>
      </w:r>
    </w:p>
    <w:p w14:paraId="00000024" w14:textId="77777777" w:rsidR="00CF6C44" w:rsidRPr="006F7D35" w:rsidRDefault="00000000">
      <w:r w:rsidRPr="006F7D35">
        <w:t xml:space="preserve">The opportunities of the brand with the help of AI is there and the enhancement in the strategy with more focus can be effective in the future. The recommendation on the basis of the workforce skill development can be effective with keeping the development of innovative ideas. The process of better accessibility of the AI tools with proper sense of efficiency is effective for the growth in international business (Menzies </w:t>
      </w:r>
      <w:r w:rsidRPr="006F7D35">
        <w:rPr>
          <w:i/>
          <w:iCs/>
        </w:rPr>
        <w:t>et al</w:t>
      </w:r>
      <w:r w:rsidRPr="006F7D35">
        <w:t xml:space="preserve">., 2024). BP needs to invest in the training process to reduce any kinds of skills gaps for the employees and to be more competitive in the sector. The brand has been prominent in the aspects of corporate governance and ethics while there are several issues spotted. It needs to be solved by BP for better maintenance of the work and in keeping the evaluation of the strategic growth in the aspects of the work. </w:t>
      </w:r>
    </w:p>
    <w:p w14:paraId="00000025" w14:textId="77777777" w:rsidR="00CF6C44" w:rsidRPr="006F7D35" w:rsidRDefault="00000000">
      <w:pPr>
        <w:pStyle w:val="Heading1"/>
      </w:pPr>
      <w:bookmarkStart w:id="17" w:name="_ukk46v17aqy9" w:colFirst="0" w:colLast="0"/>
      <w:bookmarkEnd w:id="17"/>
      <w:r w:rsidRPr="006F7D35">
        <w:br w:type="page"/>
      </w:r>
    </w:p>
    <w:p w14:paraId="00000026" w14:textId="77777777" w:rsidR="00CF6C44" w:rsidRPr="006F7D35" w:rsidRDefault="00000000">
      <w:pPr>
        <w:pStyle w:val="Heading1"/>
      </w:pPr>
      <w:bookmarkStart w:id="18" w:name="_tg9htrsb9fx4" w:colFirst="0" w:colLast="0"/>
      <w:bookmarkStart w:id="19" w:name="_Toc215152594"/>
      <w:bookmarkEnd w:id="18"/>
      <w:r w:rsidRPr="006F7D35">
        <w:lastRenderedPageBreak/>
        <w:t>Conclusion</w:t>
      </w:r>
      <w:bookmarkEnd w:id="19"/>
    </w:p>
    <w:p w14:paraId="00000027" w14:textId="52E77939" w:rsidR="00CF6C44" w:rsidRPr="006F7D35" w:rsidRDefault="00000000">
      <w:r w:rsidRPr="006F7D35">
        <w:t>The influence of different global business forces changes the base of the strategic operations of the global brands. The study provides knowledge on the forces like AI innovation, China-Taiwan war and Red Sea disruption along with its effect on the global business. The impact has been there on organisation BP as AI innovation opens new ways of optimisation for the supply chain</w:t>
      </w:r>
      <w:r w:rsidR="00653C58">
        <w:t xml:space="preserve"> </w:t>
      </w:r>
      <w:r w:rsidRPr="006F7D35">
        <w:t xml:space="preserve">while the price of the trade rises due to the issues of Red Sea disruptions. The causes of the conflict between China and Taiwan </w:t>
      </w:r>
      <w:r w:rsidR="00485C43" w:rsidRPr="006F7D35">
        <w:t>have</w:t>
      </w:r>
      <w:r w:rsidRPr="006F7D35">
        <w:t xml:space="preserve"> created issues of chip supply and that is the problem for the global operations. The strategic solutions in terms of skill training and continuous investment focus are done for the future growth of BP. </w:t>
      </w:r>
      <w:r w:rsidRPr="006F7D35">
        <w:br w:type="page"/>
      </w:r>
    </w:p>
    <w:p w14:paraId="00000028" w14:textId="77777777" w:rsidR="00CF6C44" w:rsidRPr="006F7D35" w:rsidRDefault="00000000">
      <w:pPr>
        <w:pStyle w:val="Heading1"/>
        <w:rPr>
          <w:color w:val="000000"/>
          <w:sz w:val="26"/>
          <w:szCs w:val="26"/>
        </w:rPr>
      </w:pPr>
      <w:bookmarkStart w:id="20" w:name="_efwx3i6mj1qp" w:colFirst="0" w:colLast="0"/>
      <w:bookmarkStart w:id="21" w:name="_Toc215152595"/>
      <w:bookmarkEnd w:id="20"/>
      <w:r w:rsidRPr="006F7D35">
        <w:lastRenderedPageBreak/>
        <w:t>References</w:t>
      </w:r>
      <w:bookmarkEnd w:id="21"/>
    </w:p>
    <w:p w14:paraId="52A93611" w14:textId="77777777" w:rsidR="009329AC" w:rsidRPr="009329AC" w:rsidRDefault="009329AC">
      <w:pPr>
        <w:spacing w:before="240" w:after="240"/>
        <w:rPr>
          <w:color w:val="000000" w:themeColor="text1"/>
        </w:rPr>
      </w:pPr>
      <w:r w:rsidRPr="009329AC">
        <w:rPr>
          <w:color w:val="000000" w:themeColor="text1"/>
        </w:rPr>
        <w:t xml:space="preserve">Acuity Knowledge Partners (2025) </w:t>
      </w:r>
      <w:r w:rsidRPr="009329AC">
        <w:rPr>
          <w:i/>
          <w:iCs/>
          <w:color w:val="000000" w:themeColor="text1"/>
        </w:rPr>
        <w:t>Impact of the Red Sea crisis on global supply chains</w:t>
      </w:r>
      <w:r w:rsidRPr="009329AC">
        <w:rPr>
          <w:color w:val="000000" w:themeColor="text1"/>
        </w:rPr>
        <w:t>. Available at:</w:t>
      </w:r>
      <w:hyperlink r:id="rId7">
        <w:r w:rsidRPr="009329AC">
          <w:rPr>
            <w:color w:val="000000" w:themeColor="text1"/>
          </w:rPr>
          <w:t xml:space="preserve"> </w:t>
        </w:r>
      </w:hyperlink>
      <w:hyperlink r:id="rId8">
        <w:r w:rsidRPr="009329AC">
          <w:rPr>
            <w:color w:val="000000" w:themeColor="text1"/>
          </w:rPr>
          <w:t>https://www.acuitykp.com/blog/impact-of-the-red-sea-crisis-on-global-supply-chains/</w:t>
        </w:r>
      </w:hyperlink>
      <w:r w:rsidRPr="009329AC">
        <w:rPr>
          <w:color w:val="000000" w:themeColor="text1"/>
        </w:rPr>
        <w:t xml:space="preserve"> (Accessed: 26 November 2025).</w:t>
      </w:r>
    </w:p>
    <w:p w14:paraId="408C0729" w14:textId="77777777" w:rsidR="009329AC" w:rsidRPr="009329AC" w:rsidRDefault="009329AC">
      <w:pPr>
        <w:spacing w:before="240" w:after="240"/>
        <w:rPr>
          <w:color w:val="000000" w:themeColor="text1"/>
        </w:rPr>
      </w:pPr>
      <w:r w:rsidRPr="009329AC">
        <w:rPr>
          <w:color w:val="000000" w:themeColor="text1"/>
        </w:rPr>
        <w:t xml:space="preserve">BBC News (2024) </w:t>
      </w:r>
      <w:r w:rsidRPr="009329AC">
        <w:rPr>
          <w:i/>
          <w:iCs/>
          <w:color w:val="000000" w:themeColor="text1"/>
        </w:rPr>
        <w:t>What do Red Sea assaults mean for global trade?</w:t>
      </w:r>
      <w:r w:rsidRPr="009329AC">
        <w:rPr>
          <w:color w:val="000000" w:themeColor="text1"/>
        </w:rPr>
        <w:t xml:space="preserve"> 11 January. Available at:</w:t>
      </w:r>
      <w:hyperlink r:id="rId9">
        <w:r w:rsidRPr="009329AC">
          <w:rPr>
            <w:color w:val="000000" w:themeColor="text1"/>
          </w:rPr>
          <w:t xml:space="preserve"> </w:t>
        </w:r>
      </w:hyperlink>
      <w:hyperlink r:id="rId10">
        <w:r w:rsidRPr="009329AC">
          <w:rPr>
            <w:color w:val="000000" w:themeColor="text1"/>
          </w:rPr>
          <w:t>https://www.bbc.com/news/business-67759593</w:t>
        </w:r>
      </w:hyperlink>
      <w:r w:rsidRPr="009329AC">
        <w:rPr>
          <w:color w:val="000000" w:themeColor="text1"/>
        </w:rPr>
        <w:t xml:space="preserve"> (Accessed: 26 November 2025).</w:t>
      </w:r>
    </w:p>
    <w:p w14:paraId="56FB99B1" w14:textId="77777777" w:rsidR="009329AC" w:rsidRPr="009329AC" w:rsidRDefault="009329AC">
      <w:pPr>
        <w:rPr>
          <w:color w:val="000000" w:themeColor="text1"/>
          <w:highlight w:val="white"/>
        </w:rPr>
      </w:pPr>
      <w:r w:rsidRPr="009329AC">
        <w:rPr>
          <w:color w:val="000000" w:themeColor="text1"/>
          <w:highlight w:val="white"/>
        </w:rPr>
        <w:t>BP, (2025).</w:t>
      </w:r>
      <w:r w:rsidRPr="009329AC">
        <w:rPr>
          <w:i/>
          <w:iCs/>
          <w:color w:val="000000" w:themeColor="text1"/>
          <w:highlight w:val="white"/>
        </w:rPr>
        <w:t xml:space="preserve"> Who we are</w:t>
      </w:r>
      <w:r w:rsidRPr="009329AC">
        <w:rPr>
          <w:color w:val="000000" w:themeColor="text1"/>
          <w:highlight w:val="white"/>
        </w:rPr>
        <w:t xml:space="preserve"> [Online] Available at :&lt;https://www.bp.com/en/global/corporate/who-we-are.html&gt; [Accessed on: 26th November 2025]. </w:t>
      </w:r>
    </w:p>
    <w:p w14:paraId="0D44076D" w14:textId="77777777" w:rsidR="009329AC" w:rsidRPr="009329AC" w:rsidRDefault="009329AC">
      <w:pPr>
        <w:spacing w:before="240" w:after="240"/>
        <w:rPr>
          <w:color w:val="000000" w:themeColor="text1"/>
        </w:rPr>
      </w:pPr>
      <w:r w:rsidRPr="009329AC">
        <w:rPr>
          <w:color w:val="000000" w:themeColor="text1"/>
        </w:rPr>
        <w:t xml:space="preserve">Earth.org (2025) </w:t>
      </w:r>
      <w:r w:rsidRPr="009329AC">
        <w:rPr>
          <w:i/>
          <w:iCs/>
          <w:color w:val="000000" w:themeColor="text1"/>
        </w:rPr>
        <w:t>BP increases oil and gas investments, drops renewable targets</w:t>
      </w:r>
      <w:r w:rsidRPr="009329AC">
        <w:rPr>
          <w:color w:val="000000" w:themeColor="text1"/>
        </w:rPr>
        <w:t>. 26 February. Available at:</w:t>
      </w:r>
      <w:hyperlink r:id="rId11">
        <w:r w:rsidRPr="009329AC">
          <w:rPr>
            <w:color w:val="000000" w:themeColor="text1"/>
          </w:rPr>
          <w:t xml:space="preserve"> </w:t>
        </w:r>
      </w:hyperlink>
      <w:hyperlink r:id="rId12">
        <w:r w:rsidRPr="009329AC">
          <w:rPr>
            <w:color w:val="000000" w:themeColor="text1"/>
          </w:rPr>
          <w:t>https://earth.org/bp-increases-oil-and-gas-investments-drops-renewable-targets/</w:t>
        </w:r>
      </w:hyperlink>
      <w:r w:rsidRPr="009329AC">
        <w:rPr>
          <w:color w:val="000000" w:themeColor="text1"/>
        </w:rPr>
        <w:t xml:space="preserve"> (Accessed: 26 November 2025).</w:t>
      </w:r>
    </w:p>
    <w:p w14:paraId="05DD9833" w14:textId="77777777" w:rsidR="009329AC" w:rsidRPr="009329AC" w:rsidRDefault="009329AC">
      <w:pPr>
        <w:spacing w:before="240" w:after="240"/>
        <w:rPr>
          <w:color w:val="000000" w:themeColor="text1"/>
        </w:rPr>
      </w:pPr>
      <w:r w:rsidRPr="009329AC">
        <w:rPr>
          <w:color w:val="000000" w:themeColor="text1"/>
        </w:rPr>
        <w:t xml:space="preserve">Fitch Ratings (2024) </w:t>
      </w:r>
      <w:r w:rsidRPr="009329AC">
        <w:rPr>
          <w:i/>
          <w:iCs/>
          <w:color w:val="000000" w:themeColor="text1"/>
        </w:rPr>
        <w:t>Red Sea shipping disruptions keep geopolitical premium for commodities</w:t>
      </w:r>
      <w:r w:rsidRPr="009329AC">
        <w:rPr>
          <w:color w:val="000000" w:themeColor="text1"/>
        </w:rPr>
        <w:t>. 23 January. Available at:</w:t>
      </w:r>
      <w:hyperlink r:id="rId13">
        <w:r w:rsidRPr="009329AC">
          <w:rPr>
            <w:color w:val="000000" w:themeColor="text1"/>
          </w:rPr>
          <w:t xml:space="preserve"> </w:t>
        </w:r>
      </w:hyperlink>
      <w:hyperlink r:id="rId14">
        <w:r w:rsidRPr="009329AC">
          <w:rPr>
            <w:color w:val="000000" w:themeColor="text1"/>
          </w:rPr>
          <w:t>https://www.fitchratings.com/research/corporate-finance/red-sea-shipping-disruptions-keep-geopolitical-premium-for-commodities-23-01-2024</w:t>
        </w:r>
      </w:hyperlink>
      <w:r w:rsidRPr="009329AC">
        <w:rPr>
          <w:color w:val="000000" w:themeColor="text1"/>
        </w:rPr>
        <w:t xml:space="preserve"> (Accessed: 26 November 2025).</w:t>
      </w:r>
    </w:p>
    <w:p w14:paraId="21248777" w14:textId="77777777" w:rsidR="009329AC" w:rsidRPr="009329AC" w:rsidRDefault="009329AC">
      <w:pPr>
        <w:rPr>
          <w:color w:val="000000" w:themeColor="text1"/>
          <w:highlight w:val="white"/>
        </w:rPr>
      </w:pPr>
      <w:r w:rsidRPr="009329AC">
        <w:rPr>
          <w:color w:val="000000" w:themeColor="text1"/>
          <w:highlight w:val="white"/>
        </w:rPr>
        <w:t xml:space="preserve">Forbes, (2021). </w:t>
      </w:r>
      <w:r w:rsidRPr="009329AC">
        <w:rPr>
          <w:i/>
          <w:iCs/>
          <w:color w:val="000000" w:themeColor="text1"/>
          <w:highlight w:val="white"/>
        </w:rPr>
        <w:t xml:space="preserve">Why China (Probably) Won’t Go To War Over Taiwan’s Semiconductor Riches </w:t>
      </w:r>
      <w:r w:rsidRPr="009329AC">
        <w:rPr>
          <w:color w:val="000000" w:themeColor="text1"/>
          <w:highlight w:val="white"/>
        </w:rPr>
        <w:t xml:space="preserve">[Online] Available at :&lt;https://www.forbes.com/sites/georgecalhoun/2021/09/29/why-china-probably-wont-g-to-war-over-taiwans-semiconductor-riches/&gt; [Accessed on: 26th November 2025]. </w:t>
      </w:r>
    </w:p>
    <w:p w14:paraId="116D96C8" w14:textId="77777777" w:rsidR="009329AC" w:rsidRPr="009329AC" w:rsidRDefault="009329AC">
      <w:pPr>
        <w:spacing w:before="240" w:after="240"/>
        <w:rPr>
          <w:color w:val="000000" w:themeColor="text1"/>
        </w:rPr>
      </w:pPr>
      <w:r w:rsidRPr="009329AC">
        <w:rPr>
          <w:color w:val="000000" w:themeColor="text1"/>
        </w:rPr>
        <w:t xml:space="preserve">Klover.ai (2025) </w:t>
      </w:r>
      <w:r w:rsidRPr="009329AC">
        <w:rPr>
          <w:i/>
          <w:iCs/>
          <w:color w:val="000000" w:themeColor="text1"/>
        </w:rPr>
        <w:t>BP’s AI strategy: analysis of dominance in energy AI</w:t>
      </w:r>
      <w:r w:rsidRPr="009329AC">
        <w:rPr>
          <w:color w:val="000000" w:themeColor="text1"/>
        </w:rPr>
        <w:t>. 30 July. Available at:</w:t>
      </w:r>
      <w:hyperlink r:id="rId15">
        <w:r w:rsidRPr="009329AC">
          <w:rPr>
            <w:color w:val="000000" w:themeColor="text1"/>
          </w:rPr>
          <w:t xml:space="preserve"> </w:t>
        </w:r>
      </w:hyperlink>
      <w:hyperlink r:id="rId16">
        <w:r w:rsidRPr="009329AC">
          <w:rPr>
            <w:color w:val="000000" w:themeColor="text1"/>
          </w:rPr>
          <w:t>https://www.klover.ai/bp-ai-strategy-analysis-of-dominance-in-energy-ai/</w:t>
        </w:r>
      </w:hyperlink>
      <w:r w:rsidRPr="009329AC">
        <w:rPr>
          <w:color w:val="000000" w:themeColor="text1"/>
        </w:rPr>
        <w:t xml:space="preserve"> (Accessed: 26 November 2025).</w:t>
      </w:r>
    </w:p>
    <w:p w14:paraId="343E3320" w14:textId="77777777" w:rsidR="009329AC" w:rsidRPr="006F7D35" w:rsidRDefault="009329AC">
      <w:r w:rsidRPr="009329AC">
        <w:rPr>
          <w:color w:val="000000" w:themeColor="text1"/>
          <w:highlight w:val="white"/>
        </w:rPr>
        <w:t xml:space="preserve">Menzies, J., Sabert, B., Hassan, R. and Mensah, P.K., (2024). Artificial intelligence for international business: Its use, challenges, and suggestions for future research and practice. </w:t>
      </w:r>
      <w:r w:rsidRPr="009329AC">
        <w:rPr>
          <w:i/>
          <w:iCs/>
          <w:color w:val="000000" w:themeColor="text1"/>
          <w:highlight w:val="white"/>
        </w:rPr>
        <w:t>Thunderbird International Business Review</w:t>
      </w:r>
      <w:r w:rsidRPr="009329AC">
        <w:rPr>
          <w:color w:val="000000" w:themeColor="text1"/>
          <w:highlight w:val="white"/>
        </w:rPr>
        <w:t xml:space="preserve">, </w:t>
      </w:r>
      <w:r w:rsidRPr="009329AC">
        <w:rPr>
          <w:i/>
          <w:iCs/>
          <w:color w:val="000000" w:themeColor="text1"/>
          <w:highlight w:val="white"/>
        </w:rPr>
        <w:t>66</w:t>
      </w:r>
      <w:r w:rsidRPr="009329AC">
        <w:rPr>
          <w:color w:val="000000" w:themeColor="text1"/>
          <w:highlight w:val="white"/>
        </w:rPr>
        <w:t>(2), pp.185-200.</w:t>
      </w:r>
      <w:r w:rsidRPr="006F7D35">
        <w:br w:type="page"/>
      </w:r>
    </w:p>
    <w:p w14:paraId="513C1C81" w14:textId="77777777" w:rsidR="009329AC" w:rsidRPr="009329AC" w:rsidRDefault="009329AC">
      <w:pPr>
        <w:spacing w:before="240" w:after="240"/>
        <w:rPr>
          <w:color w:val="000000" w:themeColor="text1"/>
        </w:rPr>
      </w:pPr>
      <w:r w:rsidRPr="009329AC">
        <w:rPr>
          <w:color w:val="000000" w:themeColor="text1"/>
        </w:rPr>
        <w:lastRenderedPageBreak/>
        <w:t xml:space="preserve">Mueckstein, L. (2025) ‘Taiwan’s semiconductor industry and geopolitical challenges’, </w:t>
      </w:r>
      <w:r w:rsidRPr="009329AC">
        <w:rPr>
          <w:i/>
          <w:iCs/>
          <w:color w:val="000000" w:themeColor="text1"/>
        </w:rPr>
        <w:t>Marine Policy</w:t>
      </w:r>
      <w:r w:rsidRPr="009329AC">
        <w:rPr>
          <w:color w:val="000000" w:themeColor="text1"/>
        </w:rPr>
        <w:t>. Available at:</w:t>
      </w:r>
      <w:hyperlink r:id="rId17">
        <w:r w:rsidRPr="009329AC">
          <w:rPr>
            <w:color w:val="000000" w:themeColor="text1"/>
          </w:rPr>
          <w:t xml:space="preserve"> </w:t>
        </w:r>
      </w:hyperlink>
      <w:hyperlink r:id="rId18">
        <w:r w:rsidRPr="009329AC">
          <w:rPr>
            <w:color w:val="000000" w:themeColor="text1"/>
          </w:rPr>
          <w:t>https://www.sciencedirect.com/science/article/abs/pii/S0308596125000485</w:t>
        </w:r>
      </w:hyperlink>
      <w:r w:rsidRPr="009329AC">
        <w:rPr>
          <w:color w:val="000000" w:themeColor="text1"/>
        </w:rPr>
        <w:t xml:space="preserve"> (Accessed: 26 November 2025).</w:t>
      </w:r>
    </w:p>
    <w:p w14:paraId="0A1E5E74" w14:textId="77777777" w:rsidR="009329AC" w:rsidRPr="009329AC" w:rsidRDefault="009329AC">
      <w:pPr>
        <w:spacing w:before="240" w:after="240"/>
        <w:rPr>
          <w:color w:val="000000" w:themeColor="text1"/>
        </w:rPr>
      </w:pPr>
      <w:r w:rsidRPr="009329AC">
        <w:rPr>
          <w:color w:val="000000" w:themeColor="text1"/>
        </w:rPr>
        <w:t xml:space="preserve">Nasdaq (2023) </w:t>
      </w:r>
      <w:r w:rsidRPr="009329AC">
        <w:rPr>
          <w:i/>
          <w:iCs/>
          <w:color w:val="000000" w:themeColor="text1"/>
        </w:rPr>
        <w:t>BP halts Red Sea voyages amid rising geopolitical tensions</w:t>
      </w:r>
      <w:r w:rsidRPr="009329AC">
        <w:rPr>
          <w:color w:val="000000" w:themeColor="text1"/>
        </w:rPr>
        <w:t>. 18 December. Available at:</w:t>
      </w:r>
      <w:hyperlink r:id="rId19">
        <w:r w:rsidRPr="009329AC">
          <w:rPr>
            <w:color w:val="000000" w:themeColor="text1"/>
          </w:rPr>
          <w:t xml:space="preserve"> </w:t>
        </w:r>
      </w:hyperlink>
      <w:hyperlink r:id="rId20">
        <w:r w:rsidRPr="009329AC">
          <w:rPr>
            <w:color w:val="000000" w:themeColor="text1"/>
          </w:rPr>
          <w:t>https://www.nasdaq.com/articles/bp-halts-red-sea-voyages-amid-rising-geopolitical-tensions</w:t>
        </w:r>
      </w:hyperlink>
      <w:r w:rsidRPr="009329AC">
        <w:rPr>
          <w:color w:val="000000" w:themeColor="text1"/>
        </w:rPr>
        <w:t xml:space="preserve"> (Accessed: 26 November 2025).</w:t>
      </w:r>
    </w:p>
    <w:p w14:paraId="4A1A3699" w14:textId="77777777" w:rsidR="009329AC" w:rsidRPr="009329AC" w:rsidRDefault="009329AC">
      <w:pPr>
        <w:rPr>
          <w:color w:val="000000" w:themeColor="text1"/>
          <w:highlight w:val="white"/>
        </w:rPr>
      </w:pPr>
      <w:r w:rsidRPr="009329AC">
        <w:rPr>
          <w:color w:val="000000" w:themeColor="text1"/>
          <w:highlight w:val="white"/>
        </w:rPr>
        <w:t xml:space="preserve">Notteboom, T., Haralambides, H. and Cullinane, K., (2024). The Red Sea Crisis: ramifications for vessel operations, shipping networks, and maritime supply chains. </w:t>
      </w:r>
      <w:r w:rsidRPr="009329AC">
        <w:rPr>
          <w:i/>
          <w:iCs/>
          <w:color w:val="000000" w:themeColor="text1"/>
          <w:highlight w:val="white"/>
        </w:rPr>
        <w:t>Maritime Economics &amp; Logistics</w:t>
      </w:r>
      <w:r w:rsidRPr="009329AC">
        <w:rPr>
          <w:color w:val="000000" w:themeColor="text1"/>
          <w:highlight w:val="white"/>
        </w:rPr>
        <w:t xml:space="preserve">, </w:t>
      </w:r>
      <w:r w:rsidRPr="009329AC">
        <w:rPr>
          <w:i/>
          <w:iCs/>
          <w:color w:val="000000" w:themeColor="text1"/>
          <w:highlight w:val="white"/>
        </w:rPr>
        <w:t>26</w:t>
      </w:r>
      <w:r w:rsidRPr="009329AC">
        <w:rPr>
          <w:color w:val="000000" w:themeColor="text1"/>
          <w:highlight w:val="white"/>
        </w:rPr>
        <w:t>(1), pp.1-20.</w:t>
      </w:r>
    </w:p>
    <w:p w14:paraId="6AAD56BC" w14:textId="77777777" w:rsidR="009329AC" w:rsidRPr="009329AC" w:rsidRDefault="009329AC">
      <w:pPr>
        <w:spacing w:before="240" w:after="240"/>
        <w:rPr>
          <w:color w:val="000000" w:themeColor="text1"/>
        </w:rPr>
      </w:pPr>
      <w:r w:rsidRPr="009329AC">
        <w:rPr>
          <w:color w:val="000000" w:themeColor="text1"/>
        </w:rPr>
        <w:t xml:space="preserve">Offshore Technology (2024) </w:t>
      </w:r>
      <w:r w:rsidRPr="009329AC">
        <w:rPr>
          <w:i/>
          <w:iCs/>
          <w:color w:val="000000" w:themeColor="text1"/>
        </w:rPr>
        <w:t>bp extends partnership with Palantir to integrate AI capabilities</w:t>
      </w:r>
      <w:r w:rsidRPr="009329AC">
        <w:rPr>
          <w:color w:val="000000" w:themeColor="text1"/>
        </w:rPr>
        <w:t>. 9 September. Available at:</w:t>
      </w:r>
      <w:hyperlink r:id="rId21">
        <w:r w:rsidRPr="009329AC">
          <w:rPr>
            <w:color w:val="000000" w:themeColor="text1"/>
          </w:rPr>
          <w:t xml:space="preserve"> </w:t>
        </w:r>
      </w:hyperlink>
      <w:hyperlink r:id="rId22">
        <w:r w:rsidRPr="009329AC">
          <w:rPr>
            <w:color w:val="000000" w:themeColor="text1"/>
          </w:rPr>
          <w:t>https://www.offshore-technology.com/news/bp-extends-partnership-with-palantir/</w:t>
        </w:r>
      </w:hyperlink>
      <w:r w:rsidRPr="009329AC">
        <w:rPr>
          <w:color w:val="000000" w:themeColor="text1"/>
        </w:rPr>
        <w:t xml:space="preserve"> (Accessed: 26 November 2025).</w:t>
      </w:r>
    </w:p>
    <w:p w14:paraId="16E54B42" w14:textId="77777777" w:rsidR="009329AC" w:rsidRPr="009329AC" w:rsidRDefault="009329AC">
      <w:pPr>
        <w:spacing w:before="240" w:after="240"/>
        <w:rPr>
          <w:color w:val="000000" w:themeColor="text1"/>
        </w:rPr>
      </w:pPr>
      <w:r w:rsidRPr="009329AC">
        <w:rPr>
          <w:color w:val="000000" w:themeColor="text1"/>
        </w:rPr>
        <w:t xml:space="preserve">Oxford Economics (2024) </w:t>
      </w:r>
      <w:r w:rsidRPr="009329AC">
        <w:rPr>
          <w:i/>
          <w:iCs/>
          <w:color w:val="000000" w:themeColor="text1"/>
        </w:rPr>
        <w:t>Measuring cross-country exposure to China–Taiwan tensions</w:t>
      </w:r>
      <w:r w:rsidRPr="009329AC">
        <w:rPr>
          <w:color w:val="000000" w:themeColor="text1"/>
        </w:rPr>
        <w:t>. 9 July. Available at:</w:t>
      </w:r>
      <w:hyperlink r:id="rId23">
        <w:r w:rsidRPr="009329AC">
          <w:rPr>
            <w:color w:val="000000" w:themeColor="text1"/>
          </w:rPr>
          <w:t xml:space="preserve"> </w:t>
        </w:r>
      </w:hyperlink>
      <w:hyperlink r:id="rId24">
        <w:r w:rsidRPr="009329AC">
          <w:rPr>
            <w:color w:val="000000" w:themeColor="text1"/>
          </w:rPr>
          <w:t>https://www.oxfordeconomics.com/resource/measuring-cross-country-exposure-to-china-taiwan-tensions/</w:t>
        </w:r>
      </w:hyperlink>
      <w:r w:rsidRPr="009329AC">
        <w:rPr>
          <w:color w:val="000000" w:themeColor="text1"/>
        </w:rPr>
        <w:t xml:space="preserve"> (Accessed: 26 November 2025).</w:t>
      </w:r>
    </w:p>
    <w:p w14:paraId="7584D819" w14:textId="77777777" w:rsidR="009329AC" w:rsidRPr="009329AC" w:rsidRDefault="009329AC">
      <w:pPr>
        <w:spacing w:before="240" w:after="240"/>
        <w:rPr>
          <w:color w:val="000000" w:themeColor="text1"/>
        </w:rPr>
      </w:pPr>
      <w:r w:rsidRPr="009329AC">
        <w:rPr>
          <w:color w:val="000000" w:themeColor="text1"/>
        </w:rPr>
        <w:t xml:space="preserve">Palantir (2024) </w:t>
      </w:r>
      <w:r w:rsidRPr="009329AC">
        <w:rPr>
          <w:i/>
          <w:iCs/>
          <w:color w:val="000000" w:themeColor="text1"/>
        </w:rPr>
        <w:t>Palantir and bp agree to five-year strategic relationship with new AI capabilities</w:t>
      </w:r>
      <w:r w:rsidRPr="009329AC">
        <w:rPr>
          <w:color w:val="000000" w:themeColor="text1"/>
        </w:rPr>
        <w:t>. 8 September. Available at:</w:t>
      </w:r>
      <w:hyperlink r:id="rId25">
        <w:r w:rsidRPr="009329AC">
          <w:rPr>
            <w:color w:val="000000" w:themeColor="text1"/>
          </w:rPr>
          <w:t xml:space="preserve"> </w:t>
        </w:r>
      </w:hyperlink>
      <w:hyperlink r:id="rId26">
        <w:r w:rsidRPr="009329AC">
          <w:rPr>
            <w:color w:val="000000" w:themeColor="text1"/>
          </w:rPr>
          <w:t>https://investors.palantir.com/news-details/2024/Palantir-and-bp-Agree-to-5-Year-Strategic-Relationship-With-New-AI-Capabilities</w:t>
        </w:r>
      </w:hyperlink>
      <w:r w:rsidRPr="009329AC">
        <w:rPr>
          <w:color w:val="000000" w:themeColor="text1"/>
        </w:rPr>
        <w:t xml:space="preserve"> (Accessed: 26 November 2025).</w:t>
      </w:r>
    </w:p>
    <w:p w14:paraId="04632EF9" w14:textId="77777777" w:rsidR="009329AC" w:rsidRPr="009329AC" w:rsidRDefault="009329AC">
      <w:pPr>
        <w:spacing w:before="240" w:after="240"/>
        <w:rPr>
          <w:color w:val="000000" w:themeColor="text1"/>
        </w:rPr>
      </w:pPr>
      <w:r w:rsidRPr="009329AC">
        <w:rPr>
          <w:color w:val="000000" w:themeColor="text1"/>
        </w:rPr>
        <w:t xml:space="preserve">Resilinc (2023) </w:t>
      </w:r>
      <w:r w:rsidRPr="009329AC">
        <w:rPr>
          <w:i/>
          <w:iCs/>
          <w:color w:val="000000" w:themeColor="text1"/>
        </w:rPr>
        <w:t>3 China–Taiwan risk scenarios for semiconductor supplies</w:t>
      </w:r>
      <w:r w:rsidRPr="009329AC">
        <w:rPr>
          <w:color w:val="000000" w:themeColor="text1"/>
        </w:rPr>
        <w:t>. 20 July. Available at:</w:t>
      </w:r>
      <w:hyperlink r:id="rId27">
        <w:r w:rsidRPr="009329AC">
          <w:rPr>
            <w:color w:val="000000" w:themeColor="text1"/>
          </w:rPr>
          <w:t xml:space="preserve"> </w:t>
        </w:r>
      </w:hyperlink>
      <w:hyperlink r:id="rId28">
        <w:r w:rsidRPr="009329AC">
          <w:rPr>
            <w:color w:val="000000" w:themeColor="text1"/>
          </w:rPr>
          <w:t>https://www.everstream.ai/risk-centers/3-china-taiwan-risk-scenarios-for-semiconductor-supplies/</w:t>
        </w:r>
      </w:hyperlink>
      <w:r w:rsidRPr="009329AC">
        <w:rPr>
          <w:color w:val="000000" w:themeColor="text1"/>
        </w:rPr>
        <w:t xml:space="preserve"> (Accessed: 26 November 2025).</w:t>
      </w:r>
    </w:p>
    <w:p w14:paraId="6C0DAB8B" w14:textId="77777777" w:rsidR="009329AC" w:rsidRPr="009329AC" w:rsidRDefault="009329AC">
      <w:pPr>
        <w:spacing w:before="240" w:after="240"/>
        <w:rPr>
          <w:color w:val="000000" w:themeColor="text1"/>
        </w:rPr>
      </w:pPr>
      <w:r w:rsidRPr="009329AC">
        <w:rPr>
          <w:color w:val="000000" w:themeColor="text1"/>
        </w:rPr>
        <w:t xml:space="preserve">Reuters (2024) </w:t>
      </w:r>
      <w:r w:rsidRPr="009329AC">
        <w:rPr>
          <w:i/>
          <w:iCs/>
          <w:color w:val="000000" w:themeColor="text1"/>
        </w:rPr>
        <w:t>Impact on commodities due to chaos in the Red Sea</w:t>
      </w:r>
      <w:r w:rsidRPr="009329AC">
        <w:rPr>
          <w:color w:val="000000" w:themeColor="text1"/>
        </w:rPr>
        <w:t>. 29 January. Available at:</w:t>
      </w:r>
      <w:hyperlink r:id="rId29">
        <w:r w:rsidRPr="009329AC">
          <w:rPr>
            <w:color w:val="000000" w:themeColor="text1"/>
          </w:rPr>
          <w:t xml:space="preserve"> </w:t>
        </w:r>
      </w:hyperlink>
      <w:hyperlink r:id="rId30">
        <w:r w:rsidRPr="009329AC">
          <w:rPr>
            <w:color w:val="000000" w:themeColor="text1"/>
          </w:rPr>
          <w:t>https://www.reuters.com/business/autos-transportation/impact-commodities-due-chaos-red-sea-2024-01-29/</w:t>
        </w:r>
      </w:hyperlink>
      <w:r w:rsidRPr="009329AC">
        <w:rPr>
          <w:color w:val="000000" w:themeColor="text1"/>
        </w:rPr>
        <w:t xml:space="preserve"> (Accessed: 26 November 2025).</w:t>
      </w:r>
    </w:p>
    <w:p w14:paraId="637AF053" w14:textId="77777777" w:rsidR="009329AC" w:rsidRPr="009329AC" w:rsidRDefault="009329AC">
      <w:pPr>
        <w:spacing w:before="240" w:after="240"/>
        <w:rPr>
          <w:color w:val="000000" w:themeColor="text1"/>
        </w:rPr>
      </w:pPr>
      <w:r w:rsidRPr="009329AC">
        <w:rPr>
          <w:color w:val="000000" w:themeColor="text1"/>
        </w:rPr>
        <w:lastRenderedPageBreak/>
        <w:t xml:space="preserve">Reuters (2025) </w:t>
      </w:r>
      <w:r w:rsidRPr="009329AC">
        <w:rPr>
          <w:i/>
          <w:iCs/>
          <w:color w:val="000000" w:themeColor="text1"/>
        </w:rPr>
        <w:t>BP cuts renewable investment and boosts oil and gas in strategy reset</w:t>
      </w:r>
      <w:r w:rsidRPr="009329AC">
        <w:rPr>
          <w:color w:val="000000" w:themeColor="text1"/>
        </w:rPr>
        <w:t>. 27 February. Available at:</w:t>
      </w:r>
      <w:hyperlink r:id="rId31">
        <w:r w:rsidRPr="009329AC">
          <w:rPr>
            <w:color w:val="000000" w:themeColor="text1"/>
          </w:rPr>
          <w:t xml:space="preserve"> </w:t>
        </w:r>
      </w:hyperlink>
      <w:hyperlink r:id="rId32">
        <w:r w:rsidRPr="009329AC">
          <w:rPr>
            <w:color w:val="000000" w:themeColor="text1"/>
          </w:rPr>
          <w:t>https://www.reuters.com/markets/commodities/bp-ramps-up-oil-gas-spending-10-billion-ceo-rebuilds-confidence-2025-02-26/</w:t>
        </w:r>
      </w:hyperlink>
      <w:r w:rsidRPr="009329AC">
        <w:rPr>
          <w:color w:val="000000" w:themeColor="text1"/>
        </w:rPr>
        <w:t xml:space="preserve"> (Accessed: 26 November 2025).</w:t>
      </w:r>
    </w:p>
    <w:p w14:paraId="7E6291AA" w14:textId="77777777" w:rsidR="009329AC" w:rsidRPr="009329AC" w:rsidRDefault="009329AC">
      <w:pPr>
        <w:rPr>
          <w:color w:val="000000" w:themeColor="text1"/>
          <w:highlight w:val="white"/>
        </w:rPr>
      </w:pPr>
      <w:r w:rsidRPr="009329AC">
        <w:rPr>
          <w:color w:val="000000" w:themeColor="text1"/>
          <w:highlight w:val="white"/>
        </w:rPr>
        <w:t xml:space="preserve">Schmitt, M., (2023). Automated machine learning: AI-driven decision making in business analytics. </w:t>
      </w:r>
      <w:r w:rsidRPr="009329AC">
        <w:rPr>
          <w:i/>
          <w:iCs/>
          <w:color w:val="000000" w:themeColor="text1"/>
          <w:highlight w:val="white"/>
        </w:rPr>
        <w:t>Intelligent Systems with Applications</w:t>
      </w:r>
      <w:r w:rsidRPr="009329AC">
        <w:rPr>
          <w:color w:val="000000" w:themeColor="text1"/>
          <w:highlight w:val="white"/>
        </w:rPr>
        <w:t xml:space="preserve">, </w:t>
      </w:r>
      <w:r w:rsidRPr="009329AC">
        <w:rPr>
          <w:i/>
          <w:iCs/>
          <w:color w:val="000000" w:themeColor="text1"/>
          <w:highlight w:val="white"/>
        </w:rPr>
        <w:t>18</w:t>
      </w:r>
      <w:r w:rsidRPr="009329AC">
        <w:rPr>
          <w:color w:val="000000" w:themeColor="text1"/>
          <w:highlight w:val="white"/>
        </w:rPr>
        <w:t>, p.200188.</w:t>
      </w:r>
    </w:p>
    <w:p w14:paraId="267B2E15" w14:textId="77777777" w:rsidR="009329AC" w:rsidRPr="009329AC" w:rsidRDefault="009329AC">
      <w:pPr>
        <w:spacing w:before="240" w:after="240"/>
        <w:rPr>
          <w:color w:val="000000" w:themeColor="text1"/>
        </w:rPr>
      </w:pPr>
      <w:r w:rsidRPr="009329AC">
        <w:rPr>
          <w:color w:val="000000" w:themeColor="text1"/>
        </w:rPr>
        <w:t xml:space="preserve">Sustainability Magazine (2025) </w:t>
      </w:r>
      <w:r w:rsidRPr="009329AC">
        <w:rPr>
          <w:i/>
          <w:iCs/>
          <w:color w:val="000000" w:themeColor="text1"/>
        </w:rPr>
        <w:t>Has oil &amp; gas giant bp turned its back on clean energy?</w:t>
      </w:r>
      <w:r w:rsidRPr="009329AC">
        <w:rPr>
          <w:color w:val="000000" w:themeColor="text1"/>
        </w:rPr>
        <w:t xml:space="preserve"> 25 February. Available at:</w:t>
      </w:r>
      <w:hyperlink r:id="rId33">
        <w:r w:rsidRPr="009329AC">
          <w:rPr>
            <w:color w:val="000000" w:themeColor="text1"/>
          </w:rPr>
          <w:t xml:space="preserve"> </w:t>
        </w:r>
      </w:hyperlink>
      <w:hyperlink r:id="rId34">
        <w:r w:rsidRPr="009329AC">
          <w:rPr>
            <w:color w:val="000000" w:themeColor="text1"/>
          </w:rPr>
          <w:t>https://sustainabilitymag.com/articles/has-oil-gas-giant-bp-turned-its-back-on-clean-energy</w:t>
        </w:r>
      </w:hyperlink>
      <w:r w:rsidRPr="009329AC">
        <w:rPr>
          <w:color w:val="000000" w:themeColor="text1"/>
        </w:rPr>
        <w:t xml:space="preserve"> (Accessed: 26 November 2025).</w:t>
      </w:r>
    </w:p>
    <w:p w14:paraId="5EA390E7" w14:textId="77777777" w:rsidR="009329AC" w:rsidRPr="009329AC" w:rsidRDefault="009329AC">
      <w:pPr>
        <w:spacing w:before="240" w:after="240"/>
        <w:rPr>
          <w:color w:val="000000" w:themeColor="text1"/>
        </w:rPr>
      </w:pPr>
      <w:r w:rsidRPr="009329AC">
        <w:rPr>
          <w:color w:val="000000" w:themeColor="text1"/>
        </w:rPr>
        <w:t xml:space="preserve">The CEEI (2024) </w:t>
      </w:r>
      <w:r w:rsidRPr="009329AC">
        <w:rPr>
          <w:i/>
          <w:iCs/>
          <w:color w:val="000000" w:themeColor="text1"/>
        </w:rPr>
        <w:t>The strategic imperative: how AI is transforming oil and gas industry</w:t>
      </w:r>
      <w:r w:rsidRPr="009329AC">
        <w:rPr>
          <w:color w:val="000000" w:themeColor="text1"/>
        </w:rPr>
        <w:t>. 24 November. Available at:</w:t>
      </w:r>
      <w:hyperlink r:id="rId35">
        <w:r w:rsidRPr="009329AC">
          <w:rPr>
            <w:color w:val="000000" w:themeColor="text1"/>
          </w:rPr>
          <w:t xml:space="preserve"> </w:t>
        </w:r>
      </w:hyperlink>
      <w:hyperlink r:id="rId36">
        <w:r w:rsidRPr="009329AC">
          <w:rPr>
            <w:color w:val="000000" w:themeColor="text1"/>
          </w:rPr>
          <w:t>https://www.theceei.com/blog/2024/11/25/the-strategic-imperative-how-ai-is-transforming-oil-and-gas-industry/</w:t>
        </w:r>
      </w:hyperlink>
      <w:r w:rsidRPr="009329AC">
        <w:rPr>
          <w:color w:val="000000" w:themeColor="text1"/>
        </w:rPr>
        <w:t xml:space="preserve"> (Accessed: 26 November 2025).</w:t>
      </w:r>
    </w:p>
    <w:p w14:paraId="43FACD60" w14:textId="77777777" w:rsidR="009329AC" w:rsidRPr="009329AC" w:rsidRDefault="009329AC">
      <w:pPr>
        <w:rPr>
          <w:color w:val="000000" w:themeColor="text1"/>
          <w:highlight w:val="white"/>
        </w:rPr>
      </w:pPr>
      <w:r w:rsidRPr="009329AC">
        <w:rPr>
          <w:color w:val="000000" w:themeColor="text1"/>
          <w:highlight w:val="white"/>
        </w:rPr>
        <w:t>Theguardian, (2024).</w:t>
      </w:r>
      <w:r w:rsidRPr="009329AC">
        <w:rPr>
          <w:i/>
          <w:iCs/>
          <w:color w:val="000000" w:themeColor="text1"/>
          <w:highlight w:val="white"/>
        </w:rPr>
        <w:t xml:space="preserve"> What is the Red Sea crisis, and what does it mean for global trade?</w:t>
      </w:r>
      <w:r w:rsidRPr="009329AC">
        <w:rPr>
          <w:color w:val="000000" w:themeColor="text1"/>
          <w:highlight w:val="white"/>
        </w:rPr>
        <w:t xml:space="preserve"> [Online] Available at :&lt;https://www.theguardian.com/world/2024/jan/03/what-is-the-red-sea-crisis-and-what-does-it-mean-for-global-trade&gt; [Accessed on: 26th November 2025]. </w:t>
      </w:r>
    </w:p>
    <w:p w14:paraId="0000003E" w14:textId="77777777" w:rsidR="00CF6C44" w:rsidRDefault="00CF6C44">
      <w:pPr>
        <w:widowControl w:val="0"/>
        <w:pBdr>
          <w:top w:val="nil"/>
          <w:left w:val="nil"/>
          <w:bottom w:val="nil"/>
          <w:right w:val="nil"/>
          <w:between w:val="nil"/>
        </w:pBdr>
        <w:spacing w:before="0" w:line="276" w:lineRule="auto"/>
        <w:jc w:val="left"/>
      </w:pPr>
    </w:p>
    <w:sectPr w:rsidR="00CF6C44">
      <w:footerReference w:type="default" r:id="rId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F526B" w14:textId="77777777" w:rsidR="00160410" w:rsidRPr="006F7D35" w:rsidRDefault="00160410">
      <w:pPr>
        <w:spacing w:before="0" w:line="240" w:lineRule="auto"/>
      </w:pPr>
      <w:r w:rsidRPr="006F7D35">
        <w:separator/>
      </w:r>
    </w:p>
  </w:endnote>
  <w:endnote w:type="continuationSeparator" w:id="0">
    <w:p w14:paraId="2CD875BB" w14:textId="77777777" w:rsidR="00160410" w:rsidRPr="006F7D35" w:rsidRDefault="00160410">
      <w:pPr>
        <w:spacing w:before="0" w:line="240" w:lineRule="auto"/>
      </w:pPr>
      <w:r w:rsidRPr="006F7D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65CB1EC-B4F6-45E5-96D3-33727340E6DE}"/>
  </w:font>
  <w:font w:name="Cambria">
    <w:panose1 w:val="02040503050406030204"/>
    <w:charset w:val="00"/>
    <w:family w:val="roman"/>
    <w:pitch w:val="variable"/>
    <w:sig w:usb0="E00006FF" w:usb1="420024FF" w:usb2="02000000" w:usb3="00000000" w:csb0="0000019F" w:csb1="00000000"/>
    <w:embedRegular r:id="rId2" w:fontKey="{0C0B62FD-4162-4FE2-81F1-8645F36799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F" w14:textId="0B5C3D2A" w:rsidR="00CF6C44" w:rsidRPr="006F7D35" w:rsidRDefault="00000000">
    <w:pPr>
      <w:jc w:val="right"/>
    </w:pPr>
    <w:r w:rsidRPr="006F7D35">
      <w:fldChar w:fldCharType="begin"/>
    </w:r>
    <w:r w:rsidRPr="006F7D35">
      <w:instrText>PAGE</w:instrText>
    </w:r>
    <w:r w:rsidRPr="006F7D35">
      <w:fldChar w:fldCharType="separate"/>
    </w:r>
    <w:r w:rsidR="006516F6" w:rsidRPr="006F7D35">
      <w:t>1</w:t>
    </w:r>
    <w:r w:rsidRPr="006F7D3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7082E" w14:textId="77777777" w:rsidR="00160410" w:rsidRPr="006F7D35" w:rsidRDefault="00160410">
      <w:pPr>
        <w:spacing w:before="0" w:line="240" w:lineRule="auto"/>
      </w:pPr>
      <w:r w:rsidRPr="006F7D35">
        <w:separator/>
      </w:r>
    </w:p>
  </w:footnote>
  <w:footnote w:type="continuationSeparator" w:id="0">
    <w:p w14:paraId="38B2DF5C" w14:textId="77777777" w:rsidR="00160410" w:rsidRPr="006F7D35" w:rsidRDefault="00160410">
      <w:pPr>
        <w:spacing w:before="0" w:line="240" w:lineRule="auto"/>
      </w:pPr>
      <w:r w:rsidRPr="006F7D3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C44"/>
    <w:rsid w:val="000A6350"/>
    <w:rsid w:val="00160410"/>
    <w:rsid w:val="00174369"/>
    <w:rsid w:val="002141C1"/>
    <w:rsid w:val="00287394"/>
    <w:rsid w:val="002D08EE"/>
    <w:rsid w:val="003029C9"/>
    <w:rsid w:val="00485C43"/>
    <w:rsid w:val="005265F4"/>
    <w:rsid w:val="0053722F"/>
    <w:rsid w:val="006516F6"/>
    <w:rsid w:val="00653C58"/>
    <w:rsid w:val="00656A66"/>
    <w:rsid w:val="006F7D35"/>
    <w:rsid w:val="00915510"/>
    <w:rsid w:val="009329AC"/>
    <w:rsid w:val="00AB71DC"/>
    <w:rsid w:val="00C23550"/>
    <w:rsid w:val="00CF6C44"/>
    <w:rsid w:val="00F47D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E3683"/>
  <w15:docId w15:val="{64099ADD-C978-4F84-A3F7-FA4A6721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9329AC"/>
    <w:pPr>
      <w:keepNext/>
      <w:keepLines/>
      <w:spacing w:before="400" w:after="120"/>
      <w:outlineLvl w:val="0"/>
    </w:pPr>
    <w:rPr>
      <w:b/>
      <w:bCs/>
      <w:color w:val="000000" w:themeColor="text1"/>
    </w:rPr>
  </w:style>
  <w:style w:type="paragraph" w:styleId="Heading2">
    <w:name w:val="heading 2"/>
    <w:basedOn w:val="Normal"/>
    <w:next w:val="Normal"/>
    <w:uiPriority w:val="9"/>
    <w:unhideWhenUsed/>
    <w:qFormat/>
    <w:pPr>
      <w:keepNext/>
      <w:keepLines/>
      <w:spacing w:before="40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28"/>
      <w:szCs w:val="28"/>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516F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516F6"/>
    <w:pPr>
      <w:spacing w:after="100"/>
    </w:pPr>
  </w:style>
  <w:style w:type="paragraph" w:styleId="TOC2">
    <w:name w:val="toc 2"/>
    <w:basedOn w:val="Normal"/>
    <w:next w:val="Normal"/>
    <w:autoRedefine/>
    <w:uiPriority w:val="39"/>
    <w:unhideWhenUsed/>
    <w:rsid w:val="006516F6"/>
    <w:pPr>
      <w:spacing w:after="100"/>
      <w:ind w:left="240"/>
    </w:pPr>
  </w:style>
  <w:style w:type="character" w:styleId="Hyperlink">
    <w:name w:val="Hyperlink"/>
    <w:basedOn w:val="DefaultParagraphFont"/>
    <w:uiPriority w:val="99"/>
    <w:unhideWhenUsed/>
    <w:rsid w:val="006516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tchratings.com/research/corporate-finance/red-sea-shipping-disruptions-keep-geopolitical-premium-for-commodities-23-01-2024" TargetMode="External"/><Relationship Id="rId18" Type="http://schemas.openxmlformats.org/officeDocument/2006/relationships/hyperlink" Target="https://www.sciencedirect.com/science/article/abs/pii/S0308596125000485" TargetMode="External"/><Relationship Id="rId26" Type="http://schemas.openxmlformats.org/officeDocument/2006/relationships/hyperlink" Target="https://investors.palantir.com/news-details/2024/Palantir-and-bp-Agree-to-5-Year-Strategic-Relationship-With-New-AI-Capabilities" TargetMode="External"/><Relationship Id="rId39" Type="http://schemas.openxmlformats.org/officeDocument/2006/relationships/theme" Target="theme/theme1.xml"/><Relationship Id="rId21" Type="http://schemas.openxmlformats.org/officeDocument/2006/relationships/hyperlink" Target="https://www.offshore-technology.com/news/bp-extends-partnership-with-palantir/" TargetMode="External"/><Relationship Id="rId34" Type="http://schemas.openxmlformats.org/officeDocument/2006/relationships/hyperlink" Target="https://sustainabilitymag.com/articles/has-oil-gas-giant-bp-turned-its-back-on-clean-energy" TargetMode="External"/><Relationship Id="rId7" Type="http://schemas.openxmlformats.org/officeDocument/2006/relationships/hyperlink" Target="https://www.acuitykp.com/blog/impact-of-the-red-sea-crisis-on-global-supply-chains/" TargetMode="External"/><Relationship Id="rId12" Type="http://schemas.openxmlformats.org/officeDocument/2006/relationships/hyperlink" Target="https://earth.org/bp-increases-oil-and-gas-investments-drops-renewable-targets/" TargetMode="External"/><Relationship Id="rId17" Type="http://schemas.openxmlformats.org/officeDocument/2006/relationships/hyperlink" Target="https://www.sciencedirect.com/science/article/abs/pii/S0308596125000485" TargetMode="External"/><Relationship Id="rId25" Type="http://schemas.openxmlformats.org/officeDocument/2006/relationships/hyperlink" Target="https://investors.palantir.com/news-details/2024/Palantir-and-bp-Agree-to-5-Year-Strategic-Relationship-With-New-AI-Capabilities" TargetMode="External"/><Relationship Id="rId33" Type="http://schemas.openxmlformats.org/officeDocument/2006/relationships/hyperlink" Target="https://sustainabilitymag.com/articles/has-oil-gas-giant-bp-turned-its-back-on-clean-energ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lover.ai/bp-ai-strategy-analysis-of-dominance-in-energy-ai/" TargetMode="External"/><Relationship Id="rId20" Type="http://schemas.openxmlformats.org/officeDocument/2006/relationships/hyperlink" Target="https://www.nasdaq.com/articles/bp-halts-red-sea-voyages-amid-rising-geopolitical-tensions" TargetMode="External"/><Relationship Id="rId29" Type="http://schemas.openxmlformats.org/officeDocument/2006/relationships/hyperlink" Target="https://www.reuters.com/business/autos-transportation/impact-commodities-due-chaos-red-sea-2024-01-2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arth.org/bp-increases-oil-and-gas-investments-drops-renewable-targets/" TargetMode="External"/><Relationship Id="rId24" Type="http://schemas.openxmlformats.org/officeDocument/2006/relationships/hyperlink" Target="https://www.oxfordeconomics.com/resource/measuring-cross-country-exposure-to-china-taiwan-tensions/" TargetMode="External"/><Relationship Id="rId32" Type="http://schemas.openxmlformats.org/officeDocument/2006/relationships/hyperlink" Target="https://www.reuters.com/markets/commodities/bp-ramps-up-oil-gas-spending-10-billion-ceo-rebuilds-confidence-2025-02-26/"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klover.ai/bp-ai-strategy-analysis-of-dominance-in-energy-ai/" TargetMode="External"/><Relationship Id="rId23" Type="http://schemas.openxmlformats.org/officeDocument/2006/relationships/hyperlink" Target="https://www.oxfordeconomics.com/resource/measuring-cross-country-exposure-to-china-taiwan-tensions/" TargetMode="External"/><Relationship Id="rId28" Type="http://schemas.openxmlformats.org/officeDocument/2006/relationships/hyperlink" Target="https://www.everstream.ai/risk-centers/3-china-taiwan-risk-scenarios-for-semiconductor-supplies/" TargetMode="External"/><Relationship Id="rId36" Type="http://schemas.openxmlformats.org/officeDocument/2006/relationships/hyperlink" Target="https://www.theceei.com/blog/2024/11/25/the-strategic-imperative-how-ai-is-transforming-oil-and-gas-industry/" TargetMode="External"/><Relationship Id="rId10" Type="http://schemas.openxmlformats.org/officeDocument/2006/relationships/hyperlink" Target="https://www.bbc.com/news/business-67759593" TargetMode="External"/><Relationship Id="rId19" Type="http://schemas.openxmlformats.org/officeDocument/2006/relationships/hyperlink" Target="https://www.nasdaq.com/articles/bp-halts-red-sea-voyages-amid-rising-geopolitical-tensions" TargetMode="External"/><Relationship Id="rId31" Type="http://schemas.openxmlformats.org/officeDocument/2006/relationships/hyperlink" Target="https://www.reuters.com/markets/commodities/bp-ramps-up-oil-gas-spending-10-billion-ceo-rebuilds-confidence-2025-02-26/" TargetMode="External"/><Relationship Id="rId4" Type="http://schemas.openxmlformats.org/officeDocument/2006/relationships/webSettings" Target="webSettings.xml"/><Relationship Id="rId9" Type="http://schemas.openxmlformats.org/officeDocument/2006/relationships/hyperlink" Target="https://www.bbc.com/news/business-67759593" TargetMode="External"/><Relationship Id="rId14" Type="http://schemas.openxmlformats.org/officeDocument/2006/relationships/hyperlink" Target="https://www.fitchratings.com/research/corporate-finance/red-sea-shipping-disruptions-keep-geopolitical-premium-for-commodities-23-01-2024" TargetMode="External"/><Relationship Id="rId22" Type="http://schemas.openxmlformats.org/officeDocument/2006/relationships/hyperlink" Target="https://www.offshore-technology.com/news/bp-extends-partnership-with-palantir/" TargetMode="External"/><Relationship Id="rId27" Type="http://schemas.openxmlformats.org/officeDocument/2006/relationships/hyperlink" Target="https://www.everstream.ai/risk-centers/3-china-taiwan-risk-scenarios-for-semiconductor-supplies/" TargetMode="External"/><Relationship Id="rId30" Type="http://schemas.openxmlformats.org/officeDocument/2006/relationships/hyperlink" Target="https://www.reuters.com/business/autos-transportation/impact-commodities-due-chaos-red-sea-2024-01-29/" TargetMode="External"/><Relationship Id="rId35" Type="http://schemas.openxmlformats.org/officeDocument/2006/relationships/hyperlink" Target="https://www.theceei.com/blog/2024/11/25/the-strategic-imperative-how-ai-is-transforming-oil-and-gas-industry/" TargetMode="External"/><Relationship Id="rId8" Type="http://schemas.openxmlformats.org/officeDocument/2006/relationships/hyperlink" Target="https://www.acuitykp.com/blog/impact-of-the-red-sea-crisis-on-global-supply-chains/"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780CA-091B-4834-9042-B69AD1274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2477</Words>
  <Characters>15612</Characters>
  <Application>Microsoft Office Word</Application>
  <DocSecurity>0</DocSecurity>
  <Lines>240</Lines>
  <Paragraphs>66</Paragraphs>
  <ScaleCrop>false</ScaleCrop>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Constantin-Marius Dascalescu (2328200)</cp:lastModifiedBy>
  <cp:revision>3</cp:revision>
  <cp:lastPrinted>2025-12-14T12:06:00Z</cp:lastPrinted>
  <dcterms:created xsi:type="dcterms:W3CDTF">2025-11-27T10:45:00Z</dcterms:created>
  <dcterms:modified xsi:type="dcterms:W3CDTF">2025-12-14T12:07:00Z</dcterms:modified>
</cp:coreProperties>
</file>