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A5585" w14:textId="395A25B4" w:rsidR="00794A21" w:rsidRPr="00E6194B" w:rsidRDefault="00794A21" w:rsidP="001F226A">
      <w:r w:rsidRPr="00E6194B">
        <w:rPr>
          <w:noProof/>
        </w:rPr>
        <w:drawing>
          <wp:anchor distT="0" distB="0" distL="114300" distR="114300" simplePos="0" relativeHeight="251659264" behindDoc="0" locked="0" layoutInCell="1" allowOverlap="1" wp14:anchorId="0DA6D8DD" wp14:editId="26A14972">
            <wp:simplePos x="0" y="0"/>
            <wp:positionH relativeFrom="margin">
              <wp:align>left</wp:align>
            </wp:positionH>
            <wp:positionV relativeFrom="paragraph">
              <wp:posOffset>0</wp:posOffset>
            </wp:positionV>
            <wp:extent cx="2049145" cy="819785"/>
            <wp:effectExtent l="0" t="0" r="825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53731" cy="8214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194B">
        <w:t xml:space="preserve"> </w:t>
      </w:r>
    </w:p>
    <w:p w14:paraId="0FCFC6AE" w14:textId="77777777" w:rsidR="00794A21" w:rsidRPr="00E6194B" w:rsidRDefault="00794A21" w:rsidP="001F226A"/>
    <w:p w14:paraId="40CE3946" w14:textId="3DEB3F83" w:rsidR="00794A21" w:rsidRPr="00E6194B" w:rsidRDefault="00794A21" w:rsidP="001F226A"/>
    <w:p w14:paraId="04F050B9" w14:textId="77777777" w:rsidR="001F226A" w:rsidRPr="00E6194B" w:rsidRDefault="001F226A" w:rsidP="001F226A"/>
    <w:tbl>
      <w:tblPr>
        <w:tblW w:w="918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8"/>
        <w:gridCol w:w="3049"/>
        <w:gridCol w:w="2100"/>
        <w:gridCol w:w="2100"/>
      </w:tblGrid>
      <w:tr w:rsidR="00794A21" w:rsidRPr="00E6194B" w14:paraId="3C3F92ED" w14:textId="77777777" w:rsidTr="00A570D3">
        <w:trPr>
          <w:trHeight w:val="604"/>
        </w:trPr>
        <w:tc>
          <w:tcPr>
            <w:tcW w:w="1938" w:type="dxa"/>
            <w:shd w:val="clear" w:color="auto" w:fill="auto"/>
          </w:tcPr>
          <w:p w14:paraId="4277F7BD" w14:textId="77777777" w:rsidR="00794A21" w:rsidRPr="00E6194B" w:rsidRDefault="00794A21" w:rsidP="003A07C8">
            <w:pPr>
              <w:spacing w:before="120" w:after="120"/>
              <w:rPr>
                <w:rFonts w:cs="Times New Roman"/>
                <w:b/>
                <w:szCs w:val="24"/>
              </w:rPr>
            </w:pPr>
            <w:r w:rsidRPr="00E6194B">
              <w:rPr>
                <w:rFonts w:cs="Times New Roman"/>
                <w:b/>
                <w:szCs w:val="24"/>
              </w:rPr>
              <w:t>Student name:</w:t>
            </w:r>
          </w:p>
        </w:tc>
        <w:tc>
          <w:tcPr>
            <w:tcW w:w="3049" w:type="dxa"/>
          </w:tcPr>
          <w:p w14:paraId="0F67E82D" w14:textId="77777777" w:rsidR="00794A21" w:rsidRPr="00E6194B" w:rsidRDefault="00794A21" w:rsidP="003A07C8">
            <w:pPr>
              <w:spacing w:before="120" w:after="120"/>
              <w:rPr>
                <w:rFonts w:cs="Times New Roman"/>
                <w:b/>
                <w:szCs w:val="24"/>
              </w:rPr>
            </w:pPr>
            <w:r w:rsidRPr="00E6194B">
              <w:rPr>
                <w:rFonts w:cs="Times New Roman"/>
                <w:b/>
                <w:szCs w:val="24"/>
              </w:rPr>
              <w:fldChar w:fldCharType="begin">
                <w:ffData>
                  <w:name w:val="Text2"/>
                  <w:enabled/>
                  <w:calcOnExit w:val="0"/>
                  <w:textInput/>
                </w:ffData>
              </w:fldChar>
            </w:r>
            <w:r w:rsidRPr="00E6194B">
              <w:rPr>
                <w:rFonts w:cs="Times New Roman"/>
                <w:b/>
                <w:szCs w:val="24"/>
              </w:rPr>
              <w:instrText xml:space="preserve"> FORMTEXT </w:instrText>
            </w:r>
            <w:r w:rsidRPr="00E6194B">
              <w:rPr>
                <w:rFonts w:cs="Times New Roman"/>
                <w:b/>
                <w:szCs w:val="24"/>
              </w:rPr>
            </w:r>
            <w:r w:rsidRPr="00E6194B">
              <w:rPr>
                <w:rFonts w:cs="Times New Roman"/>
                <w:b/>
                <w:szCs w:val="24"/>
              </w:rPr>
              <w:fldChar w:fldCharType="separate"/>
            </w:r>
            <w:r w:rsidRPr="00E6194B">
              <w:rPr>
                <w:rFonts w:cs="Times New Roman"/>
                <w:b/>
                <w:noProof/>
                <w:szCs w:val="24"/>
              </w:rPr>
              <w:t> </w:t>
            </w:r>
            <w:r w:rsidRPr="00E6194B">
              <w:rPr>
                <w:rFonts w:cs="Times New Roman"/>
                <w:b/>
                <w:noProof/>
                <w:szCs w:val="24"/>
              </w:rPr>
              <w:t> </w:t>
            </w:r>
            <w:r w:rsidRPr="00E6194B">
              <w:rPr>
                <w:rFonts w:cs="Times New Roman"/>
                <w:b/>
                <w:noProof/>
                <w:szCs w:val="24"/>
              </w:rPr>
              <w:t> </w:t>
            </w:r>
            <w:r w:rsidRPr="00E6194B">
              <w:rPr>
                <w:rFonts w:cs="Times New Roman"/>
                <w:b/>
                <w:noProof/>
                <w:szCs w:val="24"/>
              </w:rPr>
              <w:t> </w:t>
            </w:r>
            <w:r w:rsidRPr="00E6194B">
              <w:rPr>
                <w:rFonts w:cs="Times New Roman"/>
                <w:b/>
                <w:noProof/>
                <w:szCs w:val="24"/>
              </w:rPr>
              <w:t> </w:t>
            </w:r>
            <w:r w:rsidRPr="00E6194B">
              <w:rPr>
                <w:rFonts w:cs="Times New Roman"/>
                <w:b/>
                <w:szCs w:val="24"/>
              </w:rPr>
              <w:fldChar w:fldCharType="end"/>
            </w:r>
          </w:p>
        </w:tc>
        <w:tc>
          <w:tcPr>
            <w:tcW w:w="2100" w:type="dxa"/>
            <w:shd w:val="clear" w:color="auto" w:fill="D9D9D9" w:themeFill="background1" w:themeFillShade="D9"/>
          </w:tcPr>
          <w:p w14:paraId="2042CA03" w14:textId="77777777" w:rsidR="00794A21" w:rsidRPr="00E6194B" w:rsidRDefault="00794A21" w:rsidP="003A07C8">
            <w:pPr>
              <w:spacing w:before="120" w:after="120"/>
              <w:rPr>
                <w:rFonts w:cs="Times New Roman"/>
                <w:b/>
                <w:szCs w:val="24"/>
              </w:rPr>
            </w:pPr>
            <w:r w:rsidRPr="00E6194B">
              <w:rPr>
                <w:rFonts w:cs="Times New Roman"/>
                <w:b/>
                <w:szCs w:val="24"/>
              </w:rPr>
              <w:t>Student ID number:</w:t>
            </w:r>
          </w:p>
        </w:tc>
        <w:tc>
          <w:tcPr>
            <w:tcW w:w="2100" w:type="dxa"/>
          </w:tcPr>
          <w:p w14:paraId="3D4C8964" w14:textId="77777777" w:rsidR="00794A21" w:rsidRPr="00E6194B" w:rsidRDefault="00794A21" w:rsidP="003A07C8">
            <w:pPr>
              <w:spacing w:before="120" w:after="120"/>
              <w:rPr>
                <w:rFonts w:cs="Times New Roman"/>
                <w:b/>
                <w:szCs w:val="24"/>
              </w:rPr>
            </w:pPr>
          </w:p>
        </w:tc>
      </w:tr>
      <w:tr w:rsidR="00794A21" w:rsidRPr="00E6194B" w14:paraId="324B6536" w14:textId="77777777" w:rsidTr="00A570D3">
        <w:trPr>
          <w:trHeight w:val="618"/>
        </w:trPr>
        <w:tc>
          <w:tcPr>
            <w:tcW w:w="1938" w:type="dxa"/>
            <w:shd w:val="clear" w:color="auto" w:fill="auto"/>
          </w:tcPr>
          <w:p w14:paraId="6DF46084" w14:textId="77777777" w:rsidR="00794A21" w:rsidRPr="00E6194B" w:rsidRDefault="00794A21" w:rsidP="003A07C8">
            <w:pPr>
              <w:spacing w:before="120" w:after="120"/>
              <w:rPr>
                <w:rFonts w:cs="Times New Roman"/>
                <w:b/>
                <w:szCs w:val="24"/>
              </w:rPr>
            </w:pPr>
            <w:r w:rsidRPr="00E6194B">
              <w:rPr>
                <w:rFonts w:cs="Times New Roman"/>
                <w:b/>
                <w:szCs w:val="24"/>
              </w:rPr>
              <w:t>Programme:</w:t>
            </w:r>
          </w:p>
        </w:tc>
        <w:tc>
          <w:tcPr>
            <w:tcW w:w="7249" w:type="dxa"/>
            <w:gridSpan w:val="3"/>
          </w:tcPr>
          <w:p w14:paraId="5327A0A9" w14:textId="77777777" w:rsidR="00794A21" w:rsidRPr="00E6194B" w:rsidRDefault="00794A21" w:rsidP="003A07C8">
            <w:pPr>
              <w:spacing w:before="120" w:after="120"/>
              <w:rPr>
                <w:rFonts w:cs="Times New Roman"/>
                <w:b/>
                <w:szCs w:val="24"/>
              </w:rPr>
            </w:pPr>
            <w:r w:rsidRPr="00E6194B">
              <w:rPr>
                <w:rFonts w:cs="Times New Roman"/>
                <w:b/>
                <w:szCs w:val="24"/>
              </w:rPr>
              <w:t>MSc/PgDip/PgCert Cybersecurity and Digital Forensics</w:t>
            </w:r>
          </w:p>
        </w:tc>
      </w:tr>
      <w:tr w:rsidR="00794A21" w:rsidRPr="00E6194B" w14:paraId="3DD4DEA8" w14:textId="77777777" w:rsidTr="00A570D3">
        <w:trPr>
          <w:trHeight w:val="604"/>
        </w:trPr>
        <w:tc>
          <w:tcPr>
            <w:tcW w:w="1938" w:type="dxa"/>
            <w:shd w:val="clear" w:color="auto" w:fill="auto"/>
          </w:tcPr>
          <w:p w14:paraId="11769F16" w14:textId="77777777" w:rsidR="00794A21" w:rsidRPr="00E6194B" w:rsidRDefault="00794A21" w:rsidP="003A07C8">
            <w:pPr>
              <w:spacing w:before="120" w:after="120"/>
              <w:rPr>
                <w:rFonts w:cs="Times New Roman"/>
                <w:b/>
                <w:szCs w:val="24"/>
              </w:rPr>
            </w:pPr>
            <w:r w:rsidRPr="00E6194B">
              <w:rPr>
                <w:rFonts w:cs="Times New Roman"/>
                <w:b/>
                <w:szCs w:val="24"/>
              </w:rPr>
              <w:t>Module:</w:t>
            </w:r>
          </w:p>
        </w:tc>
        <w:tc>
          <w:tcPr>
            <w:tcW w:w="7249" w:type="dxa"/>
            <w:gridSpan w:val="3"/>
          </w:tcPr>
          <w:p w14:paraId="0EC1DA00" w14:textId="77777777" w:rsidR="00794A21" w:rsidRPr="00E6194B" w:rsidRDefault="00794A21" w:rsidP="003A07C8">
            <w:pPr>
              <w:spacing w:before="120" w:after="120"/>
              <w:rPr>
                <w:rFonts w:cs="Times New Roman"/>
                <w:b/>
                <w:szCs w:val="24"/>
              </w:rPr>
            </w:pPr>
            <w:r w:rsidRPr="00E6194B">
              <w:rPr>
                <w:rFonts w:cs="Times New Roman"/>
                <w:b/>
                <w:szCs w:val="24"/>
              </w:rPr>
              <w:t>Data Security, Governance and Compliance</w:t>
            </w:r>
          </w:p>
        </w:tc>
      </w:tr>
      <w:tr w:rsidR="00794A21" w:rsidRPr="00E6194B" w14:paraId="2A8F1656" w14:textId="77777777" w:rsidTr="001F226A">
        <w:trPr>
          <w:trHeight w:val="1484"/>
        </w:trPr>
        <w:tc>
          <w:tcPr>
            <w:tcW w:w="1938" w:type="dxa"/>
            <w:shd w:val="clear" w:color="auto" w:fill="auto"/>
          </w:tcPr>
          <w:p w14:paraId="2A6EB6C3" w14:textId="77777777" w:rsidR="00794A21" w:rsidRPr="00E6194B" w:rsidRDefault="00794A21" w:rsidP="003A07C8">
            <w:pPr>
              <w:spacing w:before="120" w:after="120"/>
              <w:rPr>
                <w:rFonts w:cs="Times New Roman"/>
                <w:b/>
                <w:szCs w:val="24"/>
              </w:rPr>
            </w:pPr>
            <w:r w:rsidRPr="00E6194B">
              <w:rPr>
                <w:rFonts w:cs="Times New Roman"/>
                <w:b/>
                <w:szCs w:val="24"/>
              </w:rPr>
              <w:t>Module code:</w:t>
            </w:r>
          </w:p>
        </w:tc>
        <w:tc>
          <w:tcPr>
            <w:tcW w:w="3049" w:type="dxa"/>
          </w:tcPr>
          <w:p w14:paraId="7466279C" w14:textId="77777777" w:rsidR="00794A21" w:rsidRPr="00E6194B" w:rsidRDefault="00794A21" w:rsidP="003A07C8">
            <w:pPr>
              <w:spacing w:before="120" w:after="120"/>
              <w:rPr>
                <w:rFonts w:cs="Times New Roman"/>
                <w:b/>
                <w:szCs w:val="24"/>
              </w:rPr>
            </w:pPr>
            <w:r w:rsidRPr="00E6194B">
              <w:rPr>
                <w:rFonts w:cs="Times New Roman"/>
                <w:b/>
                <w:szCs w:val="24"/>
              </w:rPr>
              <w:t>ACCA7028</w:t>
            </w:r>
          </w:p>
        </w:tc>
        <w:tc>
          <w:tcPr>
            <w:tcW w:w="2100" w:type="dxa"/>
            <w:shd w:val="clear" w:color="auto" w:fill="auto"/>
          </w:tcPr>
          <w:p w14:paraId="0E0A8489" w14:textId="77777777" w:rsidR="00794A21" w:rsidRPr="00E6194B" w:rsidRDefault="00794A21" w:rsidP="001F226A">
            <w:pPr>
              <w:rPr>
                <w:rFonts w:cs="Times New Roman"/>
                <w:szCs w:val="24"/>
              </w:rPr>
            </w:pPr>
            <w:bookmarkStart w:id="0" w:name="_Toc218541774"/>
            <w:r w:rsidRPr="00E6194B">
              <w:rPr>
                <w:rFonts w:cs="Times New Roman"/>
                <w:szCs w:val="24"/>
              </w:rPr>
              <w:t>Contribution to Overall Module Assessment (%):</w:t>
            </w:r>
            <w:bookmarkEnd w:id="0"/>
          </w:p>
        </w:tc>
        <w:tc>
          <w:tcPr>
            <w:tcW w:w="2100" w:type="dxa"/>
          </w:tcPr>
          <w:p w14:paraId="448B2ECC" w14:textId="77777777" w:rsidR="00794A21" w:rsidRPr="00E6194B" w:rsidRDefault="00794A21" w:rsidP="003A07C8">
            <w:pPr>
              <w:spacing w:before="120" w:after="120"/>
              <w:rPr>
                <w:rFonts w:cs="Times New Roman"/>
                <w:b/>
                <w:szCs w:val="24"/>
              </w:rPr>
            </w:pPr>
            <w:r w:rsidRPr="00E6194B">
              <w:rPr>
                <w:rFonts w:cs="Times New Roman"/>
                <w:b/>
                <w:szCs w:val="24"/>
              </w:rPr>
              <w:t>50%</w:t>
            </w:r>
          </w:p>
        </w:tc>
      </w:tr>
      <w:tr w:rsidR="00794A21" w:rsidRPr="00E6194B" w14:paraId="510C5478" w14:textId="77777777" w:rsidTr="001F226A">
        <w:trPr>
          <w:trHeight w:val="989"/>
        </w:trPr>
        <w:tc>
          <w:tcPr>
            <w:tcW w:w="1938" w:type="dxa"/>
            <w:shd w:val="clear" w:color="auto" w:fill="auto"/>
          </w:tcPr>
          <w:p w14:paraId="4E58ACFF" w14:textId="77777777" w:rsidR="00794A21" w:rsidRPr="00E6194B" w:rsidRDefault="00794A21" w:rsidP="003A07C8">
            <w:pPr>
              <w:spacing w:before="120" w:after="120"/>
              <w:rPr>
                <w:rFonts w:cs="Times New Roman"/>
                <w:b/>
                <w:szCs w:val="24"/>
              </w:rPr>
            </w:pPr>
            <w:r w:rsidRPr="00E6194B">
              <w:rPr>
                <w:rFonts w:cs="Times New Roman"/>
                <w:b/>
                <w:szCs w:val="24"/>
              </w:rPr>
              <w:t>Lecturer:</w:t>
            </w:r>
          </w:p>
        </w:tc>
        <w:tc>
          <w:tcPr>
            <w:tcW w:w="3049" w:type="dxa"/>
          </w:tcPr>
          <w:p w14:paraId="3AF17E9D" w14:textId="77777777" w:rsidR="00794A21" w:rsidRPr="00E6194B" w:rsidRDefault="00794A21" w:rsidP="003A07C8">
            <w:pPr>
              <w:spacing w:before="120" w:after="120"/>
              <w:rPr>
                <w:rFonts w:cs="Times New Roman"/>
                <w:b/>
                <w:szCs w:val="24"/>
              </w:rPr>
            </w:pPr>
            <w:r w:rsidRPr="00E6194B">
              <w:rPr>
                <w:rFonts w:cs="Times New Roman"/>
                <w:b/>
                <w:szCs w:val="24"/>
              </w:rPr>
              <w:t>Assoc. Prof. Carlene Campbell</w:t>
            </w:r>
          </w:p>
        </w:tc>
        <w:tc>
          <w:tcPr>
            <w:tcW w:w="2100" w:type="dxa"/>
            <w:shd w:val="clear" w:color="auto" w:fill="auto"/>
          </w:tcPr>
          <w:p w14:paraId="5D932DEA" w14:textId="77777777" w:rsidR="00794A21" w:rsidRPr="00E6194B" w:rsidRDefault="00794A21" w:rsidP="003A07C8">
            <w:pPr>
              <w:spacing w:before="120" w:after="120"/>
              <w:rPr>
                <w:rFonts w:cs="Times New Roman"/>
                <w:b/>
                <w:szCs w:val="24"/>
              </w:rPr>
            </w:pPr>
            <w:r w:rsidRPr="00E6194B">
              <w:rPr>
                <w:rFonts w:cs="Times New Roman"/>
                <w:b/>
                <w:szCs w:val="24"/>
              </w:rPr>
              <w:t>Internal Verifier:</w:t>
            </w:r>
          </w:p>
        </w:tc>
        <w:tc>
          <w:tcPr>
            <w:tcW w:w="2100" w:type="dxa"/>
          </w:tcPr>
          <w:p w14:paraId="725564E3" w14:textId="77777777" w:rsidR="00794A21" w:rsidRPr="00E6194B" w:rsidRDefault="00794A21" w:rsidP="003A07C8">
            <w:pPr>
              <w:spacing w:before="120" w:after="120"/>
              <w:rPr>
                <w:rFonts w:cs="Times New Roman"/>
                <w:b/>
                <w:szCs w:val="24"/>
              </w:rPr>
            </w:pPr>
            <w:r w:rsidRPr="00E6194B">
              <w:rPr>
                <w:rFonts w:cs="Times New Roman"/>
                <w:b/>
                <w:szCs w:val="24"/>
              </w:rPr>
              <w:t>Munyaradzi Murira</w:t>
            </w:r>
          </w:p>
        </w:tc>
      </w:tr>
      <w:tr w:rsidR="00794A21" w:rsidRPr="00E6194B" w14:paraId="5666B3CB" w14:textId="77777777" w:rsidTr="00A570D3">
        <w:trPr>
          <w:trHeight w:val="1745"/>
        </w:trPr>
        <w:tc>
          <w:tcPr>
            <w:tcW w:w="1938" w:type="dxa"/>
            <w:shd w:val="clear" w:color="auto" w:fill="auto"/>
          </w:tcPr>
          <w:p w14:paraId="6111711C" w14:textId="77777777" w:rsidR="00794A21" w:rsidRPr="00E6194B" w:rsidRDefault="00794A21" w:rsidP="003A07C8">
            <w:pPr>
              <w:spacing w:before="120" w:after="120"/>
              <w:rPr>
                <w:rFonts w:cs="Times New Roman"/>
                <w:b/>
                <w:szCs w:val="24"/>
              </w:rPr>
            </w:pPr>
            <w:r w:rsidRPr="00E6194B">
              <w:rPr>
                <w:rFonts w:cs="Times New Roman"/>
                <w:b/>
                <w:szCs w:val="24"/>
              </w:rPr>
              <w:t>Assignment Title:</w:t>
            </w:r>
          </w:p>
        </w:tc>
        <w:tc>
          <w:tcPr>
            <w:tcW w:w="3049" w:type="dxa"/>
          </w:tcPr>
          <w:p w14:paraId="752D2020" w14:textId="77777777" w:rsidR="00794A21" w:rsidRPr="00E6194B" w:rsidRDefault="00794A21" w:rsidP="003A07C8">
            <w:pPr>
              <w:spacing w:before="120" w:after="120"/>
              <w:rPr>
                <w:rFonts w:cs="Times New Roman"/>
                <w:b/>
                <w:szCs w:val="24"/>
              </w:rPr>
            </w:pPr>
            <w:r w:rsidRPr="00E6194B">
              <w:rPr>
                <w:rFonts w:cs="Times New Roman"/>
                <w:color w:val="000000"/>
                <w:szCs w:val="24"/>
              </w:rPr>
              <w:t>Apply the principles and practices of Data security, Governance and Compliance based on a given scenario.</w:t>
            </w:r>
          </w:p>
        </w:tc>
        <w:tc>
          <w:tcPr>
            <w:tcW w:w="2100" w:type="dxa"/>
            <w:shd w:val="clear" w:color="auto" w:fill="auto"/>
          </w:tcPr>
          <w:p w14:paraId="5F366D79" w14:textId="77777777" w:rsidR="00794A21" w:rsidRPr="00E6194B" w:rsidRDefault="00794A21" w:rsidP="003A07C8">
            <w:pPr>
              <w:spacing w:before="120" w:after="120"/>
              <w:rPr>
                <w:rFonts w:cs="Times New Roman"/>
                <w:b/>
                <w:szCs w:val="24"/>
              </w:rPr>
            </w:pPr>
            <w:r w:rsidRPr="00E6194B">
              <w:rPr>
                <w:rFonts w:cs="Times New Roman"/>
                <w:b/>
                <w:szCs w:val="24"/>
              </w:rPr>
              <w:t>Word count (or equivalent):</w:t>
            </w:r>
          </w:p>
        </w:tc>
        <w:tc>
          <w:tcPr>
            <w:tcW w:w="2100" w:type="dxa"/>
          </w:tcPr>
          <w:p w14:paraId="4612B2EB" w14:textId="77777777" w:rsidR="00794A21" w:rsidRPr="00E6194B" w:rsidRDefault="00794A21" w:rsidP="003A07C8">
            <w:pPr>
              <w:spacing w:before="120" w:after="120"/>
              <w:rPr>
                <w:rFonts w:cs="Times New Roman"/>
                <w:b/>
                <w:szCs w:val="24"/>
              </w:rPr>
            </w:pPr>
            <w:r w:rsidRPr="00E6194B">
              <w:rPr>
                <w:rFonts w:cs="Times New Roman"/>
                <w:b/>
                <w:szCs w:val="24"/>
              </w:rPr>
              <w:t>3000</w:t>
            </w:r>
          </w:p>
        </w:tc>
      </w:tr>
      <w:tr w:rsidR="00794A21" w:rsidRPr="00E6194B" w14:paraId="411B0E42" w14:textId="77777777" w:rsidTr="00A570D3">
        <w:trPr>
          <w:trHeight w:val="69"/>
        </w:trPr>
        <w:tc>
          <w:tcPr>
            <w:tcW w:w="1938" w:type="dxa"/>
            <w:shd w:val="clear" w:color="auto" w:fill="auto"/>
          </w:tcPr>
          <w:p w14:paraId="3D0C4518" w14:textId="77777777" w:rsidR="00794A21" w:rsidRPr="00E6194B" w:rsidRDefault="00794A21" w:rsidP="003A07C8">
            <w:pPr>
              <w:spacing w:before="120" w:after="120"/>
              <w:rPr>
                <w:rFonts w:cs="Times New Roman"/>
                <w:b/>
                <w:szCs w:val="24"/>
              </w:rPr>
            </w:pPr>
            <w:r w:rsidRPr="00E6194B">
              <w:rPr>
                <w:rFonts w:cs="Times New Roman"/>
                <w:b/>
                <w:szCs w:val="24"/>
              </w:rPr>
              <w:t>Submission deadline:</w:t>
            </w:r>
          </w:p>
        </w:tc>
        <w:tc>
          <w:tcPr>
            <w:tcW w:w="3049" w:type="dxa"/>
          </w:tcPr>
          <w:p w14:paraId="1AC37519" w14:textId="77777777" w:rsidR="00794A21" w:rsidRPr="00E6194B" w:rsidRDefault="00794A21" w:rsidP="003A07C8">
            <w:pPr>
              <w:spacing w:before="120" w:after="120"/>
              <w:rPr>
                <w:rFonts w:cs="Times New Roman"/>
                <w:b/>
                <w:bCs/>
                <w:szCs w:val="24"/>
              </w:rPr>
            </w:pPr>
            <w:r w:rsidRPr="00E6194B">
              <w:rPr>
                <w:rFonts w:cs="Times New Roman"/>
                <w:b/>
                <w:bCs/>
                <w:szCs w:val="24"/>
              </w:rPr>
              <w:t>8/1/2026</w:t>
            </w:r>
          </w:p>
        </w:tc>
        <w:tc>
          <w:tcPr>
            <w:tcW w:w="2100" w:type="dxa"/>
            <w:shd w:val="clear" w:color="auto" w:fill="auto"/>
          </w:tcPr>
          <w:p w14:paraId="57700F94" w14:textId="44693217" w:rsidR="00794A21" w:rsidRPr="00E6194B" w:rsidRDefault="00794A21" w:rsidP="003A07C8">
            <w:pPr>
              <w:spacing w:before="120" w:after="120"/>
              <w:rPr>
                <w:rFonts w:cs="Times New Roman"/>
                <w:b/>
                <w:szCs w:val="24"/>
              </w:rPr>
            </w:pPr>
          </w:p>
        </w:tc>
        <w:tc>
          <w:tcPr>
            <w:tcW w:w="2100" w:type="dxa"/>
          </w:tcPr>
          <w:p w14:paraId="01129642" w14:textId="77777777" w:rsidR="00794A21" w:rsidRPr="00E6194B" w:rsidRDefault="00794A21" w:rsidP="003A07C8">
            <w:pPr>
              <w:spacing w:before="120" w:after="120"/>
              <w:rPr>
                <w:rFonts w:cs="Times New Roman"/>
                <w:b/>
                <w:szCs w:val="24"/>
              </w:rPr>
            </w:pPr>
          </w:p>
        </w:tc>
      </w:tr>
    </w:tbl>
    <w:p w14:paraId="6926B97D" w14:textId="77777777" w:rsidR="00794A21" w:rsidRPr="00E6194B" w:rsidRDefault="00794A21" w:rsidP="00794A21">
      <w:pPr>
        <w:rPr>
          <w:rFonts w:ascii="Arial" w:hAnsi="Arial" w:cs="Arial"/>
          <w:sz w:val="32"/>
        </w:rPr>
      </w:pPr>
    </w:p>
    <w:p w14:paraId="21263D2B" w14:textId="703C08E6" w:rsidR="00604DFA" w:rsidRPr="00E6194B" w:rsidRDefault="00604DFA">
      <w:pPr>
        <w:spacing w:line="259" w:lineRule="auto"/>
        <w:jc w:val="left"/>
      </w:pPr>
      <w:r w:rsidRPr="00E6194B">
        <w:br w:type="page"/>
      </w:r>
    </w:p>
    <w:p w14:paraId="4A2E63CE" w14:textId="70B7A03D" w:rsidR="001F226A" w:rsidRPr="00E6194B" w:rsidRDefault="001F226A" w:rsidP="001F226A"/>
    <w:p w14:paraId="4F8B2C29" w14:textId="77777777" w:rsidR="001F226A" w:rsidRPr="00E6194B" w:rsidRDefault="001F226A" w:rsidP="001F226A"/>
    <w:p w14:paraId="6619E589" w14:textId="2CBC2FCE" w:rsidR="00E86CE3" w:rsidRPr="00E6194B" w:rsidRDefault="00D4125C" w:rsidP="001F226A">
      <w:pPr>
        <w:pStyle w:val="Heading1"/>
        <w:jc w:val="center"/>
      </w:pPr>
      <w:bookmarkStart w:id="1" w:name="_Toc218558098"/>
      <w:r w:rsidRPr="00E6194B">
        <w:t>Abstract</w:t>
      </w:r>
      <w:bookmarkEnd w:id="1"/>
    </w:p>
    <w:p w14:paraId="09A1EFA6" w14:textId="77777777" w:rsidR="001F226A" w:rsidRPr="00E6194B" w:rsidRDefault="000A0D24" w:rsidP="00E86CE3">
      <w:r w:rsidRPr="00E6194B">
        <w:t>Raising the count of internet-based technologies and cloud computing has contributed to the rising troubling exposure of organisations to information security risks, along with augmenting the necessity to have appropriate governance and adherence to regulations. Contemporary organisations exist in diverse threat landscapes, typified by ubiquitous wireless connectivity, global information flows, and diverse and dynamic cyber threats posed by criminals and state-sponsored threat actors. The report explores how the well-known information security frameworks and models, such as Information Technology Infrastructure Library (ITIL) and ISO/IEC 27000 series have been employed in addressing the situation in NatureGreen (NG), a multinational organisation with wide usage of cloud computing, a largely wireless network, and an increasing need to support bring-your-own-device (BYOD) entry. Resting on the critical analysis of pertinent frameworks and scholarly literature, a home-grown solution to the operational and regulatory issues of NG is suggested based on the pertinent information security, governance, and compliance frameworks. The report also examines the significance of constantly revising the security standards and regulations and shows that adaptive governance is a key to resilience, safeguarding of sensitive data, and compliance of the organisation in the long-term</w:t>
      </w:r>
      <w:r w:rsidR="00DD2090" w:rsidRPr="00E6194B">
        <w:t>.</w:t>
      </w:r>
    </w:p>
    <w:p w14:paraId="7D0F37BC" w14:textId="77777777" w:rsidR="001F226A" w:rsidRPr="00E6194B" w:rsidRDefault="001F226A" w:rsidP="00E86CE3"/>
    <w:p w14:paraId="21A3793F" w14:textId="543C90D6" w:rsidR="00604DFA" w:rsidRPr="00E6194B" w:rsidRDefault="00604DFA" w:rsidP="00E86CE3">
      <w:r w:rsidRPr="00E6194B">
        <w:br w:type="page"/>
      </w:r>
    </w:p>
    <w:sdt>
      <w:sdtPr>
        <w:rPr>
          <w:rFonts w:ascii="Times New Roman" w:eastAsiaTheme="minorHAnsi" w:hAnsi="Times New Roman" w:cstheme="minorBidi"/>
          <w:kern w:val="2"/>
          <w:sz w:val="24"/>
          <w:szCs w:val="22"/>
          <w:lang w:val="en-GB"/>
          <w14:ligatures w14:val="standardContextual"/>
        </w:rPr>
        <w:id w:val="687791785"/>
        <w:docPartObj>
          <w:docPartGallery w:val="Table of Contents"/>
          <w:docPartUnique/>
        </w:docPartObj>
      </w:sdtPr>
      <w:sdtEndPr>
        <w:rPr>
          <w:b/>
          <w:bCs/>
          <w:caps w:val="0"/>
          <w:noProof/>
        </w:rPr>
      </w:sdtEndPr>
      <w:sdtContent>
        <w:p w14:paraId="76DD6F34" w14:textId="77777777" w:rsidR="001F226A" w:rsidRPr="00E6194B" w:rsidRDefault="007D782D" w:rsidP="001F226A">
          <w:pPr>
            <w:pStyle w:val="TOCHeading"/>
            <w:spacing w:after="240" w:line="360" w:lineRule="auto"/>
            <w:jc w:val="center"/>
            <w:rPr>
              <w:rFonts w:ascii="Times New Roman" w:hAnsi="Times New Roman" w:cs="Times New Roman"/>
              <w:noProof/>
              <w:lang w:val="en-GB"/>
            </w:rPr>
          </w:pPr>
          <w:r w:rsidRPr="00E6194B">
            <w:rPr>
              <w:rFonts w:ascii="Times New Roman" w:hAnsi="Times New Roman" w:cs="Times New Roman"/>
              <w:b/>
              <w:bCs/>
              <w:sz w:val="28"/>
              <w:szCs w:val="28"/>
              <w:lang w:val="en-GB"/>
            </w:rPr>
            <w:t>Table</w:t>
          </w:r>
          <w:r w:rsidRPr="00E6194B">
            <w:rPr>
              <w:rFonts w:ascii="Times New Roman" w:hAnsi="Times New Roman" w:cs="Times New Roman"/>
              <w:sz w:val="28"/>
              <w:szCs w:val="28"/>
              <w:lang w:val="en-GB"/>
            </w:rPr>
            <w:t xml:space="preserve"> </w:t>
          </w:r>
          <w:r w:rsidRPr="00E6194B">
            <w:rPr>
              <w:rFonts w:ascii="Times New Roman" w:hAnsi="Times New Roman" w:cs="Times New Roman"/>
              <w:b/>
              <w:bCs/>
              <w:sz w:val="28"/>
              <w:szCs w:val="28"/>
              <w:lang w:val="en-GB"/>
            </w:rPr>
            <w:t>of Contents</w:t>
          </w:r>
          <w:r w:rsidRPr="00E6194B">
            <w:rPr>
              <w:rFonts w:ascii="Times New Roman" w:hAnsi="Times New Roman" w:cs="Times New Roman"/>
              <w:color w:val="2F5496" w:themeColor="accent1" w:themeShade="BF"/>
              <w:lang w:val="en-GB"/>
            </w:rPr>
            <w:fldChar w:fldCharType="begin"/>
          </w:r>
          <w:r w:rsidRPr="00E6194B">
            <w:rPr>
              <w:rFonts w:ascii="Times New Roman" w:hAnsi="Times New Roman" w:cs="Times New Roman"/>
              <w:lang w:val="en-GB"/>
            </w:rPr>
            <w:instrText xml:space="preserve"> TOC \o "1-3" \h \z \u </w:instrText>
          </w:r>
          <w:r w:rsidRPr="00E6194B">
            <w:rPr>
              <w:rFonts w:ascii="Times New Roman" w:hAnsi="Times New Roman" w:cs="Times New Roman"/>
              <w:color w:val="2F5496" w:themeColor="accent1" w:themeShade="BF"/>
              <w:lang w:val="en-GB"/>
            </w:rPr>
            <w:fldChar w:fldCharType="separate"/>
          </w:r>
        </w:p>
        <w:p w14:paraId="28001301" w14:textId="7945C100"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098" w:history="1">
            <w:r w:rsidRPr="00E6194B">
              <w:rPr>
                <w:rStyle w:val="Hyperlink"/>
                <w:rFonts w:cs="Times New Roman"/>
                <w:noProof/>
              </w:rPr>
              <w:t>Abstract</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_Toc218558098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2</w:t>
            </w:r>
            <w:r w:rsidRPr="00E6194B">
              <w:rPr>
                <w:rFonts w:cs="Times New Roman"/>
                <w:noProof/>
                <w:webHidden/>
              </w:rPr>
              <w:fldChar w:fldCharType="end"/>
            </w:r>
          </w:hyperlink>
        </w:p>
        <w:p w14:paraId="25E5E39C" w14:textId="3D168B4F"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099" w:history="1">
            <w:r w:rsidRPr="00E6194B">
              <w:rPr>
                <w:rStyle w:val="Hyperlink"/>
                <w:rFonts w:cs="Times New Roman"/>
                <w:noProof/>
              </w:rPr>
              <w:t>1. Introduction</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_Toc218558099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4</w:t>
            </w:r>
            <w:r w:rsidRPr="00E6194B">
              <w:rPr>
                <w:rFonts w:cs="Times New Roman"/>
                <w:noProof/>
                <w:webHidden/>
              </w:rPr>
              <w:fldChar w:fldCharType="end"/>
            </w:r>
          </w:hyperlink>
        </w:p>
        <w:p w14:paraId="7F598DC4" w14:textId="74A0253E"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00" w:history="1">
            <w:r w:rsidRPr="00E6194B">
              <w:rPr>
                <w:rStyle w:val="Hyperlink"/>
                <w:rFonts w:cs="Times New Roman"/>
                <w:noProof/>
              </w:rPr>
              <w:t>2. Scenario Analysis: NatureGreen (NG)</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_Toc218558100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5</w:t>
            </w:r>
            <w:r w:rsidRPr="00E6194B">
              <w:rPr>
                <w:rFonts w:cs="Times New Roman"/>
                <w:noProof/>
                <w:webHidden/>
              </w:rPr>
              <w:fldChar w:fldCharType="end"/>
            </w:r>
          </w:hyperlink>
        </w:p>
        <w:p w14:paraId="29A09DF4" w14:textId="3E57C40B"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01" w:history="1">
            <w:r w:rsidRPr="00E6194B">
              <w:rPr>
                <w:rStyle w:val="Hyperlink"/>
                <w:rFonts w:cs="Times New Roman"/>
                <w:noProof/>
                <w:lang w:eastAsia="en-GB"/>
              </w:rPr>
              <w:t>3. Literature Review: Security Frameworks and Models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_Toc218558101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5</w:t>
            </w:r>
            <w:r w:rsidRPr="00E6194B">
              <w:rPr>
                <w:rFonts w:cs="Times New Roman"/>
                <w:noProof/>
                <w:webHidden/>
              </w:rPr>
              <w:fldChar w:fldCharType="end"/>
            </w:r>
          </w:hyperlink>
        </w:p>
        <w:p w14:paraId="11D855F6" w14:textId="5895620D"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02" w:history="1">
            <w:r w:rsidRPr="00E6194B">
              <w:rPr>
                <w:rStyle w:val="Hyperlink"/>
                <w:rFonts w:cs="Times New Roman"/>
                <w:noProof/>
              </w:rPr>
              <w:t>4. Assumptions and Methodological Approach</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_Toc218558102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8</w:t>
            </w:r>
            <w:r w:rsidRPr="00E6194B">
              <w:rPr>
                <w:rFonts w:cs="Times New Roman"/>
                <w:noProof/>
                <w:webHidden/>
              </w:rPr>
              <w:fldChar w:fldCharType="end"/>
            </w:r>
          </w:hyperlink>
        </w:p>
        <w:p w14:paraId="33667A50" w14:textId="559E200A"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3" w:history="1">
            <w:r w:rsidRPr="00E6194B">
              <w:rPr>
                <w:rStyle w:val="Hyperlink"/>
                <w:rFonts w:cs="Times New Roman"/>
                <w:noProof/>
              </w:rPr>
              <w:t>4.1. Assumptions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_Toc218558103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8</w:t>
            </w:r>
            <w:r w:rsidRPr="00E6194B">
              <w:rPr>
                <w:rFonts w:cs="Times New Roman"/>
                <w:noProof/>
                <w:webHidden/>
              </w:rPr>
              <w:fldChar w:fldCharType="end"/>
            </w:r>
          </w:hyperlink>
        </w:p>
        <w:p w14:paraId="7D6F0E86" w14:textId="2E87EE88"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4" w:history="1">
            <w:r w:rsidRPr="00E6194B">
              <w:rPr>
                <w:rStyle w:val="Hyperlink"/>
                <w:rFonts w:cs="Times New Roman"/>
                <w:noProof/>
              </w:rPr>
              <w:t>4.2. Methodological Approach</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_Toc218558104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8</w:t>
            </w:r>
            <w:r w:rsidRPr="00E6194B">
              <w:rPr>
                <w:rFonts w:cs="Times New Roman"/>
                <w:noProof/>
                <w:webHidden/>
              </w:rPr>
              <w:fldChar w:fldCharType="end"/>
            </w:r>
          </w:hyperlink>
        </w:p>
        <w:p w14:paraId="288D251D" w14:textId="648F98F4"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05" w:history="1">
            <w:r w:rsidRPr="00E6194B">
              <w:rPr>
                <w:rStyle w:val="Hyperlink"/>
                <w:rFonts w:cs="Times New Roman"/>
                <w:noProof/>
              </w:rPr>
              <w:t>5. Proposed Security, Governance and Compliance Approach for NatureGreen</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_Toc218558105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9</w:t>
            </w:r>
            <w:r w:rsidRPr="00E6194B">
              <w:rPr>
                <w:rFonts w:cs="Times New Roman"/>
                <w:noProof/>
                <w:webHidden/>
              </w:rPr>
              <w:fldChar w:fldCharType="end"/>
            </w:r>
          </w:hyperlink>
        </w:p>
        <w:p w14:paraId="49D59BE2" w14:textId="77CFECBF"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6" w:history="1">
            <w:r w:rsidRPr="00E6194B">
              <w:rPr>
                <w:rStyle w:val="Hyperlink"/>
                <w:rFonts w:cs="Times New Roman"/>
                <w:noProof/>
              </w:rPr>
              <w:t>5.1 Governance and Strategic Planning</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_Toc218558106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9</w:t>
            </w:r>
            <w:r w:rsidRPr="00E6194B">
              <w:rPr>
                <w:rFonts w:cs="Times New Roman"/>
                <w:noProof/>
                <w:webHidden/>
              </w:rPr>
              <w:fldChar w:fldCharType="end"/>
            </w:r>
          </w:hyperlink>
        </w:p>
        <w:p w14:paraId="22C9F87B" w14:textId="6727AD0D"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7" w:history="1">
            <w:r w:rsidRPr="00E6194B">
              <w:rPr>
                <w:rStyle w:val="Hyperlink"/>
                <w:rFonts w:cs="Times New Roman"/>
                <w:noProof/>
              </w:rPr>
              <w:t>5.2 Security Policies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_Toc218558107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9</w:t>
            </w:r>
            <w:r w:rsidRPr="00E6194B">
              <w:rPr>
                <w:rFonts w:cs="Times New Roman"/>
                <w:noProof/>
                <w:webHidden/>
              </w:rPr>
              <w:fldChar w:fldCharType="end"/>
            </w:r>
          </w:hyperlink>
        </w:p>
        <w:p w14:paraId="394E562F" w14:textId="45ABD7FC"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8" w:history="1">
            <w:r w:rsidRPr="00E6194B">
              <w:rPr>
                <w:rStyle w:val="Hyperlink"/>
                <w:rFonts w:cs="Times New Roman"/>
                <w:noProof/>
              </w:rPr>
              <w:t>5.3 Risk Management</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_Toc218558108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11</w:t>
            </w:r>
            <w:r w:rsidRPr="00E6194B">
              <w:rPr>
                <w:rFonts w:cs="Times New Roman"/>
                <w:noProof/>
                <w:webHidden/>
              </w:rPr>
              <w:fldChar w:fldCharType="end"/>
            </w:r>
          </w:hyperlink>
        </w:p>
        <w:p w14:paraId="0D4D1834" w14:textId="79DA583D"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09" w:history="1">
            <w:r w:rsidRPr="00E6194B">
              <w:rPr>
                <w:rStyle w:val="Hyperlink"/>
                <w:rFonts w:cs="Times New Roman"/>
                <w:noProof/>
              </w:rPr>
              <w:t>5.4 Security Management Models and Practices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_Toc218558109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11</w:t>
            </w:r>
            <w:r w:rsidRPr="00E6194B">
              <w:rPr>
                <w:rFonts w:cs="Times New Roman"/>
                <w:noProof/>
                <w:webHidden/>
              </w:rPr>
              <w:fldChar w:fldCharType="end"/>
            </w:r>
          </w:hyperlink>
        </w:p>
        <w:p w14:paraId="61A62F2C" w14:textId="0A178B12"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10" w:history="1">
            <w:r w:rsidRPr="00E6194B">
              <w:rPr>
                <w:rStyle w:val="Hyperlink"/>
                <w:rFonts w:cs="Times New Roman"/>
                <w:noProof/>
              </w:rPr>
              <w:t>5.5 Contingency Planning</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_Toc218558110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11</w:t>
            </w:r>
            <w:r w:rsidRPr="00E6194B">
              <w:rPr>
                <w:rFonts w:cs="Times New Roman"/>
                <w:noProof/>
                <w:webHidden/>
              </w:rPr>
              <w:fldChar w:fldCharType="end"/>
            </w:r>
          </w:hyperlink>
        </w:p>
        <w:p w14:paraId="3F6C923C" w14:textId="125F58DF"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11" w:history="1">
            <w:r w:rsidRPr="00E6194B">
              <w:rPr>
                <w:rStyle w:val="Hyperlink"/>
                <w:rFonts w:cs="Times New Roman"/>
                <w:noProof/>
              </w:rPr>
              <w:t>5.6 Protection Mechanisms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_Toc218558111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12</w:t>
            </w:r>
            <w:r w:rsidRPr="00E6194B">
              <w:rPr>
                <w:rFonts w:cs="Times New Roman"/>
                <w:noProof/>
                <w:webHidden/>
              </w:rPr>
              <w:fldChar w:fldCharType="end"/>
            </w:r>
          </w:hyperlink>
        </w:p>
        <w:p w14:paraId="4332ED2D" w14:textId="77E4FA62" w:rsidR="001F226A" w:rsidRPr="00E6194B" w:rsidRDefault="001F226A">
          <w:pPr>
            <w:pStyle w:val="TOC2"/>
            <w:tabs>
              <w:tab w:val="right" w:leader="dot" w:pos="9019"/>
            </w:tabs>
            <w:rPr>
              <w:rFonts w:eastAsiaTheme="minorEastAsia" w:cs="Times New Roman"/>
              <w:noProof/>
              <w:kern w:val="0"/>
              <w:sz w:val="22"/>
              <w:lang w:eastAsia="en-GB"/>
              <w14:ligatures w14:val="none"/>
            </w:rPr>
          </w:pPr>
          <w:hyperlink w:anchor="_Toc218558112" w:history="1">
            <w:r w:rsidRPr="00E6194B">
              <w:rPr>
                <w:rStyle w:val="Hyperlink"/>
                <w:rFonts w:cs="Times New Roman"/>
                <w:noProof/>
              </w:rPr>
              <w:t>5.7 Service Level Agreements (SLAs)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_Toc218558112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12</w:t>
            </w:r>
            <w:r w:rsidRPr="00E6194B">
              <w:rPr>
                <w:rFonts w:cs="Times New Roman"/>
                <w:noProof/>
                <w:webHidden/>
              </w:rPr>
              <w:fldChar w:fldCharType="end"/>
            </w:r>
          </w:hyperlink>
        </w:p>
        <w:p w14:paraId="13C1A7F9" w14:textId="143A0CF8"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13" w:history="1">
            <w:r w:rsidRPr="00E6194B">
              <w:rPr>
                <w:rStyle w:val="Hyperlink"/>
                <w:rFonts w:cs="Times New Roman"/>
                <w:noProof/>
              </w:rPr>
              <w:t>6. Critical Discussion</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_Toc218558113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12</w:t>
            </w:r>
            <w:r w:rsidRPr="00E6194B">
              <w:rPr>
                <w:rFonts w:cs="Times New Roman"/>
                <w:noProof/>
                <w:webHidden/>
              </w:rPr>
              <w:fldChar w:fldCharType="end"/>
            </w:r>
          </w:hyperlink>
        </w:p>
        <w:p w14:paraId="0755C005" w14:textId="6C6BF9AF"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14" w:history="1">
            <w:r w:rsidRPr="00E6194B">
              <w:rPr>
                <w:rStyle w:val="Hyperlink"/>
                <w:rFonts w:cs="Times New Roman"/>
                <w:noProof/>
              </w:rPr>
              <w:t>7. Conclusion</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_Toc218558114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13</w:t>
            </w:r>
            <w:r w:rsidRPr="00E6194B">
              <w:rPr>
                <w:rFonts w:cs="Times New Roman"/>
                <w:noProof/>
                <w:webHidden/>
              </w:rPr>
              <w:fldChar w:fldCharType="end"/>
            </w:r>
          </w:hyperlink>
        </w:p>
        <w:p w14:paraId="7FB43B02" w14:textId="196E9864" w:rsidR="001F226A" w:rsidRPr="00E6194B" w:rsidRDefault="001F226A">
          <w:pPr>
            <w:pStyle w:val="TOC1"/>
            <w:tabs>
              <w:tab w:val="right" w:leader="dot" w:pos="9019"/>
            </w:tabs>
            <w:rPr>
              <w:rFonts w:eastAsiaTheme="minorEastAsia" w:cs="Times New Roman"/>
              <w:noProof/>
              <w:kern w:val="0"/>
              <w:sz w:val="22"/>
              <w:lang w:eastAsia="en-GB"/>
              <w14:ligatures w14:val="none"/>
            </w:rPr>
          </w:pPr>
          <w:hyperlink w:anchor="_Toc218558115" w:history="1">
            <w:r w:rsidRPr="00E6194B">
              <w:rPr>
                <w:rStyle w:val="Hyperlink"/>
                <w:rFonts w:cs="Times New Roman"/>
                <w:noProof/>
              </w:rPr>
              <w:t>References</w:t>
            </w:r>
            <w:r w:rsidRPr="00E6194B">
              <w:rPr>
                <w:rFonts w:cs="Times New Roman"/>
                <w:noProof/>
                <w:webHidden/>
              </w:rPr>
              <w:tab/>
            </w:r>
            <w:r w:rsidRPr="00E6194B">
              <w:rPr>
                <w:rFonts w:cs="Times New Roman"/>
                <w:noProof/>
                <w:webHidden/>
              </w:rPr>
              <w:fldChar w:fldCharType="begin"/>
            </w:r>
            <w:r w:rsidRPr="00E6194B">
              <w:rPr>
                <w:rFonts w:cs="Times New Roman"/>
                <w:noProof/>
                <w:webHidden/>
              </w:rPr>
              <w:instrText xml:space="preserve"> PAGEREF _Toc218558115 \h </w:instrText>
            </w:r>
            <w:r w:rsidRPr="00E6194B">
              <w:rPr>
                <w:rFonts w:cs="Times New Roman"/>
                <w:noProof/>
                <w:webHidden/>
              </w:rPr>
            </w:r>
            <w:r w:rsidRPr="00E6194B">
              <w:rPr>
                <w:rFonts w:cs="Times New Roman"/>
                <w:noProof/>
                <w:webHidden/>
              </w:rPr>
              <w:fldChar w:fldCharType="separate"/>
            </w:r>
            <w:r w:rsidRPr="00E6194B">
              <w:rPr>
                <w:rFonts w:cs="Times New Roman"/>
                <w:noProof/>
                <w:webHidden/>
              </w:rPr>
              <w:t>14</w:t>
            </w:r>
            <w:r w:rsidRPr="00E6194B">
              <w:rPr>
                <w:rFonts w:cs="Times New Roman"/>
                <w:noProof/>
                <w:webHidden/>
              </w:rPr>
              <w:fldChar w:fldCharType="end"/>
            </w:r>
          </w:hyperlink>
        </w:p>
        <w:p w14:paraId="42D33349" w14:textId="59E4F19A" w:rsidR="007D782D" w:rsidRPr="00E6194B" w:rsidRDefault="007D782D">
          <w:r w:rsidRPr="00E6194B">
            <w:rPr>
              <w:rFonts w:cs="Times New Roman"/>
              <w:b/>
              <w:bCs/>
              <w:noProof/>
            </w:rPr>
            <w:fldChar w:fldCharType="end"/>
          </w:r>
        </w:p>
      </w:sdtContent>
    </w:sdt>
    <w:p w14:paraId="15BD7872" w14:textId="77777777" w:rsidR="001F226A" w:rsidRPr="00E6194B" w:rsidRDefault="001F226A" w:rsidP="001F226A"/>
    <w:p w14:paraId="5D8D0B2B" w14:textId="77777777" w:rsidR="001F226A" w:rsidRPr="00E6194B" w:rsidRDefault="001F226A" w:rsidP="001F226A"/>
    <w:p w14:paraId="46F617DB" w14:textId="20C26AEF" w:rsidR="00142AB4" w:rsidRPr="00E6194B" w:rsidRDefault="00142AB4">
      <w:pPr>
        <w:spacing w:line="259" w:lineRule="auto"/>
        <w:jc w:val="left"/>
        <w:rPr>
          <w:b/>
          <w:bCs/>
          <w:sz w:val="28"/>
          <w:szCs w:val="24"/>
        </w:rPr>
      </w:pPr>
      <w:r w:rsidRPr="00E6194B">
        <w:rPr>
          <w:b/>
          <w:bCs/>
          <w:sz w:val="28"/>
          <w:szCs w:val="24"/>
        </w:rPr>
        <w:br w:type="page"/>
      </w:r>
    </w:p>
    <w:p w14:paraId="15AAC5CD" w14:textId="082A89BB" w:rsidR="0029641E" w:rsidRPr="00E6194B" w:rsidRDefault="00604DFA" w:rsidP="00521A41">
      <w:pPr>
        <w:pStyle w:val="Heading1"/>
      </w:pPr>
      <w:bookmarkStart w:id="2" w:name="_Toc218558099"/>
      <w:r w:rsidRPr="00E6194B">
        <w:lastRenderedPageBreak/>
        <w:t xml:space="preserve">1. </w:t>
      </w:r>
      <w:r w:rsidR="0029641E" w:rsidRPr="00E6194B">
        <w:t>Introduction</w:t>
      </w:r>
      <w:bookmarkEnd w:id="2"/>
    </w:p>
    <w:p w14:paraId="0BA4F979" w14:textId="77777777" w:rsidR="003735DA" w:rsidRDefault="003735DA" w:rsidP="003735DA">
      <w:r>
        <w:t>The fast growth of the Internet and digital technologies has completely changed the organisational functioning allowing to connect all elements of the world, provide real time communications and make all decisions based on data. The internet based information systems, cloud computing and wireless networks are gaining more and more importance in the modern organisations to facilitate the business processes and service delivery. Even though these technologies offer some great efficiency, scalability, and accessibility advantages, they have greatly exposed exposure to the information security threats. The assets of information can now be accessed, targeted, and exploited virtually anywhere at any time, which increases the threats of cybercriminals, malicious insiders, and state-sponsored forces. Consequently, securing the information assets has become a serious issue of concern among organisations that handle digital ecosystems where information flows are highly interconnected.</w:t>
      </w:r>
    </w:p>
    <w:p w14:paraId="530352D3" w14:textId="028930E7" w:rsidR="003735DA" w:rsidRDefault="003735DA" w:rsidP="003735DA">
      <w:r>
        <w:t xml:space="preserve">Regulatory and ethical demands as regards data protection and privacy have increased alongside the development of technology. Organisations are faced not only with the responsibility to protect personal and sensitive information but also with the responsibility to prove that they are compliant with an increasing amount of laws, regulations, as well as international standards. Information security failures may lead to serious consequences such as financial loss, reputational damage, legal consequences as well as loss of stakeholder trust. This has transformed information security into a strategic governance issue and not just a technical operation that needs to be co-ordinated, managed through risk control and policy-based controls. Information technology professionals will therefore be expected to have an </w:t>
      </w:r>
      <w:r>
        <w:t>all-inclusive</w:t>
      </w:r>
      <w:r>
        <w:t xml:space="preserve"> knowledge of security structures, governance models, and compliance systems to effectively address the challenge of risk in complex and dynamic environments.</w:t>
      </w:r>
    </w:p>
    <w:p w14:paraId="725E36B9" w14:textId="63FD44C7" w:rsidR="001F226A" w:rsidRDefault="003735DA" w:rsidP="003735DA">
      <w:r>
        <w:t xml:space="preserve">This report uses the concepts of data security and governance and compliance on the example of NatureGreen (NG), a universally spread organisation, which extensively uses cloud computing, wireless networks and online networks. NG is struggling with some of the major obstacles, such as the need to accommodate the bring-your-own-device (BYOD) access, ensuring the safety of staff and customer data, protecting valuable intellectual property, and lack of security policies. This report will explore applicable information security frameworks and models as well as design a custom framework that will cater to the requirements of NG in terms of information security, governance, and compliance. Besides that, the report also </w:t>
      </w:r>
      <w:r>
        <w:lastRenderedPageBreak/>
        <w:t>engages critically on the relevance of constantly revising standards and regulations due to changing technologies and threat levels.</w:t>
      </w:r>
    </w:p>
    <w:p w14:paraId="06447E7B" w14:textId="77777777" w:rsidR="003735DA" w:rsidRPr="00E6194B" w:rsidRDefault="003735DA" w:rsidP="003735DA"/>
    <w:p w14:paraId="2AE57346" w14:textId="30D58B73" w:rsidR="0057151E" w:rsidRPr="00E6194B" w:rsidRDefault="0057151E" w:rsidP="0057151E">
      <w:pPr>
        <w:pStyle w:val="Heading1"/>
        <w:rPr>
          <w:rFonts w:eastAsia="Times New Roman"/>
          <w:lang w:eastAsia="en-GB"/>
        </w:rPr>
      </w:pPr>
      <w:bookmarkStart w:id="3" w:name="_Toc202825462"/>
      <w:bookmarkStart w:id="4" w:name="_Toc218558100"/>
      <w:r w:rsidRPr="00E6194B">
        <w:t xml:space="preserve">2. </w:t>
      </w:r>
      <w:bookmarkEnd w:id="3"/>
      <w:r w:rsidR="00556FFC" w:rsidRPr="00E6194B">
        <w:t>Scenario Analysis: NatureGreen (NG)</w:t>
      </w:r>
      <w:bookmarkEnd w:id="4"/>
    </w:p>
    <w:p w14:paraId="3593E7C0" w14:textId="5E3DDE27" w:rsidR="009B669C" w:rsidRPr="00E6194B" w:rsidRDefault="009B669C" w:rsidP="009B669C">
      <w:r w:rsidRPr="00E6194B">
        <w:t>The blistering growth of the Internet and digital technologies has fundamentally changed the organisational functioning providing the opportunity to connect globally, communicate in real-time, and make decisions based on data. The use of cloud computing, wireless networks, and internet based information system by modern organisations as a way of facilitating the business processes and service delivery is on the rise. These technologies allow realizing a high level of efficiency, scalability, and accessibility; however, they also subject information assets to an increased risk of security attacks. Data is now able to be accessed and utilized away, putting more emphasis on the risk of cybercriminals, malicious insiders, and state-sponsored actors.</w:t>
      </w:r>
    </w:p>
    <w:p w14:paraId="403D2EE9" w14:textId="2E21C6AA" w:rsidR="009B669C" w:rsidRPr="00E6194B" w:rsidRDefault="009B669C" w:rsidP="009B669C">
      <w:r w:rsidRPr="00E6194B">
        <w:t xml:space="preserve">Meanwhile, regulatory and ethical demands in relation to data protection and privacy have been made more acute. Organisations do not simply keep personal and sensitive data safe, but they also have to show that they adhere to </w:t>
      </w:r>
      <w:r w:rsidR="00E6194B" w:rsidRPr="00E6194B">
        <w:t>a</w:t>
      </w:r>
      <w:r w:rsidRPr="00E6194B">
        <w:t xml:space="preserve"> growing number of laws, regulations, and international standards. The failure in information security may have serious financial, legal, and reputational effects and such a failure will result in the loss of stakeholder trust. Subsequently, information security has become a strategic governance issue and not a strictly technical issue, but one that needs a coordinated governance structure, risk management, and control through policies.</w:t>
      </w:r>
    </w:p>
    <w:p w14:paraId="539A1224" w14:textId="05519318" w:rsidR="00313BCC" w:rsidRPr="00E6194B" w:rsidRDefault="009B669C" w:rsidP="009B669C">
      <w:r w:rsidRPr="00E6194B">
        <w:t xml:space="preserve">The report measures the current case of NatureGreen (NG), a worldwide distributed organisation that greatly depends on online resources, cloud computing, and wireless connections, to the principles of data security, governance, and compliance. Some of the major challenges faced by NG are the use of bring-your-own-device (BYOD) access, data protection of staff and customers, the protection of high-value intellectual property, and lack of formal security policy. The report hence reviews applicable information security frameworks and models, offers a customized security, governance, and compliance strategy to NG and critically </w:t>
      </w:r>
      <w:r w:rsidR="00E6194B" w:rsidRPr="00E6194B">
        <w:t>analyses</w:t>
      </w:r>
      <w:r w:rsidRPr="00E6194B">
        <w:t xml:space="preserve"> the importance of developing and maintaining standards and regulations in line with the changing technologies and threats.</w:t>
      </w:r>
    </w:p>
    <w:p w14:paraId="4803952F" w14:textId="77777777" w:rsidR="001F226A" w:rsidRPr="00E6194B" w:rsidRDefault="001F226A" w:rsidP="009B669C"/>
    <w:p w14:paraId="202BA559" w14:textId="0426A24D" w:rsidR="003E0057" w:rsidRPr="00E6194B" w:rsidRDefault="009E3C7F" w:rsidP="00423016">
      <w:pPr>
        <w:pStyle w:val="Heading1"/>
        <w:rPr>
          <w:lang w:eastAsia="en-GB"/>
        </w:rPr>
      </w:pPr>
      <w:bookmarkStart w:id="5" w:name="_Toc218558101"/>
      <w:r w:rsidRPr="00E6194B">
        <w:rPr>
          <w:lang w:eastAsia="en-GB"/>
        </w:rPr>
        <w:lastRenderedPageBreak/>
        <w:t xml:space="preserve">3. </w:t>
      </w:r>
      <w:r w:rsidR="00AD7847" w:rsidRPr="00E6194B">
        <w:rPr>
          <w:lang w:eastAsia="en-GB"/>
        </w:rPr>
        <w:t>Literature Review: Security Frameworks and Models</w:t>
      </w:r>
      <w:bookmarkEnd w:id="5"/>
    </w:p>
    <w:p w14:paraId="7F0E67C8" w14:textId="28574723" w:rsidR="0005715C" w:rsidRPr="00E6194B" w:rsidRDefault="0005715C" w:rsidP="0005715C">
      <w:r w:rsidRPr="00E6194B">
        <w:t>Information security has not only become a multidisciplinary area of governance, risk management and regulatory compliance, but also has developed into more than just a technical role. Modern studies highlight that successful security cannot be based on the single technical measures, but through the organised structures which synchronise the organisational strategy, policies, processes, and technologies. Data governance models are hence at the heart of data management as a strategic resource with specified accountability, security, and compliance tasks.</w:t>
      </w:r>
    </w:p>
    <w:p w14:paraId="151F6143" w14:textId="79476041" w:rsidR="0005715C" w:rsidRPr="00E6194B" w:rsidRDefault="0005715C" w:rsidP="0005715C">
      <w:r w:rsidRPr="00E6194B">
        <w:t>Osakwe and Haitula-Waiganjo (2025) show that the weak governance structures enhance vulnerability to data breaches and regulatory non-compliance, which reveals the necessity to constantly combine the integrated data stewardship, quality management, and security controls. The same authors say that governance structures should be context-specific because generic models do not work in various business settings (Acev et al., 2025).</w:t>
      </w:r>
    </w:p>
    <w:p w14:paraId="731E85B0" w14:textId="70161D8E" w:rsidR="0005715C" w:rsidRPr="00E6194B" w:rsidRDefault="0005715C" w:rsidP="0005715C">
      <w:r w:rsidRPr="00E6194B">
        <w:t>The ISO/IEC 27000 series is still a popular information security management standards-based approach. The standard ISO/IEC 27001 provides the criteria of an Information Security Management System, which is supplemented by the control guidelines in ISO/IEC 27002. Although the ISO framework offers a sound framework of risk-based policy development and auditing, it must be modified and adjusted appropriately to work effectively especially in complicated settings that have cloud services, wireless networks and various users.</w:t>
      </w:r>
    </w:p>
    <w:p w14:paraId="757FD291" w14:textId="33171561" w:rsidR="0005715C" w:rsidRPr="00E6194B" w:rsidRDefault="0005715C" w:rsidP="0005715C">
      <w:r w:rsidRPr="00E6194B">
        <w:t>Conversely, Information Technology Infrastructure Library (ITIL) emphasises on embedding security in IT service lifecycle and is therefore mostly applicable in organisations that depend on third party cloud providers. With ITIL by incorporating security in service design, managing the incident, and service level, governance and accountability are improved but should be used with security-specific standards to meet the technical control needs.</w:t>
      </w:r>
    </w:p>
    <w:p w14:paraId="68756406" w14:textId="61829D80" w:rsidR="0005715C" w:rsidRPr="00E6194B" w:rsidRDefault="0005715C" w:rsidP="0005715C">
      <w:r w:rsidRPr="00E6194B">
        <w:t>The models of risk-based governance that are in line with the NIST Risk Management Framework also focus on constant evaluation and adjustment. Wei (2025) indicates cross-border data flows and fragmented governance as a constant issue, which supports the necessity of finely fit frameworks. New studies also point to the purpose of automated compliance and monitoring to deal with dynamic regulatory and technological risks, such as those generated by generative artificial intelligence.</w:t>
      </w:r>
    </w:p>
    <w:p w14:paraId="079367B4" w14:textId="17048097" w:rsidR="00AD7847" w:rsidRPr="00E6194B" w:rsidRDefault="0005715C" w:rsidP="00AD7847">
      <w:r w:rsidRPr="00E6194B">
        <w:lastRenderedPageBreak/>
        <w:t>On the whole, the literature suggests that none of the existing frameworks can fully cover the topics of information security, information governance, and compliance. It is thus required that a hybrid, context-specific solution that combines standards-based security management, service governance, and risk-driven practices are necessary, which will be the direct source of the customized security strategy, as offered to NatureGreen.</w:t>
      </w:r>
      <w:r w:rsidR="0041305B" w:rsidRPr="00E6194B">
        <w:t>.</w:t>
      </w:r>
    </w:p>
    <w:p w14:paraId="7672DD26" w14:textId="4B11EAAC" w:rsidR="00A921EF" w:rsidRPr="00E6194B" w:rsidRDefault="00A921EF" w:rsidP="00A921EF">
      <w:pPr>
        <w:pStyle w:val="Caption"/>
        <w:keepNext/>
      </w:pPr>
      <w:r w:rsidRPr="00E6194B">
        <w:t xml:space="preserve">Table </w:t>
      </w:r>
      <w:r w:rsidRPr="00E6194B">
        <w:fldChar w:fldCharType="begin"/>
      </w:r>
      <w:r w:rsidRPr="00E6194B">
        <w:instrText xml:space="preserve"> SEQ Table \* ARABIC </w:instrText>
      </w:r>
      <w:r w:rsidRPr="00E6194B">
        <w:fldChar w:fldCharType="separate"/>
      </w:r>
      <w:r w:rsidRPr="00E6194B">
        <w:rPr>
          <w:noProof/>
        </w:rPr>
        <w:t>1</w:t>
      </w:r>
      <w:r w:rsidRPr="00E6194B">
        <w:fldChar w:fldCharType="end"/>
      </w:r>
      <w:r w:rsidRPr="00E6194B">
        <w:t xml:space="preserve"> </w:t>
      </w:r>
      <w:r w:rsidR="001F226A" w:rsidRPr="00E6194B">
        <w:t>Literature Review Summary</w:t>
      </w:r>
    </w:p>
    <w:tbl>
      <w:tblPr>
        <w:tblStyle w:val="TableGrid"/>
        <w:tblW w:w="9630" w:type="dxa"/>
        <w:tblInd w:w="-185" w:type="dxa"/>
        <w:tblLayout w:type="fixed"/>
        <w:tblLook w:val="04A0" w:firstRow="1" w:lastRow="0" w:firstColumn="1" w:lastColumn="0" w:noHBand="0" w:noVBand="1"/>
      </w:tblPr>
      <w:tblGrid>
        <w:gridCol w:w="1440"/>
        <w:gridCol w:w="1530"/>
        <w:gridCol w:w="2790"/>
        <w:gridCol w:w="1800"/>
        <w:gridCol w:w="2070"/>
      </w:tblGrid>
      <w:tr w:rsidR="001F226A" w:rsidRPr="00E6194B" w14:paraId="79B0D546" w14:textId="77777777" w:rsidTr="003735DA">
        <w:trPr>
          <w:tblHeader/>
        </w:trPr>
        <w:tc>
          <w:tcPr>
            <w:tcW w:w="1440" w:type="dxa"/>
            <w:hideMark/>
          </w:tcPr>
          <w:p w14:paraId="79BDC81E" w14:textId="77777777" w:rsidR="00AD7847" w:rsidRPr="00E6194B" w:rsidRDefault="00AD7847" w:rsidP="00A921EF">
            <w:pPr>
              <w:jc w:val="center"/>
              <w:rPr>
                <w:rFonts w:eastAsia="Times New Roman" w:cs="Times New Roman"/>
                <w:b/>
                <w:bCs/>
                <w:kern w:val="0"/>
                <w:szCs w:val="24"/>
                <w14:ligatures w14:val="none"/>
              </w:rPr>
            </w:pPr>
            <w:r w:rsidRPr="00E6194B">
              <w:rPr>
                <w:rFonts w:eastAsia="Times New Roman" w:cs="Times New Roman"/>
                <w:b/>
                <w:bCs/>
                <w:kern w:val="0"/>
                <w:szCs w:val="24"/>
                <w14:ligatures w14:val="none"/>
              </w:rPr>
              <w:t>Framework / Model</w:t>
            </w:r>
          </w:p>
        </w:tc>
        <w:tc>
          <w:tcPr>
            <w:tcW w:w="1530" w:type="dxa"/>
            <w:hideMark/>
          </w:tcPr>
          <w:p w14:paraId="00B3309F" w14:textId="77777777" w:rsidR="00AD7847" w:rsidRPr="00E6194B" w:rsidRDefault="00AD7847" w:rsidP="00A921EF">
            <w:pPr>
              <w:jc w:val="center"/>
              <w:rPr>
                <w:rFonts w:eastAsia="Times New Roman" w:cs="Times New Roman"/>
                <w:b/>
                <w:bCs/>
                <w:kern w:val="0"/>
                <w:szCs w:val="24"/>
                <w14:ligatures w14:val="none"/>
              </w:rPr>
            </w:pPr>
            <w:r w:rsidRPr="00E6194B">
              <w:rPr>
                <w:rFonts w:eastAsia="Times New Roman" w:cs="Times New Roman"/>
                <w:b/>
                <w:bCs/>
                <w:kern w:val="0"/>
                <w:szCs w:val="24"/>
                <w14:ligatures w14:val="none"/>
              </w:rPr>
              <w:t>Primary Focus</w:t>
            </w:r>
          </w:p>
        </w:tc>
        <w:tc>
          <w:tcPr>
            <w:tcW w:w="2790" w:type="dxa"/>
            <w:hideMark/>
          </w:tcPr>
          <w:p w14:paraId="755CF1D7" w14:textId="77777777" w:rsidR="00AD7847" w:rsidRPr="00E6194B" w:rsidRDefault="00AD7847" w:rsidP="00A921EF">
            <w:pPr>
              <w:jc w:val="center"/>
              <w:rPr>
                <w:rFonts w:eastAsia="Times New Roman" w:cs="Times New Roman"/>
                <w:b/>
                <w:bCs/>
                <w:kern w:val="0"/>
                <w:szCs w:val="24"/>
                <w14:ligatures w14:val="none"/>
              </w:rPr>
            </w:pPr>
            <w:r w:rsidRPr="00E6194B">
              <w:rPr>
                <w:rFonts w:eastAsia="Times New Roman" w:cs="Times New Roman"/>
                <w:b/>
                <w:bCs/>
                <w:kern w:val="0"/>
                <w:szCs w:val="24"/>
                <w14:ligatures w14:val="none"/>
              </w:rPr>
              <w:t>Key Strengths (from literature)</w:t>
            </w:r>
          </w:p>
        </w:tc>
        <w:tc>
          <w:tcPr>
            <w:tcW w:w="1800" w:type="dxa"/>
            <w:hideMark/>
          </w:tcPr>
          <w:p w14:paraId="09B6BA26" w14:textId="77777777" w:rsidR="00AD7847" w:rsidRPr="00E6194B" w:rsidRDefault="00AD7847" w:rsidP="00A921EF">
            <w:pPr>
              <w:jc w:val="center"/>
              <w:rPr>
                <w:rFonts w:eastAsia="Times New Roman" w:cs="Times New Roman"/>
                <w:b/>
                <w:bCs/>
                <w:kern w:val="0"/>
                <w:szCs w:val="24"/>
                <w14:ligatures w14:val="none"/>
              </w:rPr>
            </w:pPr>
            <w:r w:rsidRPr="00E6194B">
              <w:rPr>
                <w:rFonts w:eastAsia="Times New Roman" w:cs="Times New Roman"/>
                <w:b/>
                <w:bCs/>
                <w:kern w:val="0"/>
                <w:szCs w:val="24"/>
                <w14:ligatures w14:val="none"/>
              </w:rPr>
              <w:t>Limitations</w:t>
            </w:r>
          </w:p>
        </w:tc>
        <w:tc>
          <w:tcPr>
            <w:tcW w:w="2070" w:type="dxa"/>
            <w:hideMark/>
          </w:tcPr>
          <w:p w14:paraId="420FF82E" w14:textId="77777777" w:rsidR="00AD7847" w:rsidRPr="00E6194B" w:rsidRDefault="00AD7847" w:rsidP="00A921EF">
            <w:pPr>
              <w:jc w:val="center"/>
              <w:rPr>
                <w:rFonts w:eastAsia="Times New Roman" w:cs="Times New Roman"/>
                <w:b/>
                <w:bCs/>
                <w:kern w:val="0"/>
                <w:szCs w:val="24"/>
                <w14:ligatures w14:val="none"/>
              </w:rPr>
            </w:pPr>
            <w:r w:rsidRPr="00E6194B">
              <w:rPr>
                <w:rFonts w:eastAsia="Times New Roman" w:cs="Times New Roman"/>
                <w:b/>
                <w:bCs/>
                <w:kern w:val="0"/>
                <w:szCs w:val="24"/>
                <w14:ligatures w14:val="none"/>
              </w:rPr>
              <w:t>Relevance to NatureGreen (NG)</w:t>
            </w:r>
          </w:p>
        </w:tc>
      </w:tr>
      <w:tr w:rsidR="001F226A" w:rsidRPr="00E6194B" w14:paraId="69EBA0E8" w14:textId="77777777" w:rsidTr="003735DA">
        <w:tc>
          <w:tcPr>
            <w:tcW w:w="1440" w:type="dxa"/>
            <w:hideMark/>
          </w:tcPr>
          <w:p w14:paraId="0FF2D319"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b/>
                <w:bCs/>
                <w:kern w:val="0"/>
                <w:szCs w:val="24"/>
                <w14:ligatures w14:val="none"/>
              </w:rPr>
              <w:t>ISO/IEC 27001 &amp; 27002</w:t>
            </w:r>
          </w:p>
        </w:tc>
        <w:tc>
          <w:tcPr>
            <w:tcW w:w="1530" w:type="dxa"/>
            <w:hideMark/>
          </w:tcPr>
          <w:p w14:paraId="71991283"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Information Security Management System (ISMS)</w:t>
            </w:r>
          </w:p>
        </w:tc>
        <w:tc>
          <w:tcPr>
            <w:tcW w:w="2790" w:type="dxa"/>
            <w:hideMark/>
          </w:tcPr>
          <w:p w14:paraId="186820C8"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Provides a structured, risk-based approach to information security; supports policy development, risk management, audit, and continuous improvement (Osakwe &amp; Haitula-Waiganjo, 2025; Acev et al., 2025)</w:t>
            </w:r>
          </w:p>
        </w:tc>
        <w:tc>
          <w:tcPr>
            <w:tcW w:w="1800" w:type="dxa"/>
            <w:hideMark/>
          </w:tcPr>
          <w:p w14:paraId="6DBE4F6D"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Can be resource-intensive; requires tailoring to organisational context</w:t>
            </w:r>
          </w:p>
        </w:tc>
        <w:tc>
          <w:tcPr>
            <w:tcW w:w="2070" w:type="dxa"/>
            <w:hideMark/>
          </w:tcPr>
          <w:p w14:paraId="38FA0055"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Highly relevant due to NG’s lack of formal security policies and need for structured governance and compliance</w:t>
            </w:r>
          </w:p>
        </w:tc>
      </w:tr>
      <w:tr w:rsidR="001F226A" w:rsidRPr="00E6194B" w14:paraId="3EE85539" w14:textId="77777777" w:rsidTr="003735DA">
        <w:tc>
          <w:tcPr>
            <w:tcW w:w="1440" w:type="dxa"/>
            <w:hideMark/>
          </w:tcPr>
          <w:p w14:paraId="0F88D0EE"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b/>
                <w:bCs/>
                <w:kern w:val="0"/>
                <w:szCs w:val="24"/>
                <w14:ligatures w14:val="none"/>
              </w:rPr>
              <w:t>ITIL (Information Technology Infrastructure Library)</w:t>
            </w:r>
          </w:p>
        </w:tc>
        <w:tc>
          <w:tcPr>
            <w:tcW w:w="1530" w:type="dxa"/>
            <w:hideMark/>
          </w:tcPr>
          <w:p w14:paraId="0EC3FC7A"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IT Service Management</w:t>
            </w:r>
          </w:p>
        </w:tc>
        <w:tc>
          <w:tcPr>
            <w:tcW w:w="2790" w:type="dxa"/>
            <w:hideMark/>
          </w:tcPr>
          <w:p w14:paraId="0FB988C6"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Integrates security into service design, operation, incident management, and supplier governance; supports SLA management</w:t>
            </w:r>
          </w:p>
        </w:tc>
        <w:tc>
          <w:tcPr>
            <w:tcW w:w="1800" w:type="dxa"/>
            <w:hideMark/>
          </w:tcPr>
          <w:p w14:paraId="5BC0CD19"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Not a security framework; lacks detailed technical security controls</w:t>
            </w:r>
          </w:p>
        </w:tc>
        <w:tc>
          <w:tcPr>
            <w:tcW w:w="2070" w:type="dxa"/>
            <w:hideMark/>
          </w:tcPr>
          <w:p w14:paraId="0E8928A1"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Relevant due to NG’s heavy reliance on cloud services and third-party providers</w:t>
            </w:r>
          </w:p>
        </w:tc>
      </w:tr>
      <w:tr w:rsidR="001F226A" w:rsidRPr="00E6194B" w14:paraId="62D6DF8F" w14:textId="77777777" w:rsidTr="003735DA">
        <w:tc>
          <w:tcPr>
            <w:tcW w:w="1440" w:type="dxa"/>
            <w:hideMark/>
          </w:tcPr>
          <w:p w14:paraId="721A300A"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b/>
                <w:bCs/>
                <w:kern w:val="0"/>
                <w:szCs w:val="24"/>
                <w14:ligatures w14:val="none"/>
              </w:rPr>
              <w:t>NIST Risk Management Framework</w:t>
            </w:r>
          </w:p>
        </w:tc>
        <w:tc>
          <w:tcPr>
            <w:tcW w:w="1530" w:type="dxa"/>
            <w:hideMark/>
          </w:tcPr>
          <w:p w14:paraId="71B1E2A5"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Risk-based security management</w:t>
            </w:r>
          </w:p>
        </w:tc>
        <w:tc>
          <w:tcPr>
            <w:tcW w:w="2790" w:type="dxa"/>
            <w:hideMark/>
          </w:tcPr>
          <w:p w14:paraId="5050CD40"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Flexible and iterative; emphasises continuous risk assessment and monitoring (Wei, 2025)</w:t>
            </w:r>
          </w:p>
        </w:tc>
        <w:tc>
          <w:tcPr>
            <w:tcW w:w="1800" w:type="dxa"/>
            <w:hideMark/>
          </w:tcPr>
          <w:p w14:paraId="46DEED16"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Less prescriptive than ISO; requires mapping to controls</w:t>
            </w:r>
          </w:p>
        </w:tc>
        <w:tc>
          <w:tcPr>
            <w:tcW w:w="2070" w:type="dxa"/>
            <w:hideMark/>
          </w:tcPr>
          <w:p w14:paraId="713A40DA"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Suitable for NG’s dynamic wireless and BYOD environment</w:t>
            </w:r>
          </w:p>
        </w:tc>
      </w:tr>
      <w:tr w:rsidR="001F226A" w:rsidRPr="00E6194B" w14:paraId="57A88FB5" w14:textId="77777777" w:rsidTr="003735DA">
        <w:tc>
          <w:tcPr>
            <w:tcW w:w="1440" w:type="dxa"/>
            <w:hideMark/>
          </w:tcPr>
          <w:p w14:paraId="684B4E3C"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b/>
                <w:bCs/>
                <w:kern w:val="0"/>
                <w:szCs w:val="24"/>
                <w14:ligatures w14:val="none"/>
              </w:rPr>
              <w:lastRenderedPageBreak/>
              <w:t>COBIT</w:t>
            </w:r>
          </w:p>
        </w:tc>
        <w:tc>
          <w:tcPr>
            <w:tcW w:w="1530" w:type="dxa"/>
            <w:hideMark/>
          </w:tcPr>
          <w:p w14:paraId="2C05331B"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IT Governance and Management</w:t>
            </w:r>
          </w:p>
        </w:tc>
        <w:tc>
          <w:tcPr>
            <w:tcW w:w="2790" w:type="dxa"/>
            <w:hideMark/>
          </w:tcPr>
          <w:p w14:paraId="5E866E72" w14:textId="34415689" w:rsidR="001F226A"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Aligns IT objectives with business goals; strong focus on accountability and performance measurement</w:t>
            </w:r>
          </w:p>
        </w:tc>
        <w:tc>
          <w:tcPr>
            <w:tcW w:w="1800" w:type="dxa"/>
            <w:hideMark/>
          </w:tcPr>
          <w:p w14:paraId="6647EADF"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High-level guidance; limited operational security detail</w:t>
            </w:r>
          </w:p>
        </w:tc>
        <w:tc>
          <w:tcPr>
            <w:tcW w:w="2070" w:type="dxa"/>
            <w:hideMark/>
          </w:tcPr>
          <w:p w14:paraId="700A5695"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Useful for executive-level governance and strategic oversight at NG</w:t>
            </w:r>
          </w:p>
        </w:tc>
      </w:tr>
      <w:tr w:rsidR="001F226A" w:rsidRPr="00E6194B" w14:paraId="2719BD8C" w14:textId="77777777" w:rsidTr="003735DA">
        <w:tc>
          <w:tcPr>
            <w:tcW w:w="1440" w:type="dxa"/>
            <w:hideMark/>
          </w:tcPr>
          <w:p w14:paraId="789DFD13"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b/>
                <w:bCs/>
                <w:kern w:val="0"/>
                <w:szCs w:val="24"/>
                <w14:ligatures w14:val="none"/>
              </w:rPr>
              <w:t>Automated Compliance Models (Cloud / ML-based)</w:t>
            </w:r>
          </w:p>
        </w:tc>
        <w:tc>
          <w:tcPr>
            <w:tcW w:w="1530" w:type="dxa"/>
            <w:hideMark/>
          </w:tcPr>
          <w:p w14:paraId="6002B870"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Continuous compliance and monitoring</w:t>
            </w:r>
          </w:p>
        </w:tc>
        <w:tc>
          <w:tcPr>
            <w:tcW w:w="2790" w:type="dxa"/>
            <w:hideMark/>
          </w:tcPr>
          <w:p w14:paraId="636A8850"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Improves efficiency, scalability, and accuracy of compliance processes in cloud environments (Wang &amp; Yang, 2025)</w:t>
            </w:r>
          </w:p>
        </w:tc>
        <w:tc>
          <w:tcPr>
            <w:tcW w:w="1800" w:type="dxa"/>
            <w:hideMark/>
          </w:tcPr>
          <w:p w14:paraId="08FC46EC"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Implementation complexity; dependency on mature monitoring infrastructure</w:t>
            </w:r>
          </w:p>
        </w:tc>
        <w:tc>
          <w:tcPr>
            <w:tcW w:w="2070" w:type="dxa"/>
            <w:hideMark/>
          </w:tcPr>
          <w:p w14:paraId="513987C0" w14:textId="77777777" w:rsidR="00AD7847" w:rsidRPr="00E6194B" w:rsidRDefault="00AD7847" w:rsidP="00A921EF">
            <w:pPr>
              <w:jc w:val="left"/>
              <w:rPr>
                <w:rFonts w:eastAsia="Times New Roman" w:cs="Times New Roman"/>
                <w:kern w:val="0"/>
                <w:szCs w:val="24"/>
                <w14:ligatures w14:val="none"/>
              </w:rPr>
            </w:pPr>
            <w:r w:rsidRPr="00E6194B">
              <w:rPr>
                <w:rFonts w:eastAsia="Times New Roman" w:cs="Times New Roman"/>
                <w:kern w:val="0"/>
                <w:szCs w:val="24"/>
                <w14:ligatures w14:val="none"/>
              </w:rPr>
              <w:t>Relevant for NG’s cloud-centric operations and need for scalable compliance assurance</w:t>
            </w:r>
          </w:p>
        </w:tc>
      </w:tr>
    </w:tbl>
    <w:p w14:paraId="731EA431" w14:textId="77777777" w:rsidR="00AD7847" w:rsidRPr="00E6194B" w:rsidRDefault="00AD7847" w:rsidP="00AD7847"/>
    <w:p w14:paraId="700D7623" w14:textId="297A433E" w:rsidR="002F6958" w:rsidRPr="00E6194B" w:rsidRDefault="005A26BC" w:rsidP="002F6958">
      <w:pPr>
        <w:pStyle w:val="Heading1"/>
      </w:pPr>
      <w:bookmarkStart w:id="6" w:name="_Toc218558102"/>
      <w:r w:rsidRPr="00E6194B">
        <w:t xml:space="preserve">4. </w:t>
      </w:r>
      <w:r w:rsidR="002B2C31" w:rsidRPr="00E6194B">
        <w:t>Assumptions and Methodological Approach</w:t>
      </w:r>
      <w:bookmarkEnd w:id="6"/>
    </w:p>
    <w:p w14:paraId="380F7C7D" w14:textId="14B34527" w:rsidR="000D01ED" w:rsidRPr="00E6194B" w:rsidRDefault="005A26BC" w:rsidP="000D01ED">
      <w:pPr>
        <w:pStyle w:val="Heading2"/>
      </w:pPr>
      <w:bookmarkStart w:id="7" w:name="_Toc218558103"/>
      <w:r w:rsidRPr="00E6194B">
        <w:t xml:space="preserve">4.1. </w:t>
      </w:r>
      <w:r w:rsidR="002B2C31" w:rsidRPr="00E6194B">
        <w:t>Assumptions</w:t>
      </w:r>
      <w:bookmarkEnd w:id="7"/>
    </w:p>
    <w:p w14:paraId="7331F497" w14:textId="77777777" w:rsidR="0005715C" w:rsidRPr="00E6194B" w:rsidRDefault="0005715C" w:rsidP="0005715C">
      <w:r w:rsidRPr="00E6194B">
        <w:t>A number of explicit assumptions form the basis of this report, which are based on the NatureGreen (NG) scenario, and lack of detailed organisational documentation. It is presupposed that NG functions on a multiple jurisdiction level, and this means that they should adhere to the strict data protection and privacy laws similar to the General Data Protection Regulation (GDPR). Such assumption is based on the fact that the global customer base and wide online presence of NG.</w:t>
      </w:r>
    </w:p>
    <w:p w14:paraId="5E814C53" w14:textId="0B00BB35" w:rsidR="0005715C" w:rsidRPr="00E6194B" w:rsidRDefault="0005715C" w:rsidP="0005715C">
      <w:r w:rsidRPr="00E6194B">
        <w:t>It is also assumed that NG depends on 3</w:t>
      </w:r>
      <w:r w:rsidRPr="00E6194B">
        <w:rPr>
          <w:vertAlign w:val="superscript"/>
        </w:rPr>
        <w:t>rd</w:t>
      </w:r>
      <w:r w:rsidRPr="00E6194B">
        <w:t xml:space="preserve"> party cloud service providers who provide a mixture of infrastructure, platform and software services. Information security is therefore distributed between NG and its suppliers and to this end, robust governance controls and service level agreements are necessary. Moreover, the report also presupposes that NG allows access to corporate resources via uncontrolled personal gadgets of employees and customers, which predisposes endpoint, wireless, and identity risks to a significant extent.</w:t>
      </w:r>
    </w:p>
    <w:p w14:paraId="1AB098F6" w14:textId="7247C898" w:rsidR="00E12F38" w:rsidRPr="00E6194B" w:rsidRDefault="0005715C" w:rsidP="00471FD6">
      <w:r w:rsidRPr="00E6194B">
        <w:lastRenderedPageBreak/>
        <w:t>The assumptions will be required to allow a realistic and defensible security, governance, and compliance design in the scenario where there are no formal policies, architectural documentation, or regulatory disclosures</w:t>
      </w:r>
      <w:r w:rsidR="00471FD6" w:rsidRPr="00E6194B">
        <w:t>.</w:t>
      </w:r>
    </w:p>
    <w:p w14:paraId="40CFAB6A" w14:textId="1C32D9E9" w:rsidR="00F95627" w:rsidRPr="00E6194B" w:rsidRDefault="00E9576F" w:rsidP="00F95627">
      <w:pPr>
        <w:pStyle w:val="Heading2"/>
      </w:pPr>
      <w:bookmarkStart w:id="8" w:name="_Toc218558104"/>
      <w:r w:rsidRPr="00E6194B">
        <w:t xml:space="preserve">4.2. </w:t>
      </w:r>
      <w:r w:rsidR="002B2C31" w:rsidRPr="00E6194B">
        <w:t>Methodological Approach</w:t>
      </w:r>
      <w:bookmarkEnd w:id="8"/>
    </w:p>
    <w:p w14:paraId="22CF4346" w14:textId="77777777" w:rsidR="004868B3" w:rsidRPr="00E6194B" w:rsidRDefault="004868B3" w:rsidP="004868B3">
      <w:r w:rsidRPr="00E6194B">
        <w:t>The approach that was used in the methodology of this report is the qualitative approach, risk based approach and governance based approach. Risk-based approach is used to detect, measure and rank information security risks, and the controls are corresponding to the potential impact and probability. A governance-based approach makes sure that there is consistency in security objectives, organisational strategy, accountability structure, and regulatory requirements.</w:t>
      </w:r>
    </w:p>
    <w:p w14:paraId="04548942" w14:textId="77777777" w:rsidR="004868B3" w:rsidRPr="00E6194B" w:rsidRDefault="004868B3" w:rsidP="004868B3">
      <w:r w:rsidRPr="00E6194B">
        <w:t>The practice is guided by reviewed standards and framework, such as ISO/IEC 27001 and ITIL that offer a systematic, auditable, and flexible guideline on how to create an efficient information security, governance, and compliance model. This design-based approach is suitable to take up the complex, multi-jurisdictional and cloud-based risk environment experienced by NatureGreen.</w:t>
      </w:r>
    </w:p>
    <w:p w14:paraId="3A225EA0" w14:textId="77777777" w:rsidR="004868B3" w:rsidRPr="00E6194B" w:rsidRDefault="004868B3" w:rsidP="004868B3"/>
    <w:p w14:paraId="38D82100" w14:textId="13BD2C4A" w:rsidR="00A570D3" w:rsidRPr="00E6194B" w:rsidRDefault="0050765D" w:rsidP="0050765D">
      <w:pPr>
        <w:pStyle w:val="Heading1"/>
      </w:pPr>
      <w:bookmarkStart w:id="9" w:name="_Toc218558105"/>
      <w:r w:rsidRPr="00E6194B">
        <w:t>5. Proposed Security, Governance and Compliance Approach for NatureGreen</w:t>
      </w:r>
      <w:bookmarkEnd w:id="9"/>
    </w:p>
    <w:p w14:paraId="261D1ECD" w14:textId="1301249A" w:rsidR="00A570D3" w:rsidRPr="00E6194B" w:rsidRDefault="00B72ADD" w:rsidP="00A570D3">
      <w:r w:rsidRPr="00E6194B">
        <w:t>This section outlines a tailored security, governance, and compliance approach designed to address NatureGreen’s operational, technological, and regulatory challenges. The approach integrates governance structures, policies, risk management, security practices, and technical controls, informed by recognised standards and best practices</w:t>
      </w:r>
      <w:r w:rsidR="0050765D" w:rsidRPr="00E6194B">
        <w:t>.</w:t>
      </w:r>
    </w:p>
    <w:p w14:paraId="3A7CA1B5" w14:textId="715EEE4A" w:rsidR="00A570D3" w:rsidRPr="00E6194B" w:rsidRDefault="00A570D3" w:rsidP="0050765D">
      <w:pPr>
        <w:pStyle w:val="Heading2"/>
      </w:pPr>
      <w:bookmarkStart w:id="10" w:name="_Toc218558106"/>
      <w:r w:rsidRPr="00E6194B">
        <w:t>5.1 Go</w:t>
      </w:r>
      <w:r w:rsidR="0050765D" w:rsidRPr="00E6194B">
        <w:t>vernance and Strategic Planning</w:t>
      </w:r>
      <w:bookmarkEnd w:id="10"/>
    </w:p>
    <w:p w14:paraId="24AE9C11" w14:textId="604EB6D6" w:rsidR="00B72ADD" w:rsidRPr="00E6194B" w:rsidRDefault="00B72ADD" w:rsidP="00B72ADD">
      <w:r w:rsidRPr="00E6194B">
        <w:t>Good governance and strategic oversight should ensure that NatureGreen has good information security. The role of board involvement is crucial to enable the organisation to align security objectives, organisational strategy, risk appetite, and regulatory requirements. The security policies, allocation of resources and reviewing of security performance and risk reports should be approved by the board.</w:t>
      </w:r>
    </w:p>
    <w:p w14:paraId="4795E9CE" w14:textId="46FD366C" w:rsidR="00A570D3" w:rsidRPr="00E6194B" w:rsidRDefault="00B72ADD" w:rsidP="00A570D3">
      <w:r w:rsidRPr="00E6194B">
        <w:t xml:space="preserve">Governance must be translated to practice by having clear role and responsibility. The security programme should be directed by a senior security position, say a Chief Information Security </w:t>
      </w:r>
      <w:r w:rsidRPr="00E6194B">
        <w:lastRenderedPageBreak/>
        <w:t xml:space="preserve">Officer, and information owners and system owners will continue to be responsible to safeguard information assets. The IT operations staff should be tasked with the responsibility of putting in place and maintaining technical controls whereby there would be uniform security and compliance in global operations </w:t>
      </w:r>
    </w:p>
    <w:p w14:paraId="35541251" w14:textId="77777777" w:rsidR="00A921EF" w:rsidRPr="00E6194B" w:rsidRDefault="00A921EF" w:rsidP="00A921EF">
      <w:pPr>
        <w:pStyle w:val="Heading2"/>
      </w:pPr>
      <w:bookmarkStart w:id="11" w:name="_Toc218558107"/>
      <w:r w:rsidRPr="00E6194B">
        <w:t>5.2 Security Policies</w:t>
      </w:r>
      <w:bookmarkEnd w:id="11"/>
    </w:p>
    <w:p w14:paraId="754F6FA9" w14:textId="77777777" w:rsidR="00A921EF" w:rsidRPr="00E6194B" w:rsidRDefault="00A921EF" w:rsidP="00A921EF">
      <w:r w:rsidRPr="00E6194B">
        <w:t>Security policies offer guidelines on the security practices that are uniform and implementable. NG is expected to have an overall Information Security Policy that outlines security objectives, commitment by the management, and compliance expectations. This policy ought to be endorsed by an Acceptable Use and BYOD policy, which clearly defines circumstances in which personal devices can access organisational systems including security configuration, monitoring, and the consequences of breaching the same.</w:t>
      </w:r>
    </w:p>
    <w:p w14:paraId="037B961E" w14:textId="645A5A86" w:rsidR="00A921EF" w:rsidRPr="00E6194B" w:rsidRDefault="00A921EF" w:rsidP="00A921EF">
      <w:r w:rsidRPr="00E6194B">
        <w:t>It is also important to have a policy of data classification in order to make sure that the information assets are classified according to their sensitivity and value. These data classifications (e.g., public, internal, confidential, restricted) allow NG to implement security measures (e.g., proportional) and give priority to securing personal information and intellectual property of high value.</w:t>
      </w:r>
    </w:p>
    <w:p w14:paraId="794FC348" w14:textId="77777777" w:rsidR="001F226A" w:rsidRPr="00E6194B" w:rsidRDefault="001F226A" w:rsidP="00A921EF"/>
    <w:p w14:paraId="02EEEFED" w14:textId="77777777" w:rsidR="00A921EF" w:rsidRPr="00E6194B" w:rsidRDefault="00271FBD" w:rsidP="003735DA">
      <w:pPr>
        <w:keepNext/>
        <w:jc w:val="center"/>
      </w:pPr>
      <w:r w:rsidRPr="00E6194B">
        <w:rPr>
          <w:noProof/>
        </w:rPr>
        <w:drawing>
          <wp:inline distT="0" distB="0" distL="0" distR="0" wp14:anchorId="50F4F670" wp14:editId="57A9552C">
            <wp:extent cx="5462116" cy="3373821"/>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c.drawio.png"/>
                    <pic:cNvPicPr/>
                  </pic:nvPicPr>
                  <pic:blipFill>
                    <a:blip r:embed="rId10">
                      <a:extLst>
                        <a:ext uri="{28A0092B-C50C-407E-A947-70E740481C1C}">
                          <a14:useLocalDpi xmlns:a14="http://schemas.microsoft.com/office/drawing/2010/main" val="0"/>
                        </a:ext>
                      </a:extLst>
                    </a:blip>
                    <a:stretch>
                      <a:fillRect/>
                    </a:stretch>
                  </pic:blipFill>
                  <pic:spPr>
                    <a:xfrm>
                      <a:off x="0" y="0"/>
                      <a:ext cx="5510786" cy="3403883"/>
                    </a:xfrm>
                    <a:prstGeom prst="rect">
                      <a:avLst/>
                    </a:prstGeom>
                  </pic:spPr>
                </pic:pic>
              </a:graphicData>
            </a:graphic>
          </wp:inline>
        </w:drawing>
      </w:r>
    </w:p>
    <w:p w14:paraId="42ACA331" w14:textId="1FFBCA00" w:rsidR="00271FBD" w:rsidRPr="00E6194B" w:rsidRDefault="00A921EF" w:rsidP="00A921EF">
      <w:pPr>
        <w:pStyle w:val="Caption"/>
      </w:pPr>
      <w:r w:rsidRPr="00E6194B">
        <w:t xml:space="preserve">Figure </w:t>
      </w:r>
      <w:r w:rsidRPr="00E6194B">
        <w:fldChar w:fldCharType="begin"/>
      </w:r>
      <w:r w:rsidRPr="00E6194B">
        <w:instrText xml:space="preserve"> SEQ Figure \* ARABIC </w:instrText>
      </w:r>
      <w:r w:rsidRPr="00E6194B">
        <w:fldChar w:fldCharType="separate"/>
      </w:r>
      <w:r w:rsidRPr="00E6194B">
        <w:rPr>
          <w:noProof/>
        </w:rPr>
        <w:t>1</w:t>
      </w:r>
      <w:r w:rsidRPr="00E6194B">
        <w:fldChar w:fldCharType="end"/>
      </w:r>
      <w:r w:rsidRPr="00E6194B">
        <w:t xml:space="preserve"> </w:t>
      </w:r>
      <w:r w:rsidRPr="00E6194B">
        <w:t>Information Security Governance and Operating Model for NatureGreen</w:t>
      </w:r>
    </w:p>
    <w:p w14:paraId="3454074B" w14:textId="3576A53F" w:rsidR="00271FBD" w:rsidRPr="00E6194B" w:rsidRDefault="00271FBD" w:rsidP="00A570D3">
      <w:r w:rsidRPr="00E6194B">
        <w:lastRenderedPageBreak/>
        <w:t>Figure 1 illustrates a governance-led information security operating model for NatureGreen, demonstrating how strategic oversight flows from board-level governance through policy, risk management, and security controls, supported by continuous monitoring and improvement.</w:t>
      </w:r>
    </w:p>
    <w:p w14:paraId="1502B2AE" w14:textId="4B90119F" w:rsidR="00A570D3" w:rsidRPr="00E6194B" w:rsidRDefault="0050765D" w:rsidP="0050765D">
      <w:pPr>
        <w:pStyle w:val="Heading2"/>
      </w:pPr>
      <w:bookmarkStart w:id="12" w:name="_Toc218558108"/>
      <w:r w:rsidRPr="00E6194B">
        <w:t>5.3 Risk Management</w:t>
      </w:r>
      <w:bookmarkEnd w:id="12"/>
    </w:p>
    <w:p w14:paraId="1626ECA1" w14:textId="44276740" w:rsidR="006E5513" w:rsidRPr="00E6194B" w:rsidRDefault="006E5513" w:rsidP="006E5513">
      <w:r w:rsidRPr="00E6194B">
        <w:t>NatureGreen has a complex threat environment in which a structured risk management process is needed to tackle these threats. This must start with the identification of important assets, such as personal information, intellectual property, cloud-based applications, and wireless networks, and their evaluation of them against threats such as unauthorised intrusion, data leaking, abuse by insiders, malware, and compromising third parties.</w:t>
      </w:r>
    </w:p>
    <w:p w14:paraId="2F025789" w14:textId="4AAD73AD" w:rsidR="00A570D3" w:rsidRPr="00E6194B" w:rsidRDefault="006E5513" w:rsidP="006E5513">
      <w:r w:rsidRPr="00E6194B">
        <w:t>These threats should be assessed in the context of risk by considering the probability and business impact of the threats by reviewing the vulnerabilities related to BYOD utilization, wireless access, and shared responsibility in the cloud. Mitigation, transfer, avoidance, or acceptance strategies should be used to record the risk treatment decisions and are to be backed with the help of the relevant technical, contractual, and procedural controls. Accountability, informed decision-making, and continuous risk reduction are supported by the use of a centralised risk register and regular reviews.</w:t>
      </w:r>
    </w:p>
    <w:p w14:paraId="76E6DC67" w14:textId="096EF2F5" w:rsidR="00A570D3" w:rsidRPr="00E6194B" w:rsidRDefault="00A570D3" w:rsidP="0050765D">
      <w:pPr>
        <w:pStyle w:val="Heading2"/>
      </w:pPr>
      <w:bookmarkStart w:id="13" w:name="_Toc218558109"/>
      <w:r w:rsidRPr="00E6194B">
        <w:t xml:space="preserve">5.4 Security </w:t>
      </w:r>
      <w:r w:rsidR="0050765D" w:rsidRPr="00E6194B">
        <w:t>Management Models and Practices</w:t>
      </w:r>
      <w:bookmarkEnd w:id="13"/>
    </w:p>
    <w:p w14:paraId="28C66ED8" w14:textId="77777777" w:rsidR="003735DA" w:rsidRDefault="003735DA" w:rsidP="003735DA">
      <w:r>
        <w:t>The approach proposed is in compliance to ISO/IEC 27001 to develop a formal Information Security Management System (ISMS). This will guarantee systematic control of risks, policy, internal audit, and continuous improvement. The alignment of ISO also increases the capability of NG to prove its compliance to regulators and stakeholders.</w:t>
      </w:r>
    </w:p>
    <w:p w14:paraId="181A0A20" w14:textId="40EA7725" w:rsidR="003735DA" w:rsidRDefault="003735DA" w:rsidP="003735DA">
      <w:r>
        <w:t>ITIL practices must be incorporated to ensure the management of the secure services especially regarding the incident management, change management and the supplier governance. Security metrics and key performance indicators (KPIs) through which performance measurement is conducted (incident frequency, compliance rates and audit findings) allow constant monitoring and enhancement of the security programme.</w:t>
      </w:r>
    </w:p>
    <w:p w14:paraId="7DE9A5E6" w14:textId="77777777" w:rsidR="003735DA" w:rsidRPr="00E6194B" w:rsidRDefault="003735DA" w:rsidP="003735DA"/>
    <w:p w14:paraId="59982C0C" w14:textId="6CC8988C" w:rsidR="00A570D3" w:rsidRPr="00E6194B" w:rsidRDefault="0050765D" w:rsidP="0050765D">
      <w:pPr>
        <w:pStyle w:val="Heading2"/>
      </w:pPr>
      <w:bookmarkStart w:id="14" w:name="_Toc218558110"/>
      <w:r w:rsidRPr="00E6194B">
        <w:t>5.5 Contingency Planning</w:t>
      </w:r>
      <w:bookmarkEnd w:id="14"/>
    </w:p>
    <w:p w14:paraId="65AC8478" w14:textId="77777777" w:rsidR="00EA3135" w:rsidRPr="00E6194B" w:rsidRDefault="00EA3135" w:rsidP="00EA3135">
      <w:r w:rsidRPr="00E6194B">
        <w:t xml:space="preserve">The key factor in lessening the operational and reputational effects of security incidents is effective contingency planning. NatureGreen ought to come up with an incident response plan </w:t>
      </w:r>
      <w:r w:rsidRPr="00E6194B">
        <w:lastRenderedPageBreak/>
        <w:t>that will outline the roles, escalation paths, detection, eradication procedures, and recovery. This would guarantee prompt and synchronized reactions to cyberattacks to cloud services, wireless networks, or personal devices.</w:t>
      </w:r>
    </w:p>
    <w:p w14:paraId="247F47FB" w14:textId="2662CBC2" w:rsidR="00A570D3" w:rsidRPr="00E6194B" w:rsidRDefault="00EA3135" w:rsidP="00EA3135">
      <w:r w:rsidRPr="00E6194B">
        <w:t>The disaster recovery planning must emphasize on recovery of key systems and data within specified recovery time and recovery point goals especially in cloud-hosted services. Business continuity planning will provide opportunities so that business continuity of key business functions is maintained during long term disruptions with the aid of alternative communication channels and business operation plans. To sustain organisational preparedness and resilience, it is necessary to test and evaluate contingency plans on a regular basis.</w:t>
      </w:r>
      <w:r w:rsidR="0050765D" w:rsidRPr="00E6194B">
        <w:t>.</w:t>
      </w:r>
    </w:p>
    <w:p w14:paraId="0FFCADA9" w14:textId="5919C72E" w:rsidR="00A570D3" w:rsidRPr="00E6194B" w:rsidRDefault="0050765D" w:rsidP="0050765D">
      <w:pPr>
        <w:pStyle w:val="Heading2"/>
      </w:pPr>
      <w:bookmarkStart w:id="15" w:name="_Toc218558111"/>
      <w:r w:rsidRPr="00E6194B">
        <w:t>5.6 Protection Mechanisms</w:t>
      </w:r>
      <w:bookmarkEnd w:id="15"/>
    </w:p>
    <w:p w14:paraId="2BA2AD96" w14:textId="7BDCA758" w:rsidR="00A921EF" w:rsidRPr="00E6194B" w:rsidRDefault="00A921EF" w:rsidP="00A570D3">
      <w:r w:rsidRPr="00E6194B">
        <w:t>Governance and policy objectives have to be assisted by technical protection mechanisms. The unauthorised access should be restricted by access control mechanisms such as strong authentication, role-based access control, and multi-factor authentication. Firewalls, intrusion detection system, and secure wireless setups are among the network security controls that are necessary because NG operates in a mainly wireless environment. The data should be encrypted at rest and in transit, especially the personal data and intellectual property.</w:t>
      </w:r>
    </w:p>
    <w:p w14:paraId="15CF2B8C" w14:textId="0CC4E912" w:rsidR="00A570D3" w:rsidRPr="00E6194B" w:rsidRDefault="00A570D3" w:rsidP="00C2280B">
      <w:pPr>
        <w:pStyle w:val="Heading2"/>
      </w:pPr>
      <w:bookmarkStart w:id="16" w:name="_Toc218558112"/>
      <w:r w:rsidRPr="00E6194B">
        <w:t xml:space="preserve">5.7 </w:t>
      </w:r>
      <w:r w:rsidR="0050765D" w:rsidRPr="00E6194B">
        <w:t>Service Level Agreements (SLAs)</w:t>
      </w:r>
      <w:bookmarkEnd w:id="16"/>
    </w:p>
    <w:p w14:paraId="047200A4" w14:textId="77777777" w:rsidR="00A921EF" w:rsidRPr="00E6194B" w:rsidRDefault="00A921EF" w:rsidP="00A921EF">
      <w:r w:rsidRPr="00E6194B">
        <w:t>Since NatureGreen is highly dependent on third-party providers of cloud services, service level contracts are a very important factor in the security governance and compliance. Shared security responsibility, minimum availability, data protection requirements and incident notification schedules should be clarified using SLAs. Audit rights and compliance reporting requirements must also be incorporated in SLAs in order to assist in the provision of assurance and regulatory accountability.</w:t>
      </w:r>
    </w:p>
    <w:p w14:paraId="1882EA40" w14:textId="776B5414" w:rsidR="00A921EF" w:rsidRPr="00E6194B" w:rsidRDefault="00A921EF" w:rsidP="00A921EF">
      <w:r w:rsidRPr="00E6194B">
        <w:t>Moreover, the SLAs must also ask the suppliers to adhere to established security standards, including ISO/IEC 27001, and to align with the incident response and business continuity requirements of NG. Well-established contractual controls enhance supplier responsibility and minimize the risk that is caused by outsourcing service provision.</w:t>
      </w:r>
    </w:p>
    <w:p w14:paraId="6B856B1D" w14:textId="77777777" w:rsidR="00A921EF" w:rsidRPr="00E6194B" w:rsidRDefault="00A921EF" w:rsidP="00A921EF"/>
    <w:p w14:paraId="3F96AA4D" w14:textId="62040B82" w:rsidR="00A570D3" w:rsidRPr="00E6194B" w:rsidRDefault="00A570D3" w:rsidP="0050765D">
      <w:pPr>
        <w:pStyle w:val="Heading1"/>
      </w:pPr>
      <w:bookmarkStart w:id="17" w:name="_Toc218558113"/>
      <w:r w:rsidRPr="00E6194B">
        <w:lastRenderedPageBreak/>
        <w:t>6. Critical Discussion</w:t>
      </w:r>
      <w:bookmarkEnd w:id="17"/>
    </w:p>
    <w:p w14:paraId="0096E84D" w14:textId="77777777" w:rsidR="00A921EF" w:rsidRPr="00E6194B" w:rsidRDefault="00A921EF" w:rsidP="00A921EF">
      <w:r w:rsidRPr="00E6194B">
        <w:t>It is necessary to keep revising the information security regulation and standards to support the changing environment of technology and threats. Fixed standards are becoming inoperable in the environment that is defined by cloud computing, ubiquitous wireless connection, and mass adoption of BYOD. These changes bring with them dynamic and distributed risk profiles that are to be governed with adaptive means and constant surveillance.</w:t>
      </w:r>
    </w:p>
    <w:p w14:paraId="040AA4C8" w14:textId="044B381E" w:rsidR="00A921EF" w:rsidRPr="00E6194B" w:rsidRDefault="00A921EF" w:rsidP="00A921EF">
      <w:r w:rsidRPr="00E6194B">
        <w:t>Nonetheless, regular changes in regulations and standards present their own problems as well such as raising the cost of compliance, disrupting business operations, and the threat of compliance fatigue. The organisations are thus required to strike a balance between being responsive to regulations and being proportionate as well as effective controls are ensured without compromising on the effectiveness of operations. Governance wise, the development of standards helps to uphold the aspect of due care and due diligence by encouraging routine review, accountability and improvement of the same. Organisations with adaptive and risk-informed governance structures are more resilient, safeguard stakeholder interests, and have a longer-term compliance presence.</w:t>
      </w:r>
    </w:p>
    <w:p w14:paraId="54B48B46" w14:textId="77777777" w:rsidR="00A921EF" w:rsidRPr="00E6194B" w:rsidRDefault="00A921EF" w:rsidP="00A921EF"/>
    <w:p w14:paraId="1C0808B2" w14:textId="19D4C086" w:rsidR="00A570D3" w:rsidRPr="00E6194B" w:rsidRDefault="0050765D" w:rsidP="0050765D">
      <w:pPr>
        <w:pStyle w:val="Heading1"/>
      </w:pPr>
      <w:bookmarkStart w:id="18" w:name="_Toc218558114"/>
      <w:r w:rsidRPr="00E6194B">
        <w:t>7. Conclusion</w:t>
      </w:r>
      <w:bookmarkEnd w:id="18"/>
    </w:p>
    <w:p w14:paraId="393CE361" w14:textId="77777777" w:rsidR="00A921EF" w:rsidRPr="00E6194B" w:rsidRDefault="00A921EF" w:rsidP="00A921EF">
      <w:r w:rsidRPr="00E6194B">
        <w:t>This report has explored the use of security frameworks, governance principles and compliance practices on the NatureGreen scenario. The discussion shows that NG is facing a risky environment that is complex because of its reliance on cloud services, wireless network and BYOD access that cannot be adequately addressed using ad hoc and technical means. It is thus necessary to have a structured, governance-based, and standards-informed approach.</w:t>
      </w:r>
    </w:p>
    <w:p w14:paraId="6FEBC0D3" w14:textId="77777777" w:rsidR="00A921EF" w:rsidRPr="00E6194B" w:rsidRDefault="00A921EF" w:rsidP="00A921EF">
      <w:r w:rsidRPr="00E6194B">
        <w:t>The recommended security, governance, and compliance strategy will combine board-level control, roles, and responsibilities, formal security policies, risk management practices, contingency planning, and effective technical controls. The alignment of these aspects with the known standards like ISO/IEC 27001 and ITIL would help NG to safeguard sensitive data, intellectual property, and prove that it complies with the regulations.</w:t>
      </w:r>
    </w:p>
    <w:p w14:paraId="6AAB08EF" w14:textId="443E2580" w:rsidR="00A921EF" w:rsidRPr="00E6194B" w:rsidRDefault="00A921EF" w:rsidP="00A921EF">
      <w:r w:rsidRPr="00E6194B">
        <w:t xml:space="preserve">Finally, the report demonstrates that good information security is a continuous process but not an endpoint. NatureGreen can improve its security posture, mitigate risk, and promote sustainable business operations in an ever-evolving digital environment by following the </w:t>
      </w:r>
      <w:r w:rsidRPr="00E6194B">
        <w:lastRenderedPageBreak/>
        <w:t>adaptive governance practices and constantly changing in response to technological and regulatory change.</w:t>
      </w:r>
    </w:p>
    <w:p w14:paraId="1F316988" w14:textId="77777777" w:rsidR="00A921EF" w:rsidRPr="00E6194B" w:rsidRDefault="00A921EF" w:rsidP="00A921EF"/>
    <w:p w14:paraId="085ABE6D" w14:textId="77777777" w:rsidR="001F226A" w:rsidRPr="00E6194B" w:rsidRDefault="001F226A">
      <w:pPr>
        <w:spacing w:line="259" w:lineRule="auto"/>
        <w:jc w:val="left"/>
      </w:pPr>
      <w:r w:rsidRPr="00E6194B">
        <w:br w:type="page"/>
      </w:r>
    </w:p>
    <w:p w14:paraId="09DCBC1B" w14:textId="1C481645" w:rsidR="003C5053" w:rsidRPr="00E6194B" w:rsidRDefault="003C5053" w:rsidP="001F226A">
      <w:pPr>
        <w:pStyle w:val="Heading1"/>
      </w:pPr>
      <w:bookmarkStart w:id="19" w:name="_Toc218558115"/>
      <w:r w:rsidRPr="00E6194B">
        <w:lastRenderedPageBreak/>
        <w:t>References</w:t>
      </w:r>
      <w:bookmarkEnd w:id="19"/>
    </w:p>
    <w:p w14:paraId="3C809D8E" w14:textId="297C5216" w:rsidR="007D5A41" w:rsidRPr="00E6194B" w:rsidRDefault="007D5A41" w:rsidP="00A921EF">
      <w:r w:rsidRPr="00E6194B">
        <w:t xml:space="preserve">Acev, D., Grover, V., &amp; Wende, K. (2025). Systematic analysis of data governance frameworks and their implementation. Management &amp; Organization Review </w:t>
      </w:r>
      <w:hyperlink r:id="rId11" w:history="1">
        <w:r w:rsidRPr="00E6194B">
          <w:rPr>
            <w:rStyle w:val="Hyperlink"/>
          </w:rPr>
          <w:t>https://doi.org/10.1007/s11301-025-00545-1</w:t>
        </w:r>
      </w:hyperlink>
    </w:p>
    <w:p w14:paraId="6AA718A3" w14:textId="7A4E47D1" w:rsidR="007D5A41" w:rsidRPr="00E6194B" w:rsidRDefault="007D5A41" w:rsidP="00A921EF">
      <w:r w:rsidRPr="00E6194B">
        <w:t>AlHogail, A. (2022). Improving information security compliance behavior: An empirical study. Computers &amp; Security, 113, 102550.</w:t>
      </w:r>
      <w:r w:rsidR="00A921EF" w:rsidRPr="00E6194B">
        <w:t xml:space="preserve"> </w:t>
      </w:r>
      <w:hyperlink r:id="rId12" w:history="1">
        <w:r w:rsidRPr="00E6194B">
          <w:rPr>
            <w:rStyle w:val="Hyperlink"/>
          </w:rPr>
          <w:t>https://doi.org/10.1016/j.cose.2021.102550</w:t>
        </w:r>
      </w:hyperlink>
    </w:p>
    <w:p w14:paraId="04077700" w14:textId="4BCD610D" w:rsidR="007D5A41" w:rsidRPr="00E6194B" w:rsidRDefault="007D5A41" w:rsidP="00A921EF">
      <w:r w:rsidRPr="00E6194B">
        <w:t>AXELOS. (2019). ITIL® 4 Foundation: IT service management best practices. AXELOS.</w:t>
      </w:r>
    </w:p>
    <w:p w14:paraId="52FF3C12" w14:textId="6466C08E" w:rsidR="007D5A41" w:rsidRPr="00E6194B" w:rsidRDefault="007D5A41" w:rsidP="00A921EF">
      <w:r w:rsidRPr="00E6194B">
        <w:t>Chen, Y., Ramamurthy, K., &amp; Wen, K. W. (2022). Organizations’ information security policy compliance: A literature review and research agenda. Journal of Management Information Systems, 39(1), 55–92.</w:t>
      </w:r>
      <w:r w:rsidR="00A921EF" w:rsidRPr="00E6194B">
        <w:t xml:space="preserve"> </w:t>
      </w:r>
      <w:hyperlink r:id="rId13" w:history="1">
        <w:r w:rsidRPr="00E6194B">
          <w:rPr>
            <w:rStyle w:val="Hyperlink"/>
          </w:rPr>
          <w:t>https://doi.org/10.1080/07421222.2021.2023409</w:t>
        </w:r>
      </w:hyperlink>
    </w:p>
    <w:p w14:paraId="1CD96BCD" w14:textId="389DC1F4" w:rsidR="007D5A41" w:rsidRPr="00E6194B" w:rsidRDefault="007D5A41" w:rsidP="00A921EF">
      <w:r w:rsidRPr="00E6194B">
        <w:t>Hubbard, D. W., &amp; Seiersen, R. (2022). How to measure anything in cybersecurity risk. Wiley.</w:t>
      </w:r>
    </w:p>
    <w:p w14:paraId="6C02F8A5" w14:textId="2158BBC6" w:rsidR="007D5A41" w:rsidRPr="00E6194B" w:rsidRDefault="007D5A41" w:rsidP="00A921EF">
      <w:r w:rsidRPr="00E6194B">
        <w:t xml:space="preserve">International Organization for Standardization. (2022). ISO/IEC 27001:2022 — Information security, cybersecurity and privacy protection </w:t>
      </w:r>
      <w:r w:rsidR="00A921EF" w:rsidRPr="00E6194B">
        <w:t>-</w:t>
      </w:r>
      <w:r w:rsidRPr="00E6194B">
        <w:t xml:space="preserve"> Information security management systems </w:t>
      </w:r>
      <w:r w:rsidR="00A921EF" w:rsidRPr="00E6194B">
        <w:t>-</w:t>
      </w:r>
      <w:r w:rsidRPr="00E6194B">
        <w:t xml:space="preserve"> Requirements. ISO.</w:t>
      </w:r>
    </w:p>
    <w:p w14:paraId="166B62D0" w14:textId="79DEB73E" w:rsidR="007D5A41" w:rsidRPr="00E6194B" w:rsidRDefault="007D5A41" w:rsidP="00A921EF">
      <w:r w:rsidRPr="00E6194B">
        <w:t xml:space="preserve">International Organization for Standardization. (2022). ISO/IEC 27002:2022 — Information security, cybersecurity and privacy protection </w:t>
      </w:r>
      <w:r w:rsidR="00A921EF" w:rsidRPr="00E6194B">
        <w:t>-</w:t>
      </w:r>
      <w:r w:rsidRPr="00E6194B">
        <w:t xml:space="preserve"> Information security controls. ISO.</w:t>
      </w:r>
    </w:p>
    <w:p w14:paraId="7E1856E9" w14:textId="663F0D70" w:rsidR="007D5A41" w:rsidRPr="00E6194B" w:rsidRDefault="007D5A41" w:rsidP="00A921EF">
      <w:r w:rsidRPr="00E6194B">
        <w:t xml:space="preserve">International Organization for Standardization. (2022). ISO/IEC 27014:2022 </w:t>
      </w:r>
      <w:r w:rsidR="00A921EF" w:rsidRPr="00E6194B">
        <w:t>-</w:t>
      </w:r>
      <w:r w:rsidRPr="00E6194B">
        <w:t xml:space="preserve"> Governance of information security. ISO.</w:t>
      </w:r>
    </w:p>
    <w:p w14:paraId="1A4842C6" w14:textId="76FA167F" w:rsidR="007D5A41" w:rsidRPr="00E6194B" w:rsidRDefault="007D5A41" w:rsidP="00A921EF">
      <w:r w:rsidRPr="00E6194B">
        <w:t>Javan, M. S. (2025). A semantic model for audit of cloud engines based on ISO/IEC standards. arXiv preprint.</w:t>
      </w:r>
      <w:r w:rsidR="00A921EF" w:rsidRPr="00E6194B">
        <w:t xml:space="preserve"> </w:t>
      </w:r>
      <w:hyperlink r:id="rId14" w:history="1">
        <w:r w:rsidRPr="00E6194B">
          <w:rPr>
            <w:rStyle w:val="Hyperlink"/>
          </w:rPr>
          <w:t>https://arxiv.org/abs/2510.09690</w:t>
        </w:r>
      </w:hyperlink>
    </w:p>
    <w:p w14:paraId="01384C9B" w14:textId="1186D439" w:rsidR="007D5A41" w:rsidRPr="00E6194B" w:rsidRDefault="007D5A41" w:rsidP="00A921EF">
      <w:r w:rsidRPr="00E6194B">
        <w:t>Killcrece, G., Kossakowski, K. P., Ruefle, R., &amp; Zajicek, M. (2022). State of the practice of computer security incident response teams (CSIRTs). Software Engineering Institute, Carnegie Mellon University.</w:t>
      </w:r>
    </w:p>
    <w:p w14:paraId="1123769A" w14:textId="7B5EC618" w:rsidR="007D5A41" w:rsidRPr="00E6194B" w:rsidRDefault="007D5A41" w:rsidP="00A921EF">
      <w:r w:rsidRPr="00E6194B">
        <w:t>Li, Z. (2025). Data risk and data compliance governance for generative AI. Academic Journal of Computing &amp; Information Science, 8(3), 79–86.</w:t>
      </w:r>
      <w:r w:rsidR="00A921EF" w:rsidRPr="00E6194B">
        <w:t xml:space="preserve"> </w:t>
      </w:r>
      <w:hyperlink r:id="rId15" w:history="1">
        <w:r w:rsidR="00A0234E" w:rsidRPr="00E6194B">
          <w:rPr>
            <w:rStyle w:val="Hyperlink"/>
          </w:rPr>
          <w:t>https://doi.org/10.25236/AJCIS.2025.080311</w:t>
        </w:r>
      </w:hyperlink>
    </w:p>
    <w:p w14:paraId="6A407782" w14:textId="33261578" w:rsidR="007D5A41" w:rsidRPr="00E6194B" w:rsidRDefault="007D5A41" w:rsidP="00A921EF">
      <w:r w:rsidRPr="00E6194B">
        <w:t xml:space="preserve">Myeka, P. K. R. (2025). Data governance and privacy in modern database architecture: A comprehensive analysis. European Journal of Computer Science and Information Technology, </w:t>
      </w:r>
      <w:r w:rsidRPr="00E6194B">
        <w:lastRenderedPageBreak/>
        <w:t>13(2), 79–90.</w:t>
      </w:r>
      <w:r w:rsidR="00A921EF" w:rsidRPr="00E6194B">
        <w:t xml:space="preserve"> </w:t>
      </w:r>
      <w:hyperlink r:id="rId16" w:history="1">
        <w:r w:rsidR="00A0234E" w:rsidRPr="00E6194B">
          <w:rPr>
            <w:rStyle w:val="Hyperlink"/>
          </w:rPr>
          <w:t>https://www.eajournals.org/wp-content/uploads/sites/21/2025/05/Data-Governance.pdf</w:t>
        </w:r>
      </w:hyperlink>
    </w:p>
    <w:p w14:paraId="666F9449" w14:textId="763BBD97" w:rsidR="007D5A41" w:rsidRPr="00E6194B" w:rsidRDefault="007D5A41" w:rsidP="00A921EF">
      <w:r w:rsidRPr="00E6194B">
        <w:t>National Institute of Standards and Technology. (2024). NIST Cybersecurity Framework (CSF) 2.0.</w:t>
      </w:r>
      <w:r w:rsidR="00A921EF" w:rsidRPr="00E6194B">
        <w:t xml:space="preserve"> </w:t>
      </w:r>
      <w:hyperlink r:id="rId17" w:history="1">
        <w:r w:rsidR="00A0234E" w:rsidRPr="00E6194B">
          <w:rPr>
            <w:rStyle w:val="Hyperlink"/>
          </w:rPr>
          <w:t>https://www.nist.gov/cyberframework</w:t>
        </w:r>
      </w:hyperlink>
    </w:p>
    <w:p w14:paraId="373EF363" w14:textId="1209E8B5" w:rsidR="007D5A41" w:rsidRPr="00E6194B" w:rsidRDefault="007D5A41" w:rsidP="00A921EF">
      <w:r w:rsidRPr="00E6194B">
        <w:t>Osakwe, J., &amp; Haitula-Waiganjo, I. (2025). Data security and compliance through effective data governance. International Journal of Information Security, 4(1), 69–97.</w:t>
      </w:r>
      <w:r w:rsidR="00A921EF" w:rsidRPr="00E6194B">
        <w:t xml:space="preserve"> </w:t>
      </w:r>
      <w:hyperlink r:id="rId18" w:history="1">
        <w:r w:rsidR="00A0234E" w:rsidRPr="00E6194B">
          <w:rPr>
            <w:rStyle w:val="Hyperlink"/>
          </w:rPr>
          <w:t>https://doi.org/10.34218/IJIS_04_01_004</w:t>
        </w:r>
      </w:hyperlink>
    </w:p>
    <w:p w14:paraId="3769CA1D" w14:textId="2AA6B0E2" w:rsidR="007D5A41" w:rsidRPr="00E6194B" w:rsidRDefault="007D5A41" w:rsidP="00A921EF">
      <w:r w:rsidRPr="00E6194B">
        <w:t>Snedaker, S. (2023). Business continuity and disaster recovery planning for IT professionals (3rd ed.). Syngress.</w:t>
      </w:r>
    </w:p>
    <w:p w14:paraId="4C26A484" w14:textId="6331A468" w:rsidR="007D5A41" w:rsidRPr="00E6194B" w:rsidRDefault="007D5A41" w:rsidP="00A921EF">
      <w:r w:rsidRPr="00E6194B">
        <w:t>Solove, D. J., &amp; Schwartz, P. M. (2023). Information privacy law (7th ed.). Wolters Kluwer.</w:t>
      </w:r>
    </w:p>
    <w:p w14:paraId="78D9DB65" w14:textId="6E3CD489" w:rsidR="007D5A41" w:rsidRPr="00E6194B" w:rsidRDefault="007D5A41" w:rsidP="00A921EF">
      <w:r w:rsidRPr="00E6194B">
        <w:t>von Solms, R., &amp; van Niekerk, J. (2022). From information security to cyber security. Computers &amp; Security, 38, 97–102.</w:t>
      </w:r>
      <w:r w:rsidR="00A921EF" w:rsidRPr="00E6194B">
        <w:t xml:space="preserve"> </w:t>
      </w:r>
      <w:hyperlink r:id="rId19" w:history="1">
        <w:r w:rsidR="00A0234E" w:rsidRPr="00E6194B">
          <w:rPr>
            <w:rStyle w:val="Hyperlink"/>
          </w:rPr>
          <w:t>https://doi.org/10.1016/j.cose.2022.04.002</w:t>
        </w:r>
      </w:hyperlink>
    </w:p>
    <w:p w14:paraId="6B7CD229" w14:textId="56573126" w:rsidR="007D5A41" w:rsidRPr="00E6194B" w:rsidRDefault="007D5A41" w:rsidP="00A921EF">
      <w:r w:rsidRPr="00E6194B">
        <w:t>Wang, Y., &amp; Yang, X. (2025). Machine learning-based cloud computing compliance process automation. arXiv preprint.</w:t>
      </w:r>
      <w:r w:rsidR="00A921EF" w:rsidRPr="00E6194B">
        <w:t xml:space="preserve"> </w:t>
      </w:r>
      <w:hyperlink r:id="rId20" w:history="1">
        <w:r w:rsidR="00A0234E" w:rsidRPr="00E6194B">
          <w:rPr>
            <w:rStyle w:val="Hyperlink"/>
          </w:rPr>
          <w:t>https://arxiv.org/abs/2502.16344</w:t>
        </w:r>
      </w:hyperlink>
    </w:p>
    <w:p w14:paraId="03401576" w14:textId="0758DCDF" w:rsidR="007D5A41" w:rsidRPr="00E6194B" w:rsidRDefault="007D5A41" w:rsidP="00A921EF">
      <w:r w:rsidRPr="00E6194B">
        <w:t>Wei, L. (2025). Data security governance: A review of theoretical perspectives. ACM Computing Surveys.</w:t>
      </w:r>
      <w:r w:rsidR="00A921EF" w:rsidRPr="00E6194B">
        <w:t xml:space="preserve"> </w:t>
      </w:r>
      <w:hyperlink r:id="rId21" w:history="1">
        <w:r w:rsidR="00A0234E" w:rsidRPr="00E6194B">
          <w:rPr>
            <w:rStyle w:val="Hyperlink"/>
          </w:rPr>
          <w:t>https://doi.org/10.1145/3759179.3759267</w:t>
        </w:r>
      </w:hyperlink>
    </w:p>
    <w:p w14:paraId="28D3BCA7" w14:textId="3121C641" w:rsidR="00A0234E" w:rsidRPr="00E6194B" w:rsidRDefault="007D5A41" w:rsidP="00A921EF">
      <w:r w:rsidRPr="00E6194B">
        <w:t>Zhang, Q., Chen, M., Li, L., &amp; Wu, J. (2023). Cloud security governance: Models and challenges. IEEE Cloud Computing, 10(2), 40–49.</w:t>
      </w:r>
      <w:r w:rsidR="00A921EF" w:rsidRPr="00E6194B">
        <w:t xml:space="preserve"> </w:t>
      </w:r>
      <w:hyperlink r:id="rId22" w:history="1">
        <w:r w:rsidR="00A0234E" w:rsidRPr="00E6194B">
          <w:rPr>
            <w:rStyle w:val="Hyperlink"/>
          </w:rPr>
          <w:t>https://doi.org/10.1109/MCC.2023.3249891</w:t>
        </w:r>
      </w:hyperlink>
    </w:p>
    <w:p w14:paraId="4F0CD170" w14:textId="7337832A" w:rsidR="00A0234E" w:rsidRPr="00E6194B" w:rsidRDefault="00A0234E" w:rsidP="00A921EF"/>
    <w:p w14:paraId="33AFD174" w14:textId="77777777" w:rsidR="00A0234E" w:rsidRPr="00E6194B" w:rsidRDefault="00A0234E" w:rsidP="007D5A41">
      <w:pPr>
        <w:jc w:val="left"/>
      </w:pPr>
    </w:p>
    <w:sectPr w:rsidR="00A0234E" w:rsidRPr="00E6194B" w:rsidSect="00AF2262">
      <w:footerReference w:type="default" r:id="rId23"/>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EFD5E" w14:textId="77777777" w:rsidR="00C55706" w:rsidRDefault="00C55706" w:rsidP="000F13EB">
      <w:pPr>
        <w:spacing w:after="0" w:line="240" w:lineRule="auto"/>
      </w:pPr>
      <w:r>
        <w:separator/>
      </w:r>
    </w:p>
  </w:endnote>
  <w:endnote w:type="continuationSeparator" w:id="0">
    <w:p w14:paraId="190072FF" w14:textId="77777777" w:rsidR="00C55706" w:rsidRDefault="00C55706" w:rsidP="000F1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Sans-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984912"/>
      <w:docPartObj>
        <w:docPartGallery w:val="Page Numbers (Bottom of Page)"/>
        <w:docPartUnique/>
      </w:docPartObj>
    </w:sdtPr>
    <w:sdtEndPr>
      <w:rPr>
        <w:noProof/>
      </w:rPr>
    </w:sdtEndPr>
    <w:sdtContent>
      <w:p w14:paraId="7DA97709" w14:textId="3F3C8330" w:rsidR="000F13EB" w:rsidRDefault="001F226A" w:rsidP="001F226A">
        <w:pPr>
          <w:pStyle w:val="Footer"/>
          <w:jc w:val="right"/>
        </w:pPr>
        <w:r>
          <w:t xml:space="preserve">Page| </w:t>
        </w:r>
        <w:r w:rsidR="000F13EB">
          <w:fldChar w:fldCharType="begin"/>
        </w:r>
        <w:r w:rsidR="000F13EB">
          <w:instrText xml:space="preserve"> PAGE   \* MERGEFORMAT </w:instrText>
        </w:r>
        <w:r w:rsidR="000F13EB">
          <w:fldChar w:fldCharType="separate"/>
        </w:r>
        <w:r w:rsidR="00EA3135">
          <w:rPr>
            <w:noProof/>
          </w:rPr>
          <w:t>14</w:t>
        </w:r>
        <w:r w:rsidR="000F13EB">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B79DB" w14:textId="77777777" w:rsidR="00C55706" w:rsidRDefault="00C55706" w:rsidP="000F13EB">
      <w:pPr>
        <w:spacing w:after="0" w:line="240" w:lineRule="auto"/>
      </w:pPr>
      <w:r>
        <w:separator/>
      </w:r>
    </w:p>
  </w:footnote>
  <w:footnote w:type="continuationSeparator" w:id="0">
    <w:p w14:paraId="4D364512" w14:textId="77777777" w:rsidR="00C55706" w:rsidRDefault="00C55706" w:rsidP="000F1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853DD"/>
    <w:multiLevelType w:val="hybridMultilevel"/>
    <w:tmpl w:val="F542A2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E05DB"/>
    <w:multiLevelType w:val="hybridMultilevel"/>
    <w:tmpl w:val="B3F20390"/>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A6EC6"/>
    <w:multiLevelType w:val="multilevel"/>
    <w:tmpl w:val="EB2CB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F261F1"/>
    <w:multiLevelType w:val="multilevel"/>
    <w:tmpl w:val="3928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B6CEC"/>
    <w:multiLevelType w:val="hybridMultilevel"/>
    <w:tmpl w:val="C5361F2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37BEE"/>
    <w:multiLevelType w:val="hybridMultilevel"/>
    <w:tmpl w:val="7ACA3E48"/>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70E55875"/>
    <w:multiLevelType w:val="multilevel"/>
    <w:tmpl w:val="6E7C2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2"/>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5CB"/>
    <w:rsid w:val="00000960"/>
    <w:rsid w:val="00001781"/>
    <w:rsid w:val="00001CE5"/>
    <w:rsid w:val="00002B0B"/>
    <w:rsid w:val="00006C77"/>
    <w:rsid w:val="00010B5E"/>
    <w:rsid w:val="00012469"/>
    <w:rsid w:val="00031B77"/>
    <w:rsid w:val="00036DF6"/>
    <w:rsid w:val="00053B24"/>
    <w:rsid w:val="0005715C"/>
    <w:rsid w:val="00070D4F"/>
    <w:rsid w:val="0007116A"/>
    <w:rsid w:val="00074689"/>
    <w:rsid w:val="00076D4B"/>
    <w:rsid w:val="00080CE3"/>
    <w:rsid w:val="0009560C"/>
    <w:rsid w:val="000A0D24"/>
    <w:rsid w:val="000A3A3B"/>
    <w:rsid w:val="000C6FAF"/>
    <w:rsid w:val="000D01ED"/>
    <w:rsid w:val="000F013A"/>
    <w:rsid w:val="000F13EB"/>
    <w:rsid w:val="000F59BB"/>
    <w:rsid w:val="00104026"/>
    <w:rsid w:val="00105531"/>
    <w:rsid w:val="001103BF"/>
    <w:rsid w:val="00114198"/>
    <w:rsid w:val="00116786"/>
    <w:rsid w:val="00117C68"/>
    <w:rsid w:val="00121580"/>
    <w:rsid w:val="00123F01"/>
    <w:rsid w:val="00126611"/>
    <w:rsid w:val="00135E6B"/>
    <w:rsid w:val="00142AB4"/>
    <w:rsid w:val="0016125D"/>
    <w:rsid w:val="00166891"/>
    <w:rsid w:val="00170543"/>
    <w:rsid w:val="00184E1D"/>
    <w:rsid w:val="001915FA"/>
    <w:rsid w:val="00192DEB"/>
    <w:rsid w:val="001B6202"/>
    <w:rsid w:val="001C57CD"/>
    <w:rsid w:val="001C767C"/>
    <w:rsid w:val="001D13D7"/>
    <w:rsid w:val="001D69BE"/>
    <w:rsid w:val="001E3865"/>
    <w:rsid w:val="001E79E8"/>
    <w:rsid w:val="001F226A"/>
    <w:rsid w:val="001F48F4"/>
    <w:rsid w:val="001F5FBA"/>
    <w:rsid w:val="001F7199"/>
    <w:rsid w:val="00200560"/>
    <w:rsid w:val="00201188"/>
    <w:rsid w:val="00202104"/>
    <w:rsid w:val="002152F4"/>
    <w:rsid w:val="002169E2"/>
    <w:rsid w:val="002235B1"/>
    <w:rsid w:val="00226635"/>
    <w:rsid w:val="00234FA2"/>
    <w:rsid w:val="00242C8E"/>
    <w:rsid w:val="002609FD"/>
    <w:rsid w:val="00261940"/>
    <w:rsid w:val="00271FBD"/>
    <w:rsid w:val="00282776"/>
    <w:rsid w:val="002865E2"/>
    <w:rsid w:val="0029362B"/>
    <w:rsid w:val="00296283"/>
    <w:rsid w:val="0029641E"/>
    <w:rsid w:val="00296ED2"/>
    <w:rsid w:val="002A3FBD"/>
    <w:rsid w:val="002B0ABE"/>
    <w:rsid w:val="002B2C31"/>
    <w:rsid w:val="002B2DA8"/>
    <w:rsid w:val="002B3306"/>
    <w:rsid w:val="002B7107"/>
    <w:rsid w:val="002C54C6"/>
    <w:rsid w:val="002D259E"/>
    <w:rsid w:val="002E2EDB"/>
    <w:rsid w:val="002F0559"/>
    <w:rsid w:val="002F6958"/>
    <w:rsid w:val="00313BCC"/>
    <w:rsid w:val="0031547E"/>
    <w:rsid w:val="00325DAB"/>
    <w:rsid w:val="003434FA"/>
    <w:rsid w:val="00343762"/>
    <w:rsid w:val="00351CA3"/>
    <w:rsid w:val="00370A39"/>
    <w:rsid w:val="003735DA"/>
    <w:rsid w:val="00375ED1"/>
    <w:rsid w:val="00377F51"/>
    <w:rsid w:val="003833C2"/>
    <w:rsid w:val="00383BA9"/>
    <w:rsid w:val="003A7564"/>
    <w:rsid w:val="003B6254"/>
    <w:rsid w:val="003C1403"/>
    <w:rsid w:val="003C5053"/>
    <w:rsid w:val="003E0057"/>
    <w:rsid w:val="003E182C"/>
    <w:rsid w:val="003F710E"/>
    <w:rsid w:val="0041305B"/>
    <w:rsid w:val="00416FEC"/>
    <w:rsid w:val="00420133"/>
    <w:rsid w:val="00423016"/>
    <w:rsid w:val="00425C29"/>
    <w:rsid w:val="00426EA4"/>
    <w:rsid w:val="004400E3"/>
    <w:rsid w:val="00452178"/>
    <w:rsid w:val="004525A5"/>
    <w:rsid w:val="00456789"/>
    <w:rsid w:val="004663B4"/>
    <w:rsid w:val="00471FD6"/>
    <w:rsid w:val="0047471B"/>
    <w:rsid w:val="00481EE3"/>
    <w:rsid w:val="004824B6"/>
    <w:rsid w:val="00483691"/>
    <w:rsid w:val="004868B3"/>
    <w:rsid w:val="004874D1"/>
    <w:rsid w:val="004B718E"/>
    <w:rsid w:val="004C33BF"/>
    <w:rsid w:val="004D685D"/>
    <w:rsid w:val="004F766F"/>
    <w:rsid w:val="00503AA2"/>
    <w:rsid w:val="00506C68"/>
    <w:rsid w:val="0050765D"/>
    <w:rsid w:val="0051132B"/>
    <w:rsid w:val="005142F1"/>
    <w:rsid w:val="00514A2E"/>
    <w:rsid w:val="00516B16"/>
    <w:rsid w:val="00521A41"/>
    <w:rsid w:val="005230E4"/>
    <w:rsid w:val="0052320A"/>
    <w:rsid w:val="005436A1"/>
    <w:rsid w:val="00556FFC"/>
    <w:rsid w:val="0056516C"/>
    <w:rsid w:val="0057151E"/>
    <w:rsid w:val="005829B8"/>
    <w:rsid w:val="00595BBC"/>
    <w:rsid w:val="005A26BC"/>
    <w:rsid w:val="005A2E5B"/>
    <w:rsid w:val="005A75C9"/>
    <w:rsid w:val="005C7A51"/>
    <w:rsid w:val="005E2CD8"/>
    <w:rsid w:val="005E34D9"/>
    <w:rsid w:val="005F2799"/>
    <w:rsid w:val="00604764"/>
    <w:rsid w:val="00604DFA"/>
    <w:rsid w:val="006052FF"/>
    <w:rsid w:val="0060639E"/>
    <w:rsid w:val="0060664A"/>
    <w:rsid w:val="006200FC"/>
    <w:rsid w:val="006259D6"/>
    <w:rsid w:val="00626E39"/>
    <w:rsid w:val="006344FC"/>
    <w:rsid w:val="006439AA"/>
    <w:rsid w:val="00644A50"/>
    <w:rsid w:val="00644E2C"/>
    <w:rsid w:val="00656207"/>
    <w:rsid w:val="0067210E"/>
    <w:rsid w:val="00680FBA"/>
    <w:rsid w:val="00685CC7"/>
    <w:rsid w:val="006A0F24"/>
    <w:rsid w:val="006A2B05"/>
    <w:rsid w:val="006A48C5"/>
    <w:rsid w:val="006B5B5C"/>
    <w:rsid w:val="006C3AAD"/>
    <w:rsid w:val="006D0ECA"/>
    <w:rsid w:val="006E5513"/>
    <w:rsid w:val="006F6B24"/>
    <w:rsid w:val="00707060"/>
    <w:rsid w:val="00723382"/>
    <w:rsid w:val="00727850"/>
    <w:rsid w:val="00734EC8"/>
    <w:rsid w:val="007611F8"/>
    <w:rsid w:val="007667B7"/>
    <w:rsid w:val="00771C37"/>
    <w:rsid w:val="00773D76"/>
    <w:rsid w:val="007769EA"/>
    <w:rsid w:val="00793009"/>
    <w:rsid w:val="00793804"/>
    <w:rsid w:val="00794A21"/>
    <w:rsid w:val="00794FD6"/>
    <w:rsid w:val="007A0E02"/>
    <w:rsid w:val="007A45CB"/>
    <w:rsid w:val="007A5AE5"/>
    <w:rsid w:val="007B1739"/>
    <w:rsid w:val="007B5925"/>
    <w:rsid w:val="007B6178"/>
    <w:rsid w:val="007C14E8"/>
    <w:rsid w:val="007D30F2"/>
    <w:rsid w:val="007D5A41"/>
    <w:rsid w:val="007D782D"/>
    <w:rsid w:val="007F3371"/>
    <w:rsid w:val="007F38A1"/>
    <w:rsid w:val="008070D8"/>
    <w:rsid w:val="008167DA"/>
    <w:rsid w:val="00821367"/>
    <w:rsid w:val="00823465"/>
    <w:rsid w:val="0082579A"/>
    <w:rsid w:val="008276C4"/>
    <w:rsid w:val="0083183B"/>
    <w:rsid w:val="00845712"/>
    <w:rsid w:val="00847B4F"/>
    <w:rsid w:val="00857032"/>
    <w:rsid w:val="00860E47"/>
    <w:rsid w:val="00872952"/>
    <w:rsid w:val="008763EF"/>
    <w:rsid w:val="00890836"/>
    <w:rsid w:val="008968AB"/>
    <w:rsid w:val="00896FAC"/>
    <w:rsid w:val="008A0BCA"/>
    <w:rsid w:val="008B1B42"/>
    <w:rsid w:val="008C469D"/>
    <w:rsid w:val="008E7B78"/>
    <w:rsid w:val="00907410"/>
    <w:rsid w:val="00910936"/>
    <w:rsid w:val="00913356"/>
    <w:rsid w:val="00914BDC"/>
    <w:rsid w:val="00917B0D"/>
    <w:rsid w:val="009211F6"/>
    <w:rsid w:val="009264B5"/>
    <w:rsid w:val="00936160"/>
    <w:rsid w:val="009362F2"/>
    <w:rsid w:val="009502C3"/>
    <w:rsid w:val="0095070D"/>
    <w:rsid w:val="00955D1C"/>
    <w:rsid w:val="00956274"/>
    <w:rsid w:val="00961C08"/>
    <w:rsid w:val="00977C61"/>
    <w:rsid w:val="0098242D"/>
    <w:rsid w:val="009853BC"/>
    <w:rsid w:val="00986676"/>
    <w:rsid w:val="009A019E"/>
    <w:rsid w:val="009A1169"/>
    <w:rsid w:val="009A3C26"/>
    <w:rsid w:val="009B09A7"/>
    <w:rsid w:val="009B44E7"/>
    <w:rsid w:val="009B669C"/>
    <w:rsid w:val="009B76BC"/>
    <w:rsid w:val="009C2756"/>
    <w:rsid w:val="009D3074"/>
    <w:rsid w:val="009D39AF"/>
    <w:rsid w:val="009E30B1"/>
    <w:rsid w:val="009E3C7F"/>
    <w:rsid w:val="009F61E6"/>
    <w:rsid w:val="00A0234E"/>
    <w:rsid w:val="00A24118"/>
    <w:rsid w:val="00A3748C"/>
    <w:rsid w:val="00A570D3"/>
    <w:rsid w:val="00A57FFC"/>
    <w:rsid w:val="00A6180F"/>
    <w:rsid w:val="00A72FBE"/>
    <w:rsid w:val="00A749D6"/>
    <w:rsid w:val="00A82971"/>
    <w:rsid w:val="00A83D36"/>
    <w:rsid w:val="00A90488"/>
    <w:rsid w:val="00A921EF"/>
    <w:rsid w:val="00AA2269"/>
    <w:rsid w:val="00AC2BB9"/>
    <w:rsid w:val="00AD7847"/>
    <w:rsid w:val="00AE629D"/>
    <w:rsid w:val="00AE6857"/>
    <w:rsid w:val="00AF2262"/>
    <w:rsid w:val="00B11C86"/>
    <w:rsid w:val="00B174B3"/>
    <w:rsid w:val="00B330A6"/>
    <w:rsid w:val="00B354CC"/>
    <w:rsid w:val="00B35798"/>
    <w:rsid w:val="00B410D3"/>
    <w:rsid w:val="00B47636"/>
    <w:rsid w:val="00B50121"/>
    <w:rsid w:val="00B55111"/>
    <w:rsid w:val="00B67237"/>
    <w:rsid w:val="00B67BCE"/>
    <w:rsid w:val="00B702E3"/>
    <w:rsid w:val="00B72ADD"/>
    <w:rsid w:val="00B81BA3"/>
    <w:rsid w:val="00B8392B"/>
    <w:rsid w:val="00B95A16"/>
    <w:rsid w:val="00BA2082"/>
    <w:rsid w:val="00BC071F"/>
    <w:rsid w:val="00BC141C"/>
    <w:rsid w:val="00BD56C3"/>
    <w:rsid w:val="00BE5A1C"/>
    <w:rsid w:val="00BF209B"/>
    <w:rsid w:val="00BF7FDA"/>
    <w:rsid w:val="00C009B6"/>
    <w:rsid w:val="00C00BB5"/>
    <w:rsid w:val="00C0179E"/>
    <w:rsid w:val="00C07379"/>
    <w:rsid w:val="00C104D1"/>
    <w:rsid w:val="00C2280B"/>
    <w:rsid w:val="00C25ABF"/>
    <w:rsid w:val="00C360CC"/>
    <w:rsid w:val="00C40803"/>
    <w:rsid w:val="00C52254"/>
    <w:rsid w:val="00C55706"/>
    <w:rsid w:val="00C57A96"/>
    <w:rsid w:val="00C607C8"/>
    <w:rsid w:val="00C61D60"/>
    <w:rsid w:val="00C624D6"/>
    <w:rsid w:val="00C72DCF"/>
    <w:rsid w:val="00CA0C08"/>
    <w:rsid w:val="00CB1DDC"/>
    <w:rsid w:val="00CC0D21"/>
    <w:rsid w:val="00CD2579"/>
    <w:rsid w:val="00CE1AC3"/>
    <w:rsid w:val="00D01BC4"/>
    <w:rsid w:val="00D06447"/>
    <w:rsid w:val="00D06982"/>
    <w:rsid w:val="00D06B11"/>
    <w:rsid w:val="00D20EDA"/>
    <w:rsid w:val="00D24299"/>
    <w:rsid w:val="00D4125C"/>
    <w:rsid w:val="00D540D2"/>
    <w:rsid w:val="00D568FB"/>
    <w:rsid w:val="00D71683"/>
    <w:rsid w:val="00D77396"/>
    <w:rsid w:val="00D852B9"/>
    <w:rsid w:val="00D95819"/>
    <w:rsid w:val="00DA23E4"/>
    <w:rsid w:val="00DA5E20"/>
    <w:rsid w:val="00DB1F55"/>
    <w:rsid w:val="00DB28F3"/>
    <w:rsid w:val="00DB6B6E"/>
    <w:rsid w:val="00DC58F1"/>
    <w:rsid w:val="00DC6818"/>
    <w:rsid w:val="00DD0867"/>
    <w:rsid w:val="00DD0CFF"/>
    <w:rsid w:val="00DD2090"/>
    <w:rsid w:val="00DE4588"/>
    <w:rsid w:val="00E03348"/>
    <w:rsid w:val="00E04DD0"/>
    <w:rsid w:val="00E12F38"/>
    <w:rsid w:val="00E22A50"/>
    <w:rsid w:val="00E23851"/>
    <w:rsid w:val="00E25B5E"/>
    <w:rsid w:val="00E57294"/>
    <w:rsid w:val="00E60A93"/>
    <w:rsid w:val="00E6194B"/>
    <w:rsid w:val="00E66463"/>
    <w:rsid w:val="00E67E45"/>
    <w:rsid w:val="00E8199E"/>
    <w:rsid w:val="00E86CE3"/>
    <w:rsid w:val="00E9576F"/>
    <w:rsid w:val="00E96646"/>
    <w:rsid w:val="00EA22EF"/>
    <w:rsid w:val="00EA3135"/>
    <w:rsid w:val="00EA5EFB"/>
    <w:rsid w:val="00EB70D2"/>
    <w:rsid w:val="00ED0110"/>
    <w:rsid w:val="00ED5B44"/>
    <w:rsid w:val="00EE19E8"/>
    <w:rsid w:val="00F14C74"/>
    <w:rsid w:val="00F1557C"/>
    <w:rsid w:val="00F17651"/>
    <w:rsid w:val="00F46788"/>
    <w:rsid w:val="00F60AAF"/>
    <w:rsid w:val="00F66A84"/>
    <w:rsid w:val="00F75C13"/>
    <w:rsid w:val="00F81DA8"/>
    <w:rsid w:val="00F91BBB"/>
    <w:rsid w:val="00F95627"/>
    <w:rsid w:val="00FA0447"/>
    <w:rsid w:val="00FA0C42"/>
    <w:rsid w:val="00FC15C3"/>
    <w:rsid w:val="00FC2E2A"/>
    <w:rsid w:val="00FC46BA"/>
    <w:rsid w:val="00FE0AEC"/>
    <w:rsid w:val="00FE368B"/>
    <w:rsid w:val="00FF2D2A"/>
    <w:rsid w:val="00FF3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5A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B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921EF"/>
    <w:pPr>
      <w:keepNext/>
      <w:keepLines/>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A921EF"/>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A0F24"/>
    <w:pPr>
      <w:keepNext/>
      <w:keepLines/>
      <w:spacing w:before="120" w:after="12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A45C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A45C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A45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45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45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45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Arial 11"/>
    <w:basedOn w:val="DefaultParagraphFont"/>
    <w:uiPriority w:val="22"/>
    <w:qFormat/>
    <w:rsid w:val="00910936"/>
    <w:rPr>
      <w:rFonts w:ascii="Arial" w:hAnsi="Arial"/>
      <w:b w:val="0"/>
      <w:bCs/>
      <w:color w:val="auto"/>
      <w:sz w:val="22"/>
    </w:rPr>
  </w:style>
  <w:style w:type="character" w:customStyle="1" w:styleId="Heading1Char">
    <w:name w:val="Heading 1 Char"/>
    <w:basedOn w:val="DefaultParagraphFont"/>
    <w:link w:val="Heading1"/>
    <w:uiPriority w:val="9"/>
    <w:rsid w:val="00A921EF"/>
    <w:rPr>
      <w:rFonts w:ascii="Times New Roman" w:eastAsiaTheme="majorEastAsia" w:hAnsi="Times New Roman" w:cstheme="majorBidi"/>
      <w:b/>
      <w:caps/>
      <w:sz w:val="28"/>
      <w:szCs w:val="32"/>
    </w:rPr>
  </w:style>
  <w:style w:type="character" w:customStyle="1" w:styleId="Heading2Char">
    <w:name w:val="Heading 2 Char"/>
    <w:basedOn w:val="DefaultParagraphFont"/>
    <w:link w:val="Heading2"/>
    <w:uiPriority w:val="9"/>
    <w:rsid w:val="00A921E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A0F24"/>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7A45C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A45C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A45C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A45C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A45C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A45C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A4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C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CB"/>
    <w:pPr>
      <w:spacing w:before="160"/>
      <w:jc w:val="center"/>
    </w:pPr>
    <w:rPr>
      <w:i/>
      <w:iCs/>
      <w:color w:val="404040" w:themeColor="text1" w:themeTint="BF"/>
    </w:rPr>
  </w:style>
  <w:style w:type="character" w:customStyle="1" w:styleId="QuoteChar">
    <w:name w:val="Quote Char"/>
    <w:basedOn w:val="DefaultParagraphFont"/>
    <w:link w:val="Quote"/>
    <w:uiPriority w:val="29"/>
    <w:rsid w:val="007A45CB"/>
    <w:rPr>
      <w:rFonts w:ascii="Times New Roman" w:hAnsi="Times New Roman"/>
      <w:i/>
      <w:iCs/>
      <w:color w:val="404040" w:themeColor="text1" w:themeTint="BF"/>
      <w:sz w:val="24"/>
    </w:rPr>
  </w:style>
  <w:style w:type="paragraph" w:styleId="ListParagraph">
    <w:name w:val="List Paragraph"/>
    <w:basedOn w:val="Normal"/>
    <w:uiPriority w:val="34"/>
    <w:qFormat/>
    <w:rsid w:val="007A45CB"/>
    <w:pPr>
      <w:ind w:left="720"/>
      <w:contextualSpacing/>
    </w:pPr>
  </w:style>
  <w:style w:type="character" w:styleId="IntenseEmphasis">
    <w:name w:val="Intense Emphasis"/>
    <w:basedOn w:val="DefaultParagraphFont"/>
    <w:uiPriority w:val="21"/>
    <w:qFormat/>
    <w:rsid w:val="007A45CB"/>
    <w:rPr>
      <w:i/>
      <w:iCs/>
      <w:color w:val="2F5496" w:themeColor="accent1" w:themeShade="BF"/>
    </w:rPr>
  </w:style>
  <w:style w:type="paragraph" w:styleId="IntenseQuote">
    <w:name w:val="Intense Quote"/>
    <w:basedOn w:val="Normal"/>
    <w:next w:val="Normal"/>
    <w:link w:val="IntenseQuoteChar"/>
    <w:uiPriority w:val="30"/>
    <w:qFormat/>
    <w:rsid w:val="007A45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5C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A45CB"/>
    <w:rPr>
      <w:b/>
      <w:bCs/>
      <w:smallCaps/>
      <w:color w:val="2F5496" w:themeColor="accent1" w:themeShade="BF"/>
      <w:spacing w:val="5"/>
    </w:rPr>
  </w:style>
  <w:style w:type="table" w:styleId="TableGrid">
    <w:name w:val="Table Grid"/>
    <w:basedOn w:val="TableNormal"/>
    <w:uiPriority w:val="39"/>
    <w:rsid w:val="00184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21EF"/>
    <w:pPr>
      <w:spacing w:after="200"/>
      <w:jc w:val="center"/>
    </w:pPr>
    <w:rPr>
      <w:i/>
      <w:iCs/>
      <w:color w:val="44546A" w:themeColor="text2"/>
      <w:szCs w:val="18"/>
    </w:rPr>
  </w:style>
  <w:style w:type="paragraph" w:styleId="TOCHeading">
    <w:name w:val="TOC Heading"/>
    <w:basedOn w:val="Heading1"/>
    <w:next w:val="Normal"/>
    <w:uiPriority w:val="39"/>
    <w:unhideWhenUsed/>
    <w:qFormat/>
    <w:rsid w:val="007D782D"/>
    <w:pPr>
      <w:spacing w:after="0"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7D782D"/>
    <w:pPr>
      <w:spacing w:after="100"/>
    </w:pPr>
  </w:style>
  <w:style w:type="paragraph" w:styleId="TOC2">
    <w:name w:val="toc 2"/>
    <w:basedOn w:val="Normal"/>
    <w:next w:val="Normal"/>
    <w:autoRedefine/>
    <w:uiPriority w:val="39"/>
    <w:unhideWhenUsed/>
    <w:rsid w:val="007D782D"/>
    <w:pPr>
      <w:spacing w:after="100"/>
      <w:ind w:left="240"/>
    </w:pPr>
  </w:style>
  <w:style w:type="paragraph" w:styleId="TOC3">
    <w:name w:val="toc 3"/>
    <w:basedOn w:val="Normal"/>
    <w:next w:val="Normal"/>
    <w:autoRedefine/>
    <w:uiPriority w:val="39"/>
    <w:unhideWhenUsed/>
    <w:rsid w:val="007D782D"/>
    <w:pPr>
      <w:spacing w:after="100"/>
      <w:ind w:left="480"/>
    </w:pPr>
  </w:style>
  <w:style w:type="character" w:styleId="Hyperlink">
    <w:name w:val="Hyperlink"/>
    <w:basedOn w:val="DefaultParagraphFont"/>
    <w:uiPriority w:val="99"/>
    <w:unhideWhenUsed/>
    <w:rsid w:val="007D782D"/>
    <w:rPr>
      <w:color w:val="0563C1" w:themeColor="hyperlink"/>
      <w:u w:val="single"/>
    </w:rPr>
  </w:style>
  <w:style w:type="paragraph" w:styleId="TableofFigures">
    <w:name w:val="table of figures"/>
    <w:basedOn w:val="Normal"/>
    <w:next w:val="Normal"/>
    <w:uiPriority w:val="99"/>
    <w:unhideWhenUsed/>
    <w:rsid w:val="00142AB4"/>
    <w:pPr>
      <w:spacing w:after="0"/>
    </w:pPr>
  </w:style>
  <w:style w:type="paragraph" w:styleId="NormalWeb">
    <w:name w:val="Normal (Web)"/>
    <w:basedOn w:val="Normal"/>
    <w:uiPriority w:val="99"/>
    <w:semiHidden/>
    <w:unhideWhenUsed/>
    <w:rsid w:val="003C5053"/>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fontstyle01">
    <w:name w:val="fontstyle01"/>
    <w:basedOn w:val="DefaultParagraphFont"/>
    <w:rsid w:val="00E04DD0"/>
    <w:rPr>
      <w:rFonts w:ascii="LiberationSans-Bold" w:hAnsi="LiberationSans-Bold" w:hint="default"/>
      <w:b/>
      <w:bCs/>
      <w:i w:val="0"/>
      <w:iCs w:val="0"/>
      <w:color w:val="000000"/>
      <w:sz w:val="22"/>
      <w:szCs w:val="22"/>
    </w:rPr>
  </w:style>
  <w:style w:type="paragraph" w:styleId="Header">
    <w:name w:val="header"/>
    <w:basedOn w:val="Normal"/>
    <w:link w:val="HeaderChar"/>
    <w:unhideWhenUsed/>
    <w:rsid w:val="000F13EB"/>
    <w:pPr>
      <w:tabs>
        <w:tab w:val="center" w:pos="4513"/>
        <w:tab w:val="right" w:pos="9026"/>
      </w:tabs>
      <w:spacing w:after="0" w:line="240" w:lineRule="auto"/>
    </w:pPr>
  </w:style>
  <w:style w:type="character" w:customStyle="1" w:styleId="HeaderChar">
    <w:name w:val="Header Char"/>
    <w:basedOn w:val="DefaultParagraphFont"/>
    <w:link w:val="Header"/>
    <w:rsid w:val="000F13EB"/>
    <w:rPr>
      <w:rFonts w:ascii="Times New Roman" w:hAnsi="Times New Roman"/>
      <w:sz w:val="24"/>
    </w:rPr>
  </w:style>
  <w:style w:type="paragraph" w:styleId="Footer">
    <w:name w:val="footer"/>
    <w:basedOn w:val="Normal"/>
    <w:link w:val="FooterChar"/>
    <w:uiPriority w:val="99"/>
    <w:unhideWhenUsed/>
    <w:rsid w:val="000F1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3EB"/>
    <w:rPr>
      <w:rFonts w:ascii="Times New Roman" w:hAnsi="Times New Roman"/>
      <w:sz w:val="24"/>
    </w:rPr>
  </w:style>
  <w:style w:type="character" w:styleId="FollowedHyperlink">
    <w:name w:val="FollowedHyperlink"/>
    <w:basedOn w:val="DefaultParagraphFont"/>
    <w:uiPriority w:val="99"/>
    <w:semiHidden/>
    <w:unhideWhenUsed/>
    <w:rsid w:val="007D5A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618086">
      <w:bodyDiv w:val="1"/>
      <w:marLeft w:val="0"/>
      <w:marRight w:val="0"/>
      <w:marTop w:val="0"/>
      <w:marBottom w:val="0"/>
      <w:divBdr>
        <w:top w:val="none" w:sz="0" w:space="0" w:color="auto"/>
        <w:left w:val="none" w:sz="0" w:space="0" w:color="auto"/>
        <w:bottom w:val="none" w:sz="0" w:space="0" w:color="auto"/>
        <w:right w:val="none" w:sz="0" w:space="0" w:color="auto"/>
      </w:divBdr>
    </w:div>
    <w:div w:id="1401514538">
      <w:bodyDiv w:val="1"/>
      <w:marLeft w:val="0"/>
      <w:marRight w:val="0"/>
      <w:marTop w:val="0"/>
      <w:marBottom w:val="0"/>
      <w:divBdr>
        <w:top w:val="none" w:sz="0" w:space="0" w:color="auto"/>
        <w:left w:val="none" w:sz="0" w:space="0" w:color="auto"/>
        <w:bottom w:val="none" w:sz="0" w:space="0" w:color="auto"/>
        <w:right w:val="none" w:sz="0" w:space="0" w:color="auto"/>
      </w:divBdr>
    </w:div>
    <w:div w:id="1519735465">
      <w:bodyDiv w:val="1"/>
      <w:marLeft w:val="0"/>
      <w:marRight w:val="0"/>
      <w:marTop w:val="0"/>
      <w:marBottom w:val="0"/>
      <w:divBdr>
        <w:top w:val="none" w:sz="0" w:space="0" w:color="auto"/>
        <w:left w:val="none" w:sz="0" w:space="0" w:color="auto"/>
        <w:bottom w:val="none" w:sz="0" w:space="0" w:color="auto"/>
        <w:right w:val="none" w:sz="0" w:space="0" w:color="auto"/>
      </w:divBdr>
    </w:div>
    <w:div w:id="1761871500">
      <w:bodyDiv w:val="1"/>
      <w:marLeft w:val="0"/>
      <w:marRight w:val="0"/>
      <w:marTop w:val="0"/>
      <w:marBottom w:val="0"/>
      <w:divBdr>
        <w:top w:val="none" w:sz="0" w:space="0" w:color="auto"/>
        <w:left w:val="none" w:sz="0" w:space="0" w:color="auto"/>
        <w:bottom w:val="none" w:sz="0" w:space="0" w:color="auto"/>
        <w:right w:val="none" w:sz="0" w:space="0" w:color="auto"/>
      </w:divBdr>
    </w:div>
    <w:div w:id="197259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7421222.2021.2023409" TargetMode="External"/><Relationship Id="rId18" Type="http://schemas.openxmlformats.org/officeDocument/2006/relationships/hyperlink" Target="https://doi.org/10.34218/IJIS_04_01_004" TargetMode="External"/><Relationship Id="rId3" Type="http://schemas.openxmlformats.org/officeDocument/2006/relationships/styles" Target="styles.xml"/><Relationship Id="rId21" Type="http://schemas.openxmlformats.org/officeDocument/2006/relationships/hyperlink" Target="https://doi.org/10.1145/3759179.3759267" TargetMode="External"/><Relationship Id="rId7" Type="http://schemas.openxmlformats.org/officeDocument/2006/relationships/endnotes" Target="endnotes.xml"/><Relationship Id="rId12" Type="http://schemas.openxmlformats.org/officeDocument/2006/relationships/hyperlink" Target="https://doi.org/10.1016/j.cose.2021.102550" TargetMode="External"/><Relationship Id="rId17" Type="http://schemas.openxmlformats.org/officeDocument/2006/relationships/hyperlink" Target="https://www.nist.gov/cyberframewor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ajournals.org/wp-content/uploads/sites/21/2025/05/Data-Governance.pdf" TargetMode="External"/><Relationship Id="rId20" Type="http://schemas.openxmlformats.org/officeDocument/2006/relationships/hyperlink" Target="https://arxiv.org/abs/2502.163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301-025-00545-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5236/AJCIS.2025.080311"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1016/j.cose.2022.04.002"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arxiv.org/abs/2510.09690" TargetMode="External"/><Relationship Id="rId22" Type="http://schemas.openxmlformats.org/officeDocument/2006/relationships/hyperlink" Target="https://doi.org/10.1109/MCC.2023.3249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EFC64-0479-46C8-A553-6BD09D99A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4355</Words>
  <Characters>24824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2026-01-05T20:19:00Z</dcterms:created>
  <dcterms:modified xsi:type="dcterms:W3CDTF">2026-01-05T20:25:00Z</dcterms:modified>
</cp:coreProperties>
</file>