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97257051"/>
        <w:docPartObj>
          <w:docPartGallery w:val="Cover Pages"/>
          <w:docPartUnique/>
        </w:docPartObj>
      </w:sdtPr>
      <w:sdtEndPr>
        <w:rPr>
          <w:rFonts w:ascii="Arial" w:eastAsia="Arial" w:hAnsi="Arial" w:cs="Arial"/>
          <w:b/>
          <w:bCs/>
          <w:sz w:val="36"/>
          <w:szCs w:val="36"/>
        </w:rPr>
      </w:sdtEndPr>
      <w:sdtContent>
        <w:p w14:paraId="0CD30E12" w14:textId="795287E0" w:rsidR="00B712B3" w:rsidRDefault="00B712B3">
          <w:r>
            <w:rPr>
              <w:noProof/>
            </w:rPr>
            <mc:AlternateContent>
              <mc:Choice Requires="wps">
                <w:drawing>
                  <wp:anchor distT="0" distB="0" distL="114300" distR="114300" simplePos="0" relativeHeight="251659264" behindDoc="0" locked="0" layoutInCell="1" allowOverlap="1" wp14:anchorId="10E633D2" wp14:editId="6A5ECC2A">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rial" w:eastAsia="Arial" w:hAnsi="Arial" w:cs="Arial"/>
                                    <w:b/>
                                    <w:bCs/>
                                    <w:color w:val="FFFFFF" w:themeColor="background1"/>
                                    <w:spacing w:val="-10"/>
                                    <w:kern w:val="28"/>
                                    <w:sz w:val="44"/>
                                    <w:szCs w:val="44"/>
                                    <w:lang w:eastAsia="en-US"/>
                                    <w14:ligatures w14:val="standardContextual"/>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A4F54CD" w14:textId="1BC7D200" w:rsidR="00B712B3" w:rsidRDefault="00B712B3" w:rsidP="00B712B3">
                                    <w:pPr>
                                      <w:pStyle w:val="Title"/>
                                      <w:jc w:val="right"/>
                                      <w:rPr>
                                        <w:caps/>
                                        <w:color w:val="FFFFFF" w:themeColor="background1"/>
                                        <w:sz w:val="80"/>
                                        <w:szCs w:val="80"/>
                                      </w:rPr>
                                    </w:pPr>
                                    <w:r w:rsidRPr="00B712B3">
                                      <w:rPr>
                                        <w:rFonts w:ascii="Arial" w:eastAsia="Arial" w:hAnsi="Arial" w:cs="Arial"/>
                                        <w:b/>
                                        <w:bCs/>
                                        <w:color w:val="FFFFFF" w:themeColor="background1"/>
                                        <w:spacing w:val="-10"/>
                                        <w:kern w:val="28"/>
                                        <w:sz w:val="44"/>
                                        <w:szCs w:val="44"/>
                                        <w:lang w:eastAsia="en-US"/>
                                        <w14:ligatures w14:val="standardContextual"/>
                                      </w:rPr>
                                      <w:t>Construction Materials</w:t>
                                    </w:r>
                                    <w:r>
                                      <w:rPr>
                                        <w:rFonts w:ascii="Arial" w:eastAsia="Arial" w:hAnsi="Arial" w:cs="Arial"/>
                                        <w:b/>
                                        <w:bCs/>
                                        <w:color w:val="FFFFFF" w:themeColor="background1"/>
                                        <w:spacing w:val="-10"/>
                                        <w:kern w:val="28"/>
                                        <w:sz w:val="44"/>
                                        <w:szCs w:val="44"/>
                                        <w:lang w:eastAsia="en-US"/>
                                        <w14:ligatures w14:val="standardContextual"/>
                                      </w:rPr>
                                      <w:t xml:space="preserve"> </w:t>
                                    </w:r>
                                  </w:p>
                                </w:sdtContent>
                              </w:sdt>
                              <w:p w14:paraId="30752320" w14:textId="77777777" w:rsidR="00B712B3" w:rsidRDefault="00B712B3">
                                <w:pPr>
                                  <w:spacing w:before="240"/>
                                  <w:ind w:left="720"/>
                                  <w:jc w:val="right"/>
                                  <w:rPr>
                                    <w:color w:val="FFFFFF" w:themeColor="background1"/>
                                  </w:rPr>
                                </w:pPr>
                              </w:p>
                              <w:sdt>
                                <w:sdtPr>
                                  <w:rPr>
                                    <w:rFonts w:ascii="Arial" w:eastAsia="Arial" w:hAnsi="Arial" w:cs="Arial"/>
                                    <w:b/>
                                    <w:bCs/>
                                    <w:color w:val="FFFFFF" w:themeColor="background1"/>
                                    <w:spacing w:val="-10"/>
                                    <w:kern w:val="28"/>
                                    <w:sz w:val="24"/>
                                    <w:szCs w:val="24"/>
                                    <w:lang w:eastAsia="en-US"/>
                                    <w14:ligatures w14:val="standardContextual"/>
                                  </w:rPr>
                                  <w:alias w:val="Abstract"/>
                                  <w:id w:val="-1812170092"/>
                                  <w:dataBinding w:prefixMappings="xmlns:ns0='http://schemas.microsoft.com/office/2006/coverPageProps'" w:xpath="/ns0:CoverPageProperties[1]/ns0:Abstract[1]" w:storeItemID="{55AF091B-3C7A-41E3-B477-F2FDAA23CFDA}"/>
                                  <w:text/>
                                </w:sdtPr>
                                <w:sdtContent>
                                  <w:p w14:paraId="18D1569F" w14:textId="0EE8182E" w:rsidR="00B712B3" w:rsidRPr="00B712B3" w:rsidRDefault="00B712B3">
                                    <w:pPr>
                                      <w:spacing w:before="240"/>
                                      <w:ind w:left="1008"/>
                                      <w:jc w:val="right"/>
                                      <w:rPr>
                                        <w:color w:val="FFFFFF" w:themeColor="background1"/>
                                        <w:sz w:val="24"/>
                                        <w:szCs w:val="24"/>
                                      </w:rPr>
                                    </w:pPr>
                                    <w:r w:rsidRPr="00B712B3">
                                      <w:rPr>
                                        <w:rFonts w:ascii="Arial" w:eastAsia="Arial" w:hAnsi="Arial" w:cs="Arial"/>
                                        <w:b/>
                                        <w:bCs/>
                                        <w:color w:val="FFFFFF" w:themeColor="background1"/>
                                        <w:spacing w:val="-10"/>
                                        <w:kern w:val="28"/>
                                        <w:sz w:val="24"/>
                                        <w:szCs w:val="24"/>
                                        <w:lang w:eastAsia="en-US"/>
                                        <w14:ligatures w14:val="standardContextual"/>
                                      </w:rPr>
                                      <w:t>Jacob Penhale - 2517757</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0E633D2"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rFonts w:ascii="Arial" w:eastAsia="Arial" w:hAnsi="Arial" w:cs="Arial"/>
                              <w:b/>
                              <w:bCs/>
                              <w:color w:val="FFFFFF" w:themeColor="background1"/>
                              <w:spacing w:val="-10"/>
                              <w:kern w:val="28"/>
                              <w:sz w:val="44"/>
                              <w:szCs w:val="44"/>
                              <w:lang w:eastAsia="en-US"/>
                              <w14:ligatures w14:val="standardContextual"/>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A4F54CD" w14:textId="1BC7D200" w:rsidR="00B712B3" w:rsidRDefault="00B712B3" w:rsidP="00B712B3">
                              <w:pPr>
                                <w:pStyle w:val="Title"/>
                                <w:jc w:val="right"/>
                                <w:rPr>
                                  <w:caps/>
                                  <w:color w:val="FFFFFF" w:themeColor="background1"/>
                                  <w:sz w:val="80"/>
                                  <w:szCs w:val="80"/>
                                </w:rPr>
                              </w:pPr>
                              <w:r w:rsidRPr="00B712B3">
                                <w:rPr>
                                  <w:rFonts w:ascii="Arial" w:eastAsia="Arial" w:hAnsi="Arial" w:cs="Arial"/>
                                  <w:b/>
                                  <w:bCs/>
                                  <w:color w:val="FFFFFF" w:themeColor="background1"/>
                                  <w:spacing w:val="-10"/>
                                  <w:kern w:val="28"/>
                                  <w:sz w:val="44"/>
                                  <w:szCs w:val="44"/>
                                  <w:lang w:eastAsia="en-US"/>
                                  <w14:ligatures w14:val="standardContextual"/>
                                </w:rPr>
                                <w:t>Construction Materials</w:t>
                              </w:r>
                              <w:r>
                                <w:rPr>
                                  <w:rFonts w:ascii="Arial" w:eastAsia="Arial" w:hAnsi="Arial" w:cs="Arial"/>
                                  <w:b/>
                                  <w:bCs/>
                                  <w:color w:val="FFFFFF" w:themeColor="background1"/>
                                  <w:spacing w:val="-10"/>
                                  <w:kern w:val="28"/>
                                  <w:sz w:val="44"/>
                                  <w:szCs w:val="44"/>
                                  <w:lang w:eastAsia="en-US"/>
                                  <w14:ligatures w14:val="standardContextual"/>
                                </w:rPr>
                                <w:t xml:space="preserve"> </w:t>
                              </w:r>
                            </w:p>
                          </w:sdtContent>
                        </w:sdt>
                        <w:p w14:paraId="30752320" w14:textId="77777777" w:rsidR="00B712B3" w:rsidRDefault="00B712B3">
                          <w:pPr>
                            <w:spacing w:before="240"/>
                            <w:ind w:left="720"/>
                            <w:jc w:val="right"/>
                            <w:rPr>
                              <w:color w:val="FFFFFF" w:themeColor="background1"/>
                            </w:rPr>
                          </w:pPr>
                        </w:p>
                        <w:sdt>
                          <w:sdtPr>
                            <w:rPr>
                              <w:rFonts w:ascii="Arial" w:eastAsia="Arial" w:hAnsi="Arial" w:cs="Arial"/>
                              <w:b/>
                              <w:bCs/>
                              <w:color w:val="FFFFFF" w:themeColor="background1"/>
                              <w:spacing w:val="-10"/>
                              <w:kern w:val="28"/>
                              <w:sz w:val="24"/>
                              <w:szCs w:val="24"/>
                              <w:lang w:eastAsia="en-US"/>
                              <w14:ligatures w14:val="standardContextual"/>
                            </w:rPr>
                            <w:alias w:val="Abstract"/>
                            <w:id w:val="-1812170092"/>
                            <w:dataBinding w:prefixMappings="xmlns:ns0='http://schemas.microsoft.com/office/2006/coverPageProps'" w:xpath="/ns0:CoverPageProperties[1]/ns0:Abstract[1]" w:storeItemID="{55AF091B-3C7A-41E3-B477-F2FDAA23CFDA}"/>
                            <w:text/>
                          </w:sdtPr>
                          <w:sdtContent>
                            <w:p w14:paraId="18D1569F" w14:textId="0EE8182E" w:rsidR="00B712B3" w:rsidRPr="00B712B3" w:rsidRDefault="00B712B3">
                              <w:pPr>
                                <w:spacing w:before="240"/>
                                <w:ind w:left="1008"/>
                                <w:jc w:val="right"/>
                                <w:rPr>
                                  <w:color w:val="FFFFFF" w:themeColor="background1"/>
                                  <w:sz w:val="24"/>
                                  <w:szCs w:val="24"/>
                                </w:rPr>
                              </w:pPr>
                              <w:r w:rsidRPr="00B712B3">
                                <w:rPr>
                                  <w:rFonts w:ascii="Arial" w:eastAsia="Arial" w:hAnsi="Arial" w:cs="Arial"/>
                                  <w:b/>
                                  <w:bCs/>
                                  <w:color w:val="FFFFFF" w:themeColor="background1"/>
                                  <w:spacing w:val="-10"/>
                                  <w:kern w:val="28"/>
                                  <w:sz w:val="24"/>
                                  <w:szCs w:val="24"/>
                                  <w:lang w:eastAsia="en-US"/>
                                  <w14:ligatures w14:val="standardContextual"/>
                                </w:rPr>
                                <w:t>Jacob Penhale - 2517757</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1CB4F08" wp14:editId="7FA3D5B2">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9CEBDD7" w14:textId="0E794FA5" w:rsidR="00B712B3" w:rsidRDefault="00B712B3">
                                    <w:pPr>
                                      <w:pStyle w:val="Subtitle"/>
                                      <w:rPr>
                                        <w:rFonts w:cstheme="minorBidi"/>
                                        <w:color w:val="FFFFFF" w:themeColor="background1"/>
                                      </w:rPr>
                                    </w:pPr>
                                    <w:r>
                                      <w:rPr>
                                        <w:rFonts w:cstheme="minorBidi"/>
                                        <w:color w:val="FFFFFF" w:themeColor="background1"/>
                                      </w:rPr>
                                      <w:t>Burj Khalifa</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1CB4F08"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" fillcolor="#0e2841 [3215]" stroked="f" strokeweight="1.5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9CEBDD7" w14:textId="0E794FA5" w:rsidR="00B712B3" w:rsidRDefault="00B712B3">
                              <w:pPr>
                                <w:pStyle w:val="Subtitle"/>
                                <w:rPr>
                                  <w:rFonts w:cstheme="minorBidi"/>
                                  <w:color w:val="FFFFFF" w:themeColor="background1"/>
                                </w:rPr>
                              </w:pPr>
                              <w:r>
                                <w:rPr>
                                  <w:rFonts w:cstheme="minorBidi"/>
                                  <w:color w:val="FFFFFF" w:themeColor="background1"/>
                                </w:rPr>
                                <w:t>Burj Khalifa</w:t>
                              </w:r>
                            </w:p>
                          </w:sdtContent>
                        </w:sdt>
                      </w:txbxContent>
                    </v:textbox>
                    <w10:wrap anchorx="page" anchory="page"/>
                  </v:rect>
                </w:pict>
              </mc:Fallback>
            </mc:AlternateContent>
          </w:r>
        </w:p>
        <w:p w14:paraId="17CF9079" w14:textId="77777777" w:rsidR="00B712B3" w:rsidRDefault="00B712B3"/>
        <w:p w14:paraId="662F1F95" w14:textId="7BF3605B" w:rsidR="00B712B3" w:rsidRDefault="00B712B3">
          <w:pPr>
            <w:rPr>
              <w:rFonts w:ascii="Arial" w:eastAsia="Arial" w:hAnsi="Arial" w:cs="Arial"/>
              <w:b/>
              <w:bCs/>
              <w:sz w:val="36"/>
              <w:szCs w:val="36"/>
            </w:rPr>
          </w:pPr>
          <w:r>
            <w:rPr>
              <w:rFonts w:ascii="Arial" w:eastAsia="Arial" w:hAnsi="Arial" w:cs="Arial"/>
              <w:b/>
              <w:bCs/>
              <w:sz w:val="36"/>
              <w:szCs w:val="36"/>
            </w:rPr>
            <w:br w:type="page"/>
          </w:r>
        </w:p>
      </w:sdtContent>
    </w:sdt>
    <w:p w14:paraId="1E9C67D5" w14:textId="11DDA4E3" w:rsidR="001E6E6F" w:rsidRDefault="00B712B3">
      <w:pPr>
        <w:spacing w:after="200"/>
      </w:pPr>
      <w:r>
        <w:rPr>
          <w:noProof/>
        </w:rPr>
        <w:lastRenderedPageBreak/>
        <w:drawing>
          <wp:anchor distT="0" distB="0" distL="114300" distR="114300" simplePos="0" relativeHeight="251668480" behindDoc="1" locked="0" layoutInCell="1" allowOverlap="1" wp14:anchorId="3BC2D9AE" wp14:editId="042BD81A">
            <wp:simplePos x="0" y="0"/>
            <wp:positionH relativeFrom="column">
              <wp:posOffset>4752975</wp:posOffset>
            </wp:positionH>
            <wp:positionV relativeFrom="paragraph">
              <wp:posOffset>145415</wp:posOffset>
            </wp:positionV>
            <wp:extent cx="1488558" cy="2232837"/>
            <wp:effectExtent l="0" t="0" r="0" b="0"/>
            <wp:wrapSquare wrapText="bothSides"/>
            <wp:docPr id="588041042" name="Picture 3" descr="Burj Khalifa (Dubai) - World's Tallest Building Editorial Photography ...">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041042" name="Picture 3" descr="Burj Khalifa (Dubai) - World's Tallest Building Editorial Photography ...">
                      <a:hlinkClick r:id="rId6"/>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88558" cy="223283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0000">
        <w:rPr>
          <w:rFonts w:ascii="Arial" w:eastAsia="Arial" w:hAnsi="Arial" w:cs="Arial"/>
          <w:b/>
          <w:bCs/>
          <w:sz w:val="36"/>
          <w:szCs w:val="36"/>
        </w:rPr>
        <w:t>Burj Khalifa</w:t>
      </w:r>
    </w:p>
    <w:p w14:paraId="71481D42" w14:textId="01BB84AD"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This report looks at the design and construction of the Burj Khalifa in Dubai, with a focus on its reinforced concrete structural system. It outlines the key features of the building's design and explains how it was constructed, particularly in relation to the challenges of building at such an extreme height.</w:t>
      </w:r>
    </w:p>
    <w:p w14:paraId="769766BB"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The report also analyses the use of reinforced concrete as the main framing material, including its strength, durability and performance in the hot, marine climate. A comparison with steel framing is made in terms of cost, construction time and practicality. Other factors, such as the integration of building services and end-of-life demolition, are also considered.</w:t>
      </w:r>
    </w:p>
    <w:p w14:paraId="77920A6D" w14:textId="77777777" w:rsidR="00B712B3" w:rsidRPr="00B712B3" w:rsidRDefault="00B712B3" w:rsidP="00B712B3">
      <w:pPr>
        <w:rPr>
          <w:rFonts w:ascii="Arial" w:hAnsi="Arial" w:cs="Arial"/>
          <w:b/>
          <w:bCs/>
          <w:sz w:val="24"/>
          <w:szCs w:val="24"/>
        </w:rPr>
      </w:pPr>
      <w:r w:rsidRPr="00B712B3">
        <w:rPr>
          <w:rFonts w:ascii="Arial" w:hAnsi="Arial" w:cs="Arial"/>
          <w:b/>
          <w:bCs/>
          <w:sz w:val="24"/>
          <w:szCs w:val="24"/>
        </w:rPr>
        <w:t xml:space="preserve">Original Design and Method of Construction </w:t>
      </w:r>
    </w:p>
    <w:p w14:paraId="0E018958"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The Burj Khalifa represents a landmark advancement in reinforced concrete structural engineering. At 828 metres, it remains the tallest building in the world and was designed using an innovative buttressed core structural system developed by Skidmore, Owings &amp; Merrill (SOM). (Burj Khalifa (2024)). The system was specifically conceived to address the extreme lateral wind loads, torsional forces and cumulative axial stresses associated with super-tall structures.</w:t>
      </w:r>
    </w:p>
    <w:p w14:paraId="7957429A" w14:textId="77777777" w:rsidR="00B712B3" w:rsidRPr="00B712B3" w:rsidRDefault="00B712B3" w:rsidP="00B712B3">
      <w:pPr>
        <w:rPr>
          <w:rFonts w:ascii="Arial" w:hAnsi="Arial" w:cs="Arial"/>
          <w:b/>
          <w:bCs/>
          <w:sz w:val="24"/>
          <w:szCs w:val="24"/>
        </w:rPr>
      </w:pPr>
      <w:r w:rsidRPr="00B712B3">
        <w:rPr>
          <w:rFonts w:ascii="Arial" w:hAnsi="Arial" w:cs="Arial"/>
          <w:b/>
          <w:bCs/>
          <w:sz w:val="24"/>
          <w:szCs w:val="24"/>
        </w:rPr>
        <w:t>Structural Concept</w:t>
      </w:r>
    </w:p>
    <w:p w14:paraId="232C539D"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The tower's plan is based on a Y-shaped geometry formed by three wings arranged radially around a central hexagonal reinforced concrete core. Each wing acts as a structural buttress to the others, significantly enhancing torsional resistance and overall lateral stiffness. This configuration disrupts wind vortex formation and reduces dynamic oscillation, which is critical in structures exceeding 600 metres in height. (Nishchay (2025)).</w:t>
      </w:r>
    </w:p>
    <w:p w14:paraId="76907E48"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The primary structural frame up to level 156 consists of high-strength reinforced concrete shear walls, reinforced concrete perimeter columns, flat slab floor systems and outrigger link beams. These elements work compositely to transfer vertical loads to the foundation and resist lateral wind forces. Above level 156, the structural system transitions to structural steel, forming the tower’s spire, where reduced floor area and lower gravity loads make steel more efficient.</w:t>
      </w:r>
    </w:p>
    <w:p w14:paraId="20497E9A"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Concrete grades ranged from C80 to C100 in the lower levels, providing compressive strengths exceeding 80,000,000 N/m². Such high-strength concrete was necessary to resist the enormous compressive stresses generated by cumulative vertical loading from the upper floors. The use of high-performance concrete also limited column dimensions, preserving usable floor space while maintaining structural capacity.</w:t>
      </w:r>
    </w:p>
    <w:p w14:paraId="3E8AA9E5" w14:textId="2567897A" w:rsidR="001E6E6F" w:rsidRPr="00B712B3" w:rsidRDefault="00B712B3">
      <w:pPr>
        <w:spacing w:after="160"/>
        <w:jc w:val="both"/>
        <w:rPr>
          <w:rFonts w:ascii="Arial" w:hAnsi="Arial" w:cs="Arial"/>
          <w:sz w:val="24"/>
          <w:szCs w:val="24"/>
        </w:rPr>
      </w:pPr>
      <w:r>
        <w:rPr>
          <w:noProof/>
        </w:rPr>
        <w:drawing>
          <wp:anchor distT="0" distB="0" distL="114300" distR="114300" simplePos="0" relativeHeight="251666432" behindDoc="1" locked="0" layoutInCell="1" allowOverlap="1" wp14:anchorId="0B61CFAB" wp14:editId="621352F4">
            <wp:simplePos x="0" y="0"/>
            <wp:positionH relativeFrom="margin">
              <wp:posOffset>4752975</wp:posOffset>
            </wp:positionH>
            <wp:positionV relativeFrom="paragraph">
              <wp:posOffset>52705</wp:posOffset>
            </wp:positionV>
            <wp:extent cx="1703705" cy="913130"/>
            <wp:effectExtent l="0" t="0" r="0" b="1270"/>
            <wp:wrapTight wrapText="bothSides">
              <wp:wrapPolygon edited="0">
                <wp:start x="0" y="0"/>
                <wp:lineTo x="0" y="21179"/>
                <wp:lineTo x="21254" y="21179"/>
                <wp:lineTo x="21254" y="0"/>
                <wp:lineTo x="0" y="0"/>
              </wp:wrapPolygon>
            </wp:wrapTight>
            <wp:docPr id="2105079507" name="Picture 4" descr="What's Inside The Burj Khalifa? All the Secret Floors &amp; Roo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at's Inside The Burj Khalifa? All the Secret Floors &amp; Room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03705" cy="913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0000" w:rsidRPr="00B712B3">
        <w:rPr>
          <w:rFonts w:ascii="Arial" w:eastAsia="Arial" w:hAnsi="Arial" w:cs="Arial"/>
          <w:sz w:val="24"/>
          <w:szCs w:val="24"/>
        </w:rPr>
        <w:t>The buttressed core system represents a significant innovation in tall building design, demonstrating how geometry and material performance can be combined to achieve both stability and efficiency. Rather than simply increasing member size to resist load, the structural configuration itself enhances performance through mutual wing support and torsional control.</w:t>
      </w:r>
      <w:r w:rsidRPr="00B712B3">
        <w:rPr>
          <w:noProof/>
        </w:rPr>
        <w:t xml:space="preserve"> </w:t>
      </w:r>
    </w:p>
    <w:p w14:paraId="45F9A60B" w14:textId="77777777" w:rsidR="00B712B3" w:rsidRPr="00B712B3" w:rsidRDefault="00B712B3" w:rsidP="00B712B3">
      <w:pPr>
        <w:rPr>
          <w:rFonts w:ascii="Arial" w:hAnsi="Arial" w:cs="Arial"/>
          <w:b/>
          <w:bCs/>
          <w:sz w:val="24"/>
          <w:szCs w:val="24"/>
        </w:rPr>
      </w:pPr>
      <w:r w:rsidRPr="00B712B3">
        <w:rPr>
          <w:rFonts w:ascii="Arial" w:hAnsi="Arial" w:cs="Arial"/>
          <w:b/>
          <w:bCs/>
          <w:sz w:val="24"/>
          <w:szCs w:val="24"/>
        </w:rPr>
        <w:t>Construction Methodology</w:t>
      </w:r>
    </w:p>
    <w:p w14:paraId="0B1F8120"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lastRenderedPageBreak/>
        <w:t>Construction commenced in 2004 and required a highly engineered approach tailored to Dubai’s extreme climatic conditions. Ambient temperatures frequently exceed 45–50°C, significantly accelerating cement hydration and increasing risks of slump loss, plastic shrinkage cracking and thermal cracking in mass concrete elements. Consequently, the project demanded not only high compressive strength but strict control of temperature, permeability and viscous behaviour to ensure long-term durability.</w:t>
      </w:r>
    </w:p>
    <w:p w14:paraId="52A96BC3"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 xml:space="preserve">Low-permeability concrete was essential due to the chloride-rich marine environment. Permeability governs the rate at which aggressive agents such as chlorides penetrate concrete cover and initiate reinforcement corrosion. To mitigate this, a low water–cement ratio was adopted to reduce capillary porosity and refine the pore structure. A denser microstructure restricts chloride diffusion and significantly enhances long-term durability. In a super-tall structure where maintenance access is complex and costly, corrosion-induced cracking could compromise serviceability and structural integrity. Durability was therefore treated as a primary structural requirement rather than a secondary maintenance consideration. (Vincent, </w:t>
      </w:r>
      <w:proofErr w:type="gramStart"/>
      <w:r w:rsidRPr="00B712B3">
        <w:rPr>
          <w:rFonts w:ascii="Arial" w:eastAsia="Arial" w:hAnsi="Arial" w:cs="Arial"/>
          <w:sz w:val="24"/>
          <w:szCs w:val="24"/>
        </w:rPr>
        <w:t>J.B.(</w:t>
      </w:r>
      <w:proofErr w:type="gramEnd"/>
      <w:r w:rsidRPr="00B712B3">
        <w:rPr>
          <w:rFonts w:ascii="Arial" w:eastAsia="Arial" w:hAnsi="Arial" w:cs="Arial"/>
          <w:sz w:val="24"/>
          <w:szCs w:val="24"/>
        </w:rPr>
        <w:t>2025)).</w:t>
      </w:r>
    </w:p>
    <w:p w14:paraId="4897E816"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Silica fume was incorporated to further refine the microstructure and enhance compressive strength. As a highly reactive pozzolanic material, silica fume performs a dual function. Its ultra-fine particles improve particle packing density, while its chemical reaction with calcium hydroxide forms additional calcium silicate hydrate (C-S-H), the principal binding compound responsible for concrete strength. This reduces permeability, improves the interfacial transition zone between aggregate and paste, and enhances long-term mechanical performance — essential in lower levels subjected to extreme axial loads.</w:t>
      </w:r>
    </w:p>
    <w:p w14:paraId="06AF8271"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Temperature control during placement was equally critical. Elevated concrete temperatures increase the peak heat of hydration within mass elements such as core walls, generating thermal gradients between interior and exterior surfaces. These gradients induce tensile stresses that may lead to cracking. To mitigate this, chilled mixing water and flaked ice were introduced to reduce the initial concrete temperature. This controlled hydration rates, reduced peak internal temperature and minimised early-age thermal cracking. Such measures were particularly important during slip-form construction of the core, where continuous vertical casting required consistent quality control.</w:t>
      </w:r>
    </w:p>
    <w:p w14:paraId="162BD27D"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The requirement to pump concrete vertically to heights exceeding 600 metres introduced additional technical challenges. High hydrostatic pressures within pumping lines increase the risk of segregation and workability loss. The mix design therefore required careful optimisation of aggregate grading and the use of high-range water-reducing admixtures (superplasticisers) to maintain flowability without increasing water content. Precise rheological control ensured pumpability while preserving strength and cohesion. The successful delivery of high-strength concrete to unprecedented elevations represented both a material science achievement and a logistical breakthrough in construction engineering.</w:t>
      </w:r>
    </w:p>
    <w:p w14:paraId="79D040F8" w14:textId="77777777" w:rsidR="00B712B3" w:rsidRPr="00B712B3" w:rsidRDefault="00B712B3" w:rsidP="00B712B3">
      <w:pPr>
        <w:rPr>
          <w:rFonts w:ascii="Arial" w:hAnsi="Arial" w:cs="Arial"/>
          <w:b/>
          <w:bCs/>
          <w:sz w:val="24"/>
          <w:szCs w:val="24"/>
        </w:rPr>
      </w:pPr>
      <w:r w:rsidRPr="00B712B3">
        <w:rPr>
          <w:rFonts w:ascii="Arial" w:hAnsi="Arial" w:cs="Arial"/>
          <w:b/>
          <w:bCs/>
          <w:sz w:val="24"/>
          <w:szCs w:val="24"/>
        </w:rPr>
        <w:t xml:space="preserve">Analysis of the Framing Material </w:t>
      </w:r>
    </w:p>
    <w:p w14:paraId="45595D8F" w14:textId="77777777" w:rsidR="00B712B3" w:rsidRPr="00B712B3" w:rsidRDefault="00B712B3" w:rsidP="00B712B3">
      <w:pPr>
        <w:rPr>
          <w:rFonts w:ascii="Arial" w:hAnsi="Arial" w:cs="Arial"/>
          <w:b/>
          <w:bCs/>
          <w:sz w:val="24"/>
          <w:szCs w:val="24"/>
        </w:rPr>
      </w:pPr>
      <w:r w:rsidRPr="00B712B3">
        <w:rPr>
          <w:rFonts w:ascii="Arial" w:hAnsi="Arial" w:cs="Arial"/>
          <w:b/>
          <w:bCs/>
          <w:sz w:val="24"/>
          <w:szCs w:val="24"/>
        </w:rPr>
        <w:t>Strength, Durability and Climatic Resistance</w:t>
      </w:r>
    </w:p>
    <w:p w14:paraId="66A50710"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 xml:space="preserve">Reinforced concrete was selected primarily for its superior stiffness and durability under extreme environmental exposure. At heights approaching 828 metres, lateral stiffness governs structural performance more than strength alone. The thick </w:t>
      </w:r>
      <w:r w:rsidRPr="00B712B3">
        <w:rPr>
          <w:rFonts w:ascii="Arial" w:eastAsia="Arial" w:hAnsi="Arial" w:cs="Arial"/>
          <w:sz w:val="24"/>
          <w:szCs w:val="24"/>
        </w:rPr>
        <w:lastRenderedPageBreak/>
        <w:t>reinforced concrete core walls provide substantial mass and rigidity, increasing moment of inertia and reducing lateral deflection under wind loading. Concrete also exhibits higher inherent damping capacity than steel, reducing vibration amplitudes and improving occupant comfort.</w:t>
      </w:r>
    </w:p>
    <w:p w14:paraId="640CEE77" w14:textId="2D8BED99"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Dubai’s hot, marine climate presents significant durability challenges. High temperatures accelerate hydration and increase evaporation, while airborne chlorides pose corrosion risks. The low-permeability, silica fume-enhanced concrete mix directly addressed these conditions by refining microstructure and limiting chloride ingress. Furthermore, reinforced concrete provides inherent fire resistance due to its low thermal conductivity and protective cover to reinforcement. Structural steel, by contrast, experiences rapid strength degradation at elevated temperatures and requires additional fire protection systems. Therefore, reinforced concrete offered combined structural, environmental and fire performance advantages suited to the site conditions; this is particularly important at extreme heights, where excessive structural movement could be fatal. Compared to steel, reinforced concrete provides greater stiffness and inherent damping, making it more effective in reducing wind-induced vibrations. (</w:t>
      </w:r>
      <w:proofErr w:type="spellStart"/>
      <w:r w:rsidRPr="00B712B3">
        <w:rPr>
          <w:rFonts w:ascii="Arial" w:eastAsia="Arial" w:hAnsi="Arial" w:cs="Arial"/>
          <w:sz w:val="24"/>
          <w:szCs w:val="24"/>
        </w:rPr>
        <w:t>Ummulkiram</w:t>
      </w:r>
      <w:proofErr w:type="spellEnd"/>
      <w:r w:rsidRPr="00B712B3">
        <w:rPr>
          <w:rFonts w:ascii="Arial" w:eastAsia="Arial" w:hAnsi="Arial" w:cs="Arial"/>
          <w:sz w:val="24"/>
          <w:szCs w:val="24"/>
        </w:rPr>
        <w:t xml:space="preserve"> </w:t>
      </w:r>
      <w:proofErr w:type="spellStart"/>
      <w:r w:rsidRPr="00B712B3">
        <w:rPr>
          <w:rFonts w:ascii="Arial" w:eastAsia="Arial" w:hAnsi="Arial" w:cs="Arial"/>
          <w:sz w:val="24"/>
          <w:szCs w:val="24"/>
        </w:rPr>
        <w:t>Pardawala</w:t>
      </w:r>
      <w:proofErr w:type="spellEnd"/>
      <w:r w:rsidRPr="00B712B3">
        <w:rPr>
          <w:rFonts w:ascii="Arial" w:eastAsia="Arial" w:hAnsi="Arial" w:cs="Arial"/>
          <w:sz w:val="24"/>
          <w:szCs w:val="24"/>
        </w:rPr>
        <w:t xml:space="preserve"> (2025)).</w:t>
      </w:r>
    </w:p>
    <w:p w14:paraId="1F64B831" w14:textId="60C2962B" w:rsidR="00B712B3" w:rsidRPr="00B712B3" w:rsidRDefault="00B712B3" w:rsidP="00B712B3">
      <w:pPr>
        <w:rPr>
          <w:rFonts w:ascii="Arial" w:hAnsi="Arial" w:cs="Arial"/>
          <w:sz w:val="24"/>
          <w:szCs w:val="24"/>
        </w:rPr>
      </w:pPr>
      <w:r w:rsidRPr="00B712B3">
        <w:rPr>
          <w:rFonts w:ascii="Arial" w:hAnsi="Arial" w:cs="Arial"/>
          <w:b/>
          <w:bCs/>
          <w:sz w:val="24"/>
          <w:szCs w:val="24"/>
        </w:rPr>
        <w:t>Time, Labour, Programme and Cost Compared to Steel</w:t>
      </w:r>
    </w:p>
    <w:p w14:paraId="328FACBC" w14:textId="3D93DF49" w:rsidR="001E6E6F" w:rsidRPr="00B712B3" w:rsidRDefault="00B712B3">
      <w:pPr>
        <w:spacing w:after="160"/>
        <w:jc w:val="both"/>
        <w:rPr>
          <w:rFonts w:ascii="Arial" w:hAnsi="Arial" w:cs="Arial"/>
          <w:sz w:val="24"/>
          <w:szCs w:val="24"/>
        </w:rPr>
      </w:pPr>
      <w:r>
        <w:rPr>
          <w:noProof/>
        </w:rPr>
        <w:drawing>
          <wp:anchor distT="0" distB="0" distL="114300" distR="114300" simplePos="0" relativeHeight="251664384" behindDoc="1" locked="0" layoutInCell="1" allowOverlap="1" wp14:anchorId="426B7D43" wp14:editId="75874948">
            <wp:simplePos x="0" y="0"/>
            <wp:positionH relativeFrom="column">
              <wp:posOffset>4400550</wp:posOffset>
            </wp:positionH>
            <wp:positionV relativeFrom="paragraph">
              <wp:posOffset>6985</wp:posOffset>
            </wp:positionV>
            <wp:extent cx="2095500" cy="1396365"/>
            <wp:effectExtent l="0" t="0" r="0" b="0"/>
            <wp:wrapTight wrapText="bothSides">
              <wp:wrapPolygon edited="0">
                <wp:start x="0" y="0"/>
                <wp:lineTo x="0" y="21217"/>
                <wp:lineTo x="21404" y="21217"/>
                <wp:lineTo x="21404" y="0"/>
                <wp:lineTo x="0" y="0"/>
              </wp:wrapPolygon>
            </wp:wrapTight>
            <wp:docPr id="744739531" name="Picture 5" descr="Dubai - The Burj Khalifa | Bernard Sm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ubai - The Burj Khalifa | Bernard Smit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95500" cy="1396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0000" w:rsidRPr="00B712B3">
        <w:rPr>
          <w:rFonts w:ascii="Arial" w:eastAsia="Arial" w:hAnsi="Arial" w:cs="Arial"/>
          <w:sz w:val="24"/>
          <w:szCs w:val="24"/>
        </w:rPr>
        <w:t>Although steel framing is often associated with rapid erection due to prefabrication, this advantage reduces at extreme heights. Lifting and assembling large steel sections at elevations exceeding 600 metres presents logistical complexity and increased safety considerations. Reinforced concrete slip-form construction enabled continuous vertical progression of the core, maintaining programme efficiency without reliance on heavy prefabricated elements.</w:t>
      </w:r>
    </w:p>
    <w:p w14:paraId="4CE269C9"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During the 2004–2010 construction period, the UAE possessed strong availability of labour and locally sourced concrete materials. Structural steel fabrication on the required scale would likely have involved significant importation and specialised assembly processes, increasing cost and logistical coordination. Furthermore, concrete’s inherent fire resistance eliminated the need for secondary fireproofing systems required in steel frames. Consequently, reinforced concrete offered a cost-effective solution that balanced programme continuity with structural performance. While steel construction can offer faster erection at lower heights, this advantage is reduced in super-tall structures due to lifting and safety constraints. In this case, reinforced concrete provided a more practical and cost-efficient solution. (Jamal (2016))</w:t>
      </w:r>
    </w:p>
    <w:p w14:paraId="6E7B4F39" w14:textId="77777777" w:rsidR="00B712B3" w:rsidRPr="00B712B3" w:rsidRDefault="00B712B3" w:rsidP="00B712B3">
      <w:pPr>
        <w:rPr>
          <w:rFonts w:ascii="Arial" w:hAnsi="Arial" w:cs="Arial"/>
          <w:b/>
          <w:bCs/>
          <w:sz w:val="24"/>
          <w:szCs w:val="24"/>
        </w:rPr>
      </w:pPr>
      <w:r w:rsidRPr="00B712B3">
        <w:rPr>
          <w:rFonts w:ascii="Arial" w:hAnsi="Arial" w:cs="Arial"/>
          <w:b/>
          <w:bCs/>
          <w:sz w:val="24"/>
          <w:szCs w:val="24"/>
        </w:rPr>
        <w:t>Ease of Assembly and Lifecycle Adaptability</w:t>
      </w:r>
    </w:p>
    <w:p w14:paraId="357922E4"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The repetitive Y-shaped floor configuration simplified construction sequencing and maintained geometric consistency throughout much of the tower. Slip-form construction of the core provided a stable structural spine, facilitating floor slab installation and vertical alignment control.</w:t>
      </w:r>
    </w:p>
    <w:p w14:paraId="033C4C64"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 xml:space="preserve">However, reinforced concrete’s monolithic nature limits long-term adaptability. Load-bearing shear walls form the primary structural system, restricting major alterations without significant structural intervention. Steel frames, in contrast, often utilise beam-column grids that allow easier modification of internal layouts. Therefore, while the structural system was highly optimised for its intended mixed-use function, its capacity </w:t>
      </w:r>
      <w:r w:rsidRPr="00B712B3">
        <w:rPr>
          <w:rFonts w:ascii="Arial" w:eastAsia="Arial" w:hAnsi="Arial" w:cs="Arial"/>
          <w:sz w:val="24"/>
          <w:szCs w:val="24"/>
        </w:rPr>
        <w:lastRenderedPageBreak/>
        <w:t>for radical adaptation during its lifecycle is comparatively constrained. This highlights a key trade-off in material selection, where reinforced concrete offers structural efficiency and stability but lacks the flexibility and adaptability typically associated with steel-framed systems.</w:t>
      </w:r>
    </w:p>
    <w:p w14:paraId="3A2E8904" w14:textId="77777777" w:rsidR="00B712B3" w:rsidRPr="00B712B3" w:rsidRDefault="00B712B3" w:rsidP="00B712B3">
      <w:pPr>
        <w:rPr>
          <w:rFonts w:ascii="Arial" w:hAnsi="Arial" w:cs="Arial"/>
          <w:b/>
          <w:bCs/>
          <w:sz w:val="24"/>
          <w:szCs w:val="24"/>
        </w:rPr>
      </w:pPr>
      <w:r w:rsidRPr="00B712B3">
        <w:rPr>
          <w:rFonts w:ascii="Arial" w:hAnsi="Arial" w:cs="Arial"/>
          <w:b/>
          <w:bCs/>
          <w:sz w:val="24"/>
          <w:szCs w:val="24"/>
        </w:rPr>
        <w:t>Integration of Services Provision</w:t>
      </w:r>
    </w:p>
    <w:p w14:paraId="4F9732D1"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The integration of mechanical, electrical and plumbing systems within the reinforced concrete core required careful multidisciplinary coordination. The buttressed core configuration allowed vertical zoning of service risers within each wing. Mechanical floors were positioned at intervals to regulate water pressure and distribute HVAC systems efficiently across extreme vertical distances.</w:t>
      </w:r>
    </w:p>
    <w:p w14:paraId="76855277"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Openings within reinforced concrete walls present potential reductions in shear capacity. To address this, service penetrations were carefully coordinated during the design phase using Building Information Modelling (BIM). Reinforcement detailing was adjusted to preserve structural continuity around openings. This proactive coordination minimised structural compromise and ensured efficient service integration within the load-bearing system.</w:t>
      </w:r>
    </w:p>
    <w:p w14:paraId="167B7814" w14:textId="77777777" w:rsidR="00B712B3" w:rsidRPr="00B712B3" w:rsidRDefault="00B712B3" w:rsidP="00B712B3">
      <w:pPr>
        <w:rPr>
          <w:rFonts w:ascii="Arial" w:hAnsi="Arial" w:cs="Arial"/>
          <w:sz w:val="24"/>
          <w:szCs w:val="24"/>
        </w:rPr>
      </w:pPr>
      <w:r w:rsidRPr="00B712B3">
        <w:rPr>
          <w:rFonts w:ascii="Arial" w:hAnsi="Arial" w:cs="Arial"/>
          <w:b/>
          <w:bCs/>
          <w:sz w:val="24"/>
          <w:szCs w:val="24"/>
        </w:rPr>
        <w:t>End-of-Life and Demolition Challenges</w:t>
      </w:r>
    </w:p>
    <w:p w14:paraId="31F864BA"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At the end of its service life, demolition of a super-tall reinforced concrete structure would present considerable challenges. Reinforced concrete elements are cast monolithically, making dismantling more complex than unbolting steel members. Mechanical crushing would likely be required, followed by the separation of reinforcement.</w:t>
      </w:r>
    </w:p>
    <w:p w14:paraId="213CFF53"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While crushed concrete can be reused as recycled aggregate, it typically does not achieve the performance characteristics of virgin aggregate in high-strength applications. Steel framing offers superior recyclability and ease of deconstruction. However, reinforced concrete structures often achieve extended service life due to durability and fire resistance, potentially offsetting initial embodied carbon over decades of operation. The choice therefore reflects a trade-off between operational performance and end-of-life recoverability. In comparison, steel structures can be more easily dismantled and recycled, making them more favourable in terms of material recovery and sustainability at the end of a building’s life. (Stengel and Kustermann (2026))</w:t>
      </w:r>
    </w:p>
    <w:p w14:paraId="7FCF9C8B" w14:textId="77777777" w:rsidR="00B712B3" w:rsidRPr="00B712B3" w:rsidRDefault="00B712B3" w:rsidP="00B712B3">
      <w:pPr>
        <w:rPr>
          <w:rFonts w:ascii="Arial" w:hAnsi="Arial" w:cs="Arial"/>
          <w:b/>
          <w:bCs/>
          <w:sz w:val="24"/>
          <w:szCs w:val="24"/>
        </w:rPr>
      </w:pPr>
      <w:r w:rsidRPr="00B712B3">
        <w:rPr>
          <w:rFonts w:ascii="Arial" w:hAnsi="Arial" w:cs="Arial"/>
          <w:b/>
          <w:bCs/>
          <w:sz w:val="24"/>
          <w:szCs w:val="24"/>
        </w:rPr>
        <w:t xml:space="preserve">Negative Impact of the Concrete Production Process the Environment </w:t>
      </w:r>
    </w:p>
    <w:p w14:paraId="144BD5E0"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The production of concrete carries significant environmental and social consequences. Although reinforced concrete provides durability and structural efficiency, its manufacture — particularly cement production — represents one of the most carbon-intensive industrial processes globally.</w:t>
      </w:r>
    </w:p>
    <w:p w14:paraId="3C58A088"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The primary environmental impact arises from the production of Ordinary Portland Cement (OPC). Cement manufacture involves the calcination of limestone (</w:t>
      </w:r>
      <w:proofErr w:type="spellStart"/>
      <w:r w:rsidRPr="00B712B3">
        <w:rPr>
          <w:rFonts w:ascii="Arial" w:eastAsia="Arial" w:hAnsi="Arial" w:cs="Arial"/>
          <w:sz w:val="24"/>
          <w:szCs w:val="24"/>
        </w:rPr>
        <w:t>CaCO</w:t>
      </w:r>
      <w:proofErr w:type="spellEnd"/>
      <w:r w:rsidRPr="00B712B3">
        <w:rPr>
          <w:rFonts w:ascii="Cambria Math" w:eastAsia="Arial" w:hAnsi="Cambria Math" w:cs="Cambria Math"/>
          <w:sz w:val="24"/>
          <w:szCs w:val="24"/>
        </w:rPr>
        <w:t>₃</w:t>
      </w:r>
      <w:r w:rsidRPr="00B712B3">
        <w:rPr>
          <w:rFonts w:ascii="Arial" w:eastAsia="Arial" w:hAnsi="Arial" w:cs="Arial"/>
          <w:sz w:val="24"/>
          <w:szCs w:val="24"/>
        </w:rPr>
        <w:t>) at temperatures exceeding 1,400°C within rotary kilns, releasing carbon dioxide from both fuel combustion and the chemical decomposition of limestone. Approximately 0.9 tonnes of CO</w:t>
      </w:r>
      <w:r w:rsidRPr="00B712B3">
        <w:rPr>
          <w:rFonts w:ascii="Cambria Math" w:eastAsia="Arial" w:hAnsi="Cambria Math" w:cs="Cambria Math"/>
          <w:sz w:val="24"/>
          <w:szCs w:val="24"/>
        </w:rPr>
        <w:t>₂</w:t>
      </w:r>
      <w:r w:rsidRPr="00B712B3">
        <w:rPr>
          <w:rFonts w:ascii="Arial" w:eastAsia="Arial" w:hAnsi="Arial" w:cs="Arial"/>
          <w:sz w:val="24"/>
          <w:szCs w:val="24"/>
        </w:rPr>
        <w:t xml:space="preserve"> are emitted per tonne of cement produced, and globally, the cement industry accounts for approximately 7–8% of anthropogenic carbon dioxide emissions. Large-scale projects such as the Burj Khalifa therefore contribute significantly to embodied carbon emissions during construction. (Barbhuiya et al. (2024))</w:t>
      </w:r>
    </w:p>
    <w:p w14:paraId="2F13570D"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lastRenderedPageBreak/>
        <w:t>Cement production also consumes vast quantities of energy derived from fossil fuels, contributing to air pollution through the release of nitrogen oxides (NOx), sulphur oxides (</w:t>
      </w:r>
      <w:proofErr w:type="spellStart"/>
      <w:r w:rsidRPr="00B712B3">
        <w:rPr>
          <w:rFonts w:ascii="Arial" w:eastAsia="Arial" w:hAnsi="Arial" w:cs="Arial"/>
          <w:sz w:val="24"/>
          <w:szCs w:val="24"/>
        </w:rPr>
        <w:t>SOx</w:t>
      </w:r>
      <w:proofErr w:type="spellEnd"/>
      <w:r w:rsidRPr="00B712B3">
        <w:rPr>
          <w:rFonts w:ascii="Arial" w:eastAsia="Arial" w:hAnsi="Arial" w:cs="Arial"/>
          <w:sz w:val="24"/>
          <w:szCs w:val="24"/>
        </w:rPr>
        <w:t>) and particulate matter, which can adversely affect the health of surrounding communities.</w:t>
      </w:r>
    </w:p>
    <w:p w14:paraId="13FF58CE"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Aggregate extraction imposes further environmental degradation through habitat destruction, landscape alteration and biodiversity loss. In some regions, unsustainable sand extraction has contributed to riverbank erosion and ecosystem disruption. Water consumption represents an additional burden; in arid climates such as the UAE, large-scale construction intensifies pressure on limited freshwater resources. (Miller, Horvath and Monteiro (2018))</w:t>
      </w:r>
    </w:p>
    <w:p w14:paraId="45FE8A76" w14:textId="77777777" w:rsidR="001E6E6F" w:rsidRPr="00B712B3" w:rsidRDefault="00000000">
      <w:pPr>
        <w:spacing w:after="160"/>
        <w:jc w:val="both"/>
        <w:rPr>
          <w:rFonts w:ascii="Arial" w:hAnsi="Arial" w:cs="Arial"/>
          <w:sz w:val="24"/>
          <w:szCs w:val="24"/>
        </w:rPr>
      </w:pPr>
      <w:r w:rsidRPr="00B712B3">
        <w:rPr>
          <w:rFonts w:ascii="Arial" w:eastAsia="Arial" w:hAnsi="Arial" w:cs="Arial"/>
          <w:sz w:val="24"/>
          <w:szCs w:val="24"/>
        </w:rPr>
        <w:t>Despite these impacts, mitigation strategies have been increasingly adopted. The incorporation of supplementary cementitious materials such as fly ash, ground granulated blast-furnace slag (GGBS) and silica fume reduces reliance on Portland cement and lowers embodied carbon intensity. Improvements in kiln efficiency and carbon capture technologies are also being explored. However, while such measures can mitigate impact, they do not eliminate the fundamental environmental burden associated with cement manufacture.</w:t>
      </w:r>
    </w:p>
    <w:p w14:paraId="5112B07A" w14:textId="63346895" w:rsidR="001E6E6F" w:rsidRDefault="00B712B3">
      <w:pPr>
        <w:spacing w:after="160"/>
        <w:jc w:val="both"/>
        <w:rPr>
          <w:noProof/>
        </w:rPr>
      </w:pPr>
      <w:r>
        <w:rPr>
          <w:noProof/>
        </w:rPr>
        <w:drawing>
          <wp:anchor distT="0" distB="0" distL="114300" distR="114300" simplePos="0" relativeHeight="251662336" behindDoc="1" locked="0" layoutInCell="1" allowOverlap="1" wp14:anchorId="3DB40011" wp14:editId="0F5CDCF6">
            <wp:simplePos x="0" y="0"/>
            <wp:positionH relativeFrom="margin">
              <wp:align>right</wp:align>
            </wp:positionH>
            <wp:positionV relativeFrom="paragraph">
              <wp:posOffset>14605</wp:posOffset>
            </wp:positionV>
            <wp:extent cx="2590800" cy="1457325"/>
            <wp:effectExtent l="0" t="0" r="0" b="9525"/>
            <wp:wrapTight wrapText="bothSides">
              <wp:wrapPolygon edited="0">
                <wp:start x="0" y="0"/>
                <wp:lineTo x="0" y="21459"/>
                <wp:lineTo x="21441" y="21459"/>
                <wp:lineTo x="21441" y="0"/>
                <wp:lineTo x="0" y="0"/>
              </wp:wrapPolygon>
            </wp:wrapTight>
            <wp:docPr id="2022725079" name="Picture 6" descr="The Environmental Impact of Ready-Mix Concrete and How to Reduce I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he Environmental Impact of Ready-Mix Concrete and How to Reduce It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90800" cy="1457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0000" w:rsidRPr="00B712B3">
        <w:rPr>
          <w:rFonts w:ascii="Arial" w:eastAsia="Arial" w:hAnsi="Arial" w:cs="Arial"/>
          <w:sz w:val="24"/>
          <w:szCs w:val="24"/>
        </w:rPr>
        <w:t>Therefore, while reinforced concrete remains indispensable for structural applications such as super-tall buildings, its production carries substantial environmental and social costs. Future sustainable development depends on balancing structural performance requirements with material efficiency, carbon reduction strategies and responsible resource management.</w:t>
      </w:r>
      <w:r w:rsidRPr="00B712B3">
        <w:rPr>
          <w:noProof/>
        </w:rPr>
        <w:t xml:space="preserve"> </w:t>
      </w:r>
    </w:p>
    <w:p w14:paraId="6F05C9E1" w14:textId="77777777" w:rsidR="00B712B3" w:rsidRDefault="00B712B3">
      <w:pPr>
        <w:spacing w:after="160"/>
        <w:jc w:val="both"/>
        <w:rPr>
          <w:noProof/>
        </w:rPr>
      </w:pPr>
    </w:p>
    <w:p w14:paraId="703D7822" w14:textId="77777777" w:rsidR="00B712B3" w:rsidRDefault="00B712B3">
      <w:pPr>
        <w:spacing w:after="160"/>
        <w:jc w:val="both"/>
        <w:rPr>
          <w:noProof/>
        </w:rPr>
      </w:pPr>
    </w:p>
    <w:p w14:paraId="3889D962" w14:textId="77777777" w:rsidR="00B712B3" w:rsidRDefault="00B712B3">
      <w:pPr>
        <w:spacing w:after="160"/>
        <w:jc w:val="both"/>
        <w:rPr>
          <w:noProof/>
        </w:rPr>
      </w:pPr>
    </w:p>
    <w:p w14:paraId="17726E6E" w14:textId="77777777" w:rsidR="00B712B3" w:rsidRDefault="00B712B3">
      <w:pPr>
        <w:spacing w:after="160"/>
        <w:jc w:val="both"/>
        <w:rPr>
          <w:noProof/>
        </w:rPr>
      </w:pPr>
    </w:p>
    <w:p w14:paraId="3F8F2D8F" w14:textId="77777777" w:rsidR="00B712B3" w:rsidRDefault="00B712B3">
      <w:pPr>
        <w:spacing w:after="160"/>
        <w:jc w:val="both"/>
        <w:rPr>
          <w:noProof/>
        </w:rPr>
      </w:pPr>
    </w:p>
    <w:p w14:paraId="3ABB2357" w14:textId="77777777" w:rsidR="00B712B3" w:rsidRDefault="00B712B3">
      <w:pPr>
        <w:spacing w:after="160"/>
        <w:jc w:val="both"/>
        <w:rPr>
          <w:noProof/>
        </w:rPr>
      </w:pPr>
    </w:p>
    <w:p w14:paraId="2F1C4C28" w14:textId="77777777" w:rsidR="00B712B3" w:rsidRDefault="00B712B3">
      <w:pPr>
        <w:spacing w:after="160"/>
        <w:jc w:val="both"/>
        <w:rPr>
          <w:noProof/>
        </w:rPr>
      </w:pPr>
    </w:p>
    <w:p w14:paraId="4E01A41A" w14:textId="77777777" w:rsidR="00B712B3" w:rsidRDefault="00B712B3">
      <w:pPr>
        <w:spacing w:after="160"/>
        <w:jc w:val="both"/>
        <w:rPr>
          <w:noProof/>
        </w:rPr>
      </w:pPr>
    </w:p>
    <w:p w14:paraId="407FCB30" w14:textId="77777777" w:rsidR="00B712B3" w:rsidRDefault="00B712B3">
      <w:pPr>
        <w:spacing w:after="160"/>
        <w:jc w:val="both"/>
        <w:rPr>
          <w:noProof/>
        </w:rPr>
      </w:pPr>
    </w:p>
    <w:p w14:paraId="5D989311" w14:textId="77777777" w:rsidR="00B712B3" w:rsidRDefault="00B712B3">
      <w:pPr>
        <w:spacing w:after="160"/>
        <w:jc w:val="both"/>
        <w:rPr>
          <w:noProof/>
        </w:rPr>
      </w:pPr>
    </w:p>
    <w:p w14:paraId="090A5959" w14:textId="77777777" w:rsidR="00B712B3" w:rsidRDefault="00B712B3">
      <w:pPr>
        <w:spacing w:after="160"/>
        <w:jc w:val="both"/>
        <w:rPr>
          <w:noProof/>
        </w:rPr>
      </w:pPr>
    </w:p>
    <w:p w14:paraId="768988D3" w14:textId="77777777" w:rsidR="00B712B3" w:rsidRDefault="00B712B3">
      <w:pPr>
        <w:spacing w:after="160"/>
        <w:jc w:val="both"/>
        <w:rPr>
          <w:noProof/>
        </w:rPr>
      </w:pPr>
    </w:p>
    <w:p w14:paraId="47B8A2BE" w14:textId="77777777" w:rsidR="00B712B3" w:rsidRDefault="00B712B3">
      <w:pPr>
        <w:spacing w:after="160"/>
        <w:jc w:val="both"/>
        <w:rPr>
          <w:noProof/>
        </w:rPr>
      </w:pPr>
    </w:p>
    <w:p w14:paraId="19BFC285" w14:textId="77777777" w:rsidR="00B712B3" w:rsidRDefault="00B712B3">
      <w:pPr>
        <w:spacing w:after="160"/>
        <w:jc w:val="both"/>
        <w:rPr>
          <w:noProof/>
        </w:rPr>
      </w:pPr>
    </w:p>
    <w:tbl>
      <w:tblPr>
        <w:tblStyle w:val="TableGrid"/>
        <w:tblW w:w="0" w:type="auto"/>
        <w:tblLook w:val="04A0" w:firstRow="1" w:lastRow="0" w:firstColumn="1" w:lastColumn="0" w:noHBand="0" w:noVBand="1"/>
      </w:tblPr>
      <w:tblGrid>
        <w:gridCol w:w="960"/>
        <w:gridCol w:w="1025"/>
        <w:gridCol w:w="960"/>
        <w:gridCol w:w="1010"/>
      </w:tblGrid>
      <w:tr w:rsidR="00B712B3" w:rsidRPr="0099799C" w14:paraId="0FA7B2AA" w14:textId="77777777" w:rsidTr="00B712B3">
        <w:trPr>
          <w:trHeight w:val="960"/>
        </w:trPr>
        <w:tc>
          <w:tcPr>
            <w:tcW w:w="960" w:type="dxa"/>
            <w:hideMark/>
          </w:tcPr>
          <w:p w14:paraId="71FA37BF" w14:textId="77777777" w:rsidR="00B712B3" w:rsidRPr="0099799C" w:rsidRDefault="00B712B3" w:rsidP="00B93182">
            <w:r w:rsidRPr="0099799C">
              <w:lastRenderedPageBreak/>
              <w:t>Sieve Size (mm)</w:t>
            </w:r>
          </w:p>
        </w:tc>
        <w:tc>
          <w:tcPr>
            <w:tcW w:w="1025" w:type="dxa"/>
            <w:hideMark/>
          </w:tcPr>
          <w:p w14:paraId="2739A096" w14:textId="77777777" w:rsidR="00B712B3" w:rsidRPr="0099799C" w:rsidRDefault="00B712B3" w:rsidP="00B93182">
            <w:r w:rsidRPr="0099799C">
              <w:t>Mass(g)</w:t>
            </w:r>
          </w:p>
        </w:tc>
        <w:tc>
          <w:tcPr>
            <w:tcW w:w="960" w:type="dxa"/>
            <w:hideMark/>
          </w:tcPr>
          <w:p w14:paraId="68D25A41" w14:textId="77777777" w:rsidR="00B712B3" w:rsidRPr="0099799C" w:rsidRDefault="00B712B3" w:rsidP="00B93182">
            <w:r w:rsidRPr="0099799C">
              <w:t>% on sieve</w:t>
            </w:r>
          </w:p>
        </w:tc>
        <w:tc>
          <w:tcPr>
            <w:tcW w:w="1010" w:type="dxa"/>
            <w:hideMark/>
          </w:tcPr>
          <w:p w14:paraId="68DD5F8E" w14:textId="77777777" w:rsidR="00B712B3" w:rsidRPr="0099799C" w:rsidRDefault="00B712B3" w:rsidP="00B93182">
            <w:r w:rsidRPr="0099799C">
              <w:t>% Passing</w:t>
            </w:r>
          </w:p>
        </w:tc>
      </w:tr>
      <w:tr w:rsidR="00B712B3" w:rsidRPr="0099799C" w14:paraId="234AE224" w14:textId="77777777" w:rsidTr="00B712B3">
        <w:trPr>
          <w:trHeight w:val="330"/>
        </w:trPr>
        <w:tc>
          <w:tcPr>
            <w:tcW w:w="960" w:type="dxa"/>
            <w:hideMark/>
          </w:tcPr>
          <w:p w14:paraId="2F7DE2B3" w14:textId="77777777" w:rsidR="00B712B3" w:rsidRPr="0099799C" w:rsidRDefault="00B712B3" w:rsidP="00B93182">
            <w:r w:rsidRPr="0099799C">
              <w:t>125</w:t>
            </w:r>
          </w:p>
        </w:tc>
        <w:tc>
          <w:tcPr>
            <w:tcW w:w="1025" w:type="dxa"/>
            <w:hideMark/>
          </w:tcPr>
          <w:p w14:paraId="0B6EB6AF" w14:textId="77777777" w:rsidR="00B712B3" w:rsidRPr="0099799C" w:rsidRDefault="00B712B3" w:rsidP="00B93182">
            <w:r w:rsidRPr="0099799C">
              <w:t>0</w:t>
            </w:r>
          </w:p>
        </w:tc>
        <w:tc>
          <w:tcPr>
            <w:tcW w:w="960" w:type="dxa"/>
            <w:hideMark/>
          </w:tcPr>
          <w:p w14:paraId="31632042" w14:textId="77777777" w:rsidR="00B712B3" w:rsidRPr="0099799C" w:rsidRDefault="00B712B3" w:rsidP="00B93182">
            <w:r w:rsidRPr="0099799C">
              <w:t>0</w:t>
            </w:r>
          </w:p>
        </w:tc>
        <w:tc>
          <w:tcPr>
            <w:tcW w:w="1010" w:type="dxa"/>
            <w:hideMark/>
          </w:tcPr>
          <w:p w14:paraId="42D93ECC" w14:textId="77777777" w:rsidR="00B712B3" w:rsidRPr="0099799C" w:rsidRDefault="00B712B3" w:rsidP="00B93182">
            <w:r w:rsidRPr="0099799C">
              <w:t>100</w:t>
            </w:r>
          </w:p>
        </w:tc>
      </w:tr>
      <w:tr w:rsidR="00B712B3" w:rsidRPr="0099799C" w14:paraId="0D4D41B7" w14:textId="77777777" w:rsidTr="00B712B3">
        <w:trPr>
          <w:trHeight w:val="330"/>
        </w:trPr>
        <w:tc>
          <w:tcPr>
            <w:tcW w:w="960" w:type="dxa"/>
            <w:hideMark/>
          </w:tcPr>
          <w:p w14:paraId="0AD2443E" w14:textId="77777777" w:rsidR="00B712B3" w:rsidRPr="0099799C" w:rsidRDefault="00B712B3" w:rsidP="00B93182">
            <w:r w:rsidRPr="0099799C">
              <w:t>75</w:t>
            </w:r>
          </w:p>
        </w:tc>
        <w:tc>
          <w:tcPr>
            <w:tcW w:w="1025" w:type="dxa"/>
            <w:hideMark/>
          </w:tcPr>
          <w:p w14:paraId="3F90A4BD" w14:textId="77777777" w:rsidR="00B712B3" w:rsidRPr="0099799C" w:rsidRDefault="00B712B3" w:rsidP="00B93182">
            <w:r w:rsidRPr="0099799C">
              <w:t>0</w:t>
            </w:r>
          </w:p>
        </w:tc>
        <w:tc>
          <w:tcPr>
            <w:tcW w:w="960" w:type="dxa"/>
            <w:hideMark/>
          </w:tcPr>
          <w:p w14:paraId="2B0CB290" w14:textId="77777777" w:rsidR="00B712B3" w:rsidRPr="0099799C" w:rsidRDefault="00B712B3" w:rsidP="00B93182">
            <w:r w:rsidRPr="0099799C">
              <w:t>0</w:t>
            </w:r>
          </w:p>
        </w:tc>
        <w:tc>
          <w:tcPr>
            <w:tcW w:w="1010" w:type="dxa"/>
            <w:hideMark/>
          </w:tcPr>
          <w:p w14:paraId="212B183B" w14:textId="77777777" w:rsidR="00B712B3" w:rsidRPr="0099799C" w:rsidRDefault="00B712B3" w:rsidP="00B93182">
            <w:r w:rsidRPr="0099799C">
              <w:t>100</w:t>
            </w:r>
          </w:p>
        </w:tc>
      </w:tr>
      <w:tr w:rsidR="00B712B3" w:rsidRPr="0099799C" w14:paraId="07FFD436" w14:textId="77777777" w:rsidTr="00B712B3">
        <w:trPr>
          <w:trHeight w:val="330"/>
        </w:trPr>
        <w:tc>
          <w:tcPr>
            <w:tcW w:w="960" w:type="dxa"/>
            <w:hideMark/>
          </w:tcPr>
          <w:p w14:paraId="67DEB862" w14:textId="77777777" w:rsidR="00B712B3" w:rsidRPr="0099799C" w:rsidRDefault="00B712B3" w:rsidP="00B93182">
            <w:r w:rsidRPr="0099799C">
              <w:t>63</w:t>
            </w:r>
          </w:p>
        </w:tc>
        <w:tc>
          <w:tcPr>
            <w:tcW w:w="1025" w:type="dxa"/>
            <w:hideMark/>
          </w:tcPr>
          <w:p w14:paraId="66547C90" w14:textId="77777777" w:rsidR="00B712B3" w:rsidRPr="0099799C" w:rsidRDefault="00B712B3" w:rsidP="00B93182">
            <w:r w:rsidRPr="0099799C">
              <w:t>0</w:t>
            </w:r>
          </w:p>
        </w:tc>
        <w:tc>
          <w:tcPr>
            <w:tcW w:w="960" w:type="dxa"/>
            <w:hideMark/>
          </w:tcPr>
          <w:p w14:paraId="523B8EE8" w14:textId="77777777" w:rsidR="00B712B3" w:rsidRPr="0099799C" w:rsidRDefault="00B712B3" w:rsidP="00B93182">
            <w:r w:rsidRPr="0099799C">
              <w:t>0</w:t>
            </w:r>
          </w:p>
        </w:tc>
        <w:tc>
          <w:tcPr>
            <w:tcW w:w="1010" w:type="dxa"/>
            <w:hideMark/>
          </w:tcPr>
          <w:p w14:paraId="51E63804" w14:textId="77777777" w:rsidR="00B712B3" w:rsidRPr="0099799C" w:rsidRDefault="00B712B3" w:rsidP="00B93182">
            <w:r w:rsidRPr="0099799C">
              <w:t>100</w:t>
            </w:r>
          </w:p>
        </w:tc>
      </w:tr>
      <w:tr w:rsidR="00B712B3" w:rsidRPr="0099799C" w14:paraId="7DF95773" w14:textId="77777777" w:rsidTr="00B712B3">
        <w:trPr>
          <w:trHeight w:val="330"/>
        </w:trPr>
        <w:tc>
          <w:tcPr>
            <w:tcW w:w="960" w:type="dxa"/>
            <w:hideMark/>
          </w:tcPr>
          <w:p w14:paraId="7C7CDE86" w14:textId="77777777" w:rsidR="00B712B3" w:rsidRPr="0099799C" w:rsidRDefault="00B712B3" w:rsidP="00B93182">
            <w:r w:rsidRPr="0099799C">
              <w:t>37.5</w:t>
            </w:r>
          </w:p>
        </w:tc>
        <w:tc>
          <w:tcPr>
            <w:tcW w:w="1025" w:type="dxa"/>
            <w:hideMark/>
          </w:tcPr>
          <w:p w14:paraId="5D71C2BF" w14:textId="77777777" w:rsidR="00B712B3" w:rsidRPr="0099799C" w:rsidRDefault="00B712B3" w:rsidP="00B93182">
            <w:r w:rsidRPr="0099799C">
              <w:t>120</w:t>
            </w:r>
          </w:p>
        </w:tc>
        <w:tc>
          <w:tcPr>
            <w:tcW w:w="960" w:type="dxa"/>
            <w:hideMark/>
          </w:tcPr>
          <w:p w14:paraId="70491431" w14:textId="77777777" w:rsidR="00B712B3" w:rsidRPr="0099799C" w:rsidRDefault="00B712B3" w:rsidP="00B93182">
            <w:r w:rsidRPr="0099799C">
              <w:t>9.6</w:t>
            </w:r>
          </w:p>
        </w:tc>
        <w:tc>
          <w:tcPr>
            <w:tcW w:w="1010" w:type="dxa"/>
            <w:hideMark/>
          </w:tcPr>
          <w:p w14:paraId="3E9890D7" w14:textId="77777777" w:rsidR="00B712B3" w:rsidRPr="0099799C" w:rsidRDefault="00B712B3" w:rsidP="00B93182">
            <w:r w:rsidRPr="0099799C">
              <w:t>90.4</w:t>
            </w:r>
          </w:p>
        </w:tc>
      </w:tr>
      <w:tr w:rsidR="00B712B3" w:rsidRPr="0099799C" w14:paraId="1451638D" w14:textId="77777777" w:rsidTr="00B712B3">
        <w:trPr>
          <w:trHeight w:val="330"/>
        </w:trPr>
        <w:tc>
          <w:tcPr>
            <w:tcW w:w="960" w:type="dxa"/>
            <w:hideMark/>
          </w:tcPr>
          <w:p w14:paraId="619CE4B1" w14:textId="77777777" w:rsidR="00B712B3" w:rsidRPr="0099799C" w:rsidRDefault="00B712B3" w:rsidP="00B93182">
            <w:r w:rsidRPr="0099799C">
              <w:t>20</w:t>
            </w:r>
          </w:p>
        </w:tc>
        <w:tc>
          <w:tcPr>
            <w:tcW w:w="1025" w:type="dxa"/>
            <w:hideMark/>
          </w:tcPr>
          <w:p w14:paraId="5AFE3556" w14:textId="77777777" w:rsidR="00B712B3" w:rsidRPr="0099799C" w:rsidRDefault="00B712B3" w:rsidP="00B93182">
            <w:r w:rsidRPr="0099799C">
              <w:t>137</w:t>
            </w:r>
          </w:p>
        </w:tc>
        <w:tc>
          <w:tcPr>
            <w:tcW w:w="960" w:type="dxa"/>
            <w:hideMark/>
          </w:tcPr>
          <w:p w14:paraId="655118AE" w14:textId="77777777" w:rsidR="00B712B3" w:rsidRPr="0099799C" w:rsidRDefault="00B712B3" w:rsidP="00B93182">
            <w:r w:rsidRPr="0099799C">
              <w:t>10.96</w:t>
            </w:r>
          </w:p>
        </w:tc>
        <w:tc>
          <w:tcPr>
            <w:tcW w:w="1010" w:type="dxa"/>
            <w:hideMark/>
          </w:tcPr>
          <w:p w14:paraId="732CAF63" w14:textId="77777777" w:rsidR="00B712B3" w:rsidRPr="0099799C" w:rsidRDefault="00B712B3" w:rsidP="00B93182">
            <w:r w:rsidRPr="0099799C">
              <w:t>79.44</w:t>
            </w:r>
          </w:p>
        </w:tc>
      </w:tr>
      <w:tr w:rsidR="00B712B3" w:rsidRPr="0099799C" w14:paraId="263A4BD5" w14:textId="77777777" w:rsidTr="00B712B3">
        <w:trPr>
          <w:trHeight w:val="330"/>
        </w:trPr>
        <w:tc>
          <w:tcPr>
            <w:tcW w:w="960" w:type="dxa"/>
            <w:hideMark/>
          </w:tcPr>
          <w:p w14:paraId="1164D1FF" w14:textId="77777777" w:rsidR="00B712B3" w:rsidRPr="0099799C" w:rsidRDefault="00B712B3" w:rsidP="00B93182">
            <w:r w:rsidRPr="0099799C">
              <w:t>10</w:t>
            </w:r>
          </w:p>
        </w:tc>
        <w:tc>
          <w:tcPr>
            <w:tcW w:w="1025" w:type="dxa"/>
            <w:hideMark/>
          </w:tcPr>
          <w:p w14:paraId="63D8D8D5" w14:textId="77777777" w:rsidR="00B712B3" w:rsidRPr="0099799C" w:rsidRDefault="00B712B3" w:rsidP="00B93182">
            <w:r w:rsidRPr="0099799C">
              <w:t>143</w:t>
            </w:r>
          </w:p>
        </w:tc>
        <w:tc>
          <w:tcPr>
            <w:tcW w:w="960" w:type="dxa"/>
            <w:hideMark/>
          </w:tcPr>
          <w:p w14:paraId="1103623C" w14:textId="77777777" w:rsidR="00B712B3" w:rsidRPr="0099799C" w:rsidRDefault="00B712B3" w:rsidP="00B93182">
            <w:r w:rsidRPr="0099799C">
              <w:t>11.44</w:t>
            </w:r>
          </w:p>
        </w:tc>
        <w:tc>
          <w:tcPr>
            <w:tcW w:w="1010" w:type="dxa"/>
            <w:hideMark/>
          </w:tcPr>
          <w:p w14:paraId="49DC5F21" w14:textId="77777777" w:rsidR="00B712B3" w:rsidRPr="0099799C" w:rsidRDefault="00B712B3" w:rsidP="00B93182">
            <w:r w:rsidRPr="0099799C">
              <w:t>68</w:t>
            </w:r>
          </w:p>
        </w:tc>
      </w:tr>
      <w:tr w:rsidR="00B712B3" w:rsidRPr="0099799C" w14:paraId="2B582B04" w14:textId="77777777" w:rsidTr="00B712B3">
        <w:trPr>
          <w:trHeight w:val="330"/>
        </w:trPr>
        <w:tc>
          <w:tcPr>
            <w:tcW w:w="960" w:type="dxa"/>
            <w:hideMark/>
          </w:tcPr>
          <w:p w14:paraId="257BF1DD" w14:textId="77777777" w:rsidR="00B712B3" w:rsidRPr="0099799C" w:rsidRDefault="00B712B3" w:rsidP="00B93182">
            <w:r w:rsidRPr="0099799C">
              <w:t>6.3</w:t>
            </w:r>
          </w:p>
        </w:tc>
        <w:tc>
          <w:tcPr>
            <w:tcW w:w="1025" w:type="dxa"/>
            <w:hideMark/>
          </w:tcPr>
          <w:p w14:paraId="1EFA69B4" w14:textId="77777777" w:rsidR="00B712B3" w:rsidRPr="0099799C" w:rsidRDefault="00B712B3" w:rsidP="00B93182">
            <w:r w:rsidRPr="0099799C">
              <w:t>105</w:t>
            </w:r>
          </w:p>
        </w:tc>
        <w:tc>
          <w:tcPr>
            <w:tcW w:w="960" w:type="dxa"/>
            <w:hideMark/>
          </w:tcPr>
          <w:p w14:paraId="07B5DDA2" w14:textId="77777777" w:rsidR="00B712B3" w:rsidRPr="0099799C" w:rsidRDefault="00B712B3" w:rsidP="00B93182">
            <w:r w:rsidRPr="0099799C">
              <w:t>8.4</w:t>
            </w:r>
          </w:p>
        </w:tc>
        <w:tc>
          <w:tcPr>
            <w:tcW w:w="1010" w:type="dxa"/>
            <w:hideMark/>
          </w:tcPr>
          <w:p w14:paraId="67044F04" w14:textId="77777777" w:rsidR="00B712B3" w:rsidRPr="0099799C" w:rsidRDefault="00B712B3" w:rsidP="00B93182">
            <w:r w:rsidRPr="0099799C">
              <w:t>59.6</w:t>
            </w:r>
          </w:p>
        </w:tc>
      </w:tr>
      <w:tr w:rsidR="00B712B3" w:rsidRPr="0099799C" w14:paraId="1D3AF3B2" w14:textId="77777777" w:rsidTr="00B712B3">
        <w:trPr>
          <w:trHeight w:val="330"/>
        </w:trPr>
        <w:tc>
          <w:tcPr>
            <w:tcW w:w="960" w:type="dxa"/>
            <w:hideMark/>
          </w:tcPr>
          <w:p w14:paraId="7076F4C5" w14:textId="77777777" w:rsidR="00B712B3" w:rsidRPr="0099799C" w:rsidRDefault="00B712B3" w:rsidP="00B93182">
            <w:r w:rsidRPr="0099799C">
              <w:t>3.35</w:t>
            </w:r>
          </w:p>
        </w:tc>
        <w:tc>
          <w:tcPr>
            <w:tcW w:w="1025" w:type="dxa"/>
            <w:hideMark/>
          </w:tcPr>
          <w:p w14:paraId="1E990BE0" w14:textId="77777777" w:rsidR="00B712B3" w:rsidRPr="0099799C" w:rsidRDefault="00B712B3" w:rsidP="00B93182">
            <w:r w:rsidRPr="0099799C">
              <w:t>45</w:t>
            </w:r>
          </w:p>
        </w:tc>
        <w:tc>
          <w:tcPr>
            <w:tcW w:w="960" w:type="dxa"/>
            <w:hideMark/>
          </w:tcPr>
          <w:p w14:paraId="70694FD6" w14:textId="77777777" w:rsidR="00B712B3" w:rsidRPr="0099799C" w:rsidRDefault="00B712B3" w:rsidP="00B93182">
            <w:r w:rsidRPr="0099799C">
              <w:t>3.6</w:t>
            </w:r>
          </w:p>
        </w:tc>
        <w:tc>
          <w:tcPr>
            <w:tcW w:w="1010" w:type="dxa"/>
            <w:hideMark/>
          </w:tcPr>
          <w:p w14:paraId="1328BF2E" w14:textId="77777777" w:rsidR="00B712B3" w:rsidRPr="0099799C" w:rsidRDefault="00B712B3" w:rsidP="00B93182">
            <w:r w:rsidRPr="0099799C">
              <w:t>56</w:t>
            </w:r>
          </w:p>
        </w:tc>
      </w:tr>
      <w:tr w:rsidR="00B712B3" w:rsidRPr="0099799C" w14:paraId="4E6207B0" w14:textId="77777777" w:rsidTr="00B712B3">
        <w:trPr>
          <w:trHeight w:val="330"/>
        </w:trPr>
        <w:tc>
          <w:tcPr>
            <w:tcW w:w="960" w:type="dxa"/>
            <w:hideMark/>
          </w:tcPr>
          <w:p w14:paraId="79A3BF0A" w14:textId="77777777" w:rsidR="00B712B3" w:rsidRPr="0099799C" w:rsidRDefault="00B712B3" w:rsidP="00B93182">
            <w:r w:rsidRPr="0099799C">
              <w:t>2</w:t>
            </w:r>
          </w:p>
        </w:tc>
        <w:tc>
          <w:tcPr>
            <w:tcW w:w="1025" w:type="dxa"/>
            <w:hideMark/>
          </w:tcPr>
          <w:p w14:paraId="19E4D87F" w14:textId="77777777" w:rsidR="00B712B3" w:rsidRPr="0099799C" w:rsidRDefault="00B712B3" w:rsidP="00B93182">
            <w:r w:rsidRPr="0099799C">
              <w:t>130</w:t>
            </w:r>
          </w:p>
        </w:tc>
        <w:tc>
          <w:tcPr>
            <w:tcW w:w="960" w:type="dxa"/>
            <w:hideMark/>
          </w:tcPr>
          <w:p w14:paraId="7B524F55" w14:textId="77777777" w:rsidR="00B712B3" w:rsidRPr="0099799C" w:rsidRDefault="00B712B3" w:rsidP="00B93182">
            <w:r w:rsidRPr="0099799C">
              <w:t>10.4</w:t>
            </w:r>
          </w:p>
        </w:tc>
        <w:tc>
          <w:tcPr>
            <w:tcW w:w="1010" w:type="dxa"/>
            <w:hideMark/>
          </w:tcPr>
          <w:p w14:paraId="1FBA6FDC" w14:textId="77777777" w:rsidR="00B712B3" w:rsidRPr="0099799C" w:rsidRDefault="00B712B3" w:rsidP="00B93182">
            <w:r w:rsidRPr="0099799C">
              <w:t>45.6</w:t>
            </w:r>
          </w:p>
        </w:tc>
      </w:tr>
      <w:tr w:rsidR="00B712B3" w:rsidRPr="0099799C" w14:paraId="45C3C9E8" w14:textId="77777777" w:rsidTr="00B712B3">
        <w:trPr>
          <w:trHeight w:val="330"/>
        </w:trPr>
        <w:tc>
          <w:tcPr>
            <w:tcW w:w="960" w:type="dxa"/>
            <w:hideMark/>
          </w:tcPr>
          <w:p w14:paraId="21CDD0B1" w14:textId="77777777" w:rsidR="00B712B3" w:rsidRPr="0099799C" w:rsidRDefault="00B712B3" w:rsidP="00B93182">
            <w:r w:rsidRPr="0099799C">
              <w:t>1.18</w:t>
            </w:r>
          </w:p>
        </w:tc>
        <w:tc>
          <w:tcPr>
            <w:tcW w:w="1025" w:type="dxa"/>
            <w:hideMark/>
          </w:tcPr>
          <w:p w14:paraId="6FCBE366" w14:textId="77777777" w:rsidR="00B712B3" w:rsidRPr="0099799C" w:rsidRDefault="00B712B3" w:rsidP="00B93182">
            <w:r w:rsidRPr="0099799C">
              <w:t>63</w:t>
            </w:r>
          </w:p>
        </w:tc>
        <w:tc>
          <w:tcPr>
            <w:tcW w:w="960" w:type="dxa"/>
            <w:hideMark/>
          </w:tcPr>
          <w:p w14:paraId="7BDFBCBB" w14:textId="77777777" w:rsidR="00B712B3" w:rsidRPr="0099799C" w:rsidRDefault="00B712B3" w:rsidP="00B93182">
            <w:r w:rsidRPr="0099799C">
              <w:t>5.04</w:t>
            </w:r>
          </w:p>
        </w:tc>
        <w:tc>
          <w:tcPr>
            <w:tcW w:w="1010" w:type="dxa"/>
            <w:hideMark/>
          </w:tcPr>
          <w:p w14:paraId="51585BBA" w14:textId="77777777" w:rsidR="00B712B3" w:rsidRPr="0099799C" w:rsidRDefault="00B712B3" w:rsidP="00B93182">
            <w:r w:rsidRPr="0099799C">
              <w:t>40.56</w:t>
            </w:r>
          </w:p>
        </w:tc>
      </w:tr>
      <w:tr w:rsidR="00B712B3" w:rsidRPr="0099799C" w14:paraId="46974CA3" w14:textId="77777777" w:rsidTr="00B712B3">
        <w:trPr>
          <w:trHeight w:val="330"/>
        </w:trPr>
        <w:tc>
          <w:tcPr>
            <w:tcW w:w="960" w:type="dxa"/>
            <w:hideMark/>
          </w:tcPr>
          <w:p w14:paraId="0325B33C" w14:textId="77777777" w:rsidR="00B712B3" w:rsidRPr="0099799C" w:rsidRDefault="00B712B3" w:rsidP="00B93182">
            <w:r w:rsidRPr="0099799C">
              <w:t>0.6</w:t>
            </w:r>
          </w:p>
        </w:tc>
        <w:tc>
          <w:tcPr>
            <w:tcW w:w="1025" w:type="dxa"/>
            <w:hideMark/>
          </w:tcPr>
          <w:p w14:paraId="5859B221" w14:textId="77777777" w:rsidR="00B712B3" w:rsidRPr="0099799C" w:rsidRDefault="00B712B3" w:rsidP="00B93182">
            <w:r w:rsidRPr="0099799C">
              <w:t>105</w:t>
            </w:r>
          </w:p>
        </w:tc>
        <w:tc>
          <w:tcPr>
            <w:tcW w:w="960" w:type="dxa"/>
            <w:hideMark/>
          </w:tcPr>
          <w:p w14:paraId="041371B6" w14:textId="77777777" w:rsidR="00B712B3" w:rsidRPr="0099799C" w:rsidRDefault="00B712B3" w:rsidP="00B93182">
            <w:r w:rsidRPr="0099799C">
              <w:t>8.4</w:t>
            </w:r>
          </w:p>
        </w:tc>
        <w:tc>
          <w:tcPr>
            <w:tcW w:w="1010" w:type="dxa"/>
            <w:hideMark/>
          </w:tcPr>
          <w:p w14:paraId="78FE15CD" w14:textId="77777777" w:rsidR="00B712B3" w:rsidRPr="0099799C" w:rsidRDefault="00B712B3" w:rsidP="00B93182">
            <w:r w:rsidRPr="0099799C">
              <w:t>32.16</w:t>
            </w:r>
          </w:p>
        </w:tc>
      </w:tr>
      <w:tr w:rsidR="00B712B3" w:rsidRPr="0099799C" w14:paraId="0F0A63D1" w14:textId="77777777" w:rsidTr="00B712B3">
        <w:trPr>
          <w:trHeight w:val="330"/>
        </w:trPr>
        <w:tc>
          <w:tcPr>
            <w:tcW w:w="960" w:type="dxa"/>
            <w:hideMark/>
          </w:tcPr>
          <w:p w14:paraId="3563EA19" w14:textId="77777777" w:rsidR="00B712B3" w:rsidRPr="0099799C" w:rsidRDefault="00B712B3" w:rsidP="00B93182">
            <w:r w:rsidRPr="0099799C">
              <w:t>0.3</w:t>
            </w:r>
          </w:p>
        </w:tc>
        <w:tc>
          <w:tcPr>
            <w:tcW w:w="1025" w:type="dxa"/>
            <w:hideMark/>
          </w:tcPr>
          <w:p w14:paraId="5518959A" w14:textId="77777777" w:rsidR="00B712B3" w:rsidRPr="0099799C" w:rsidRDefault="00B712B3" w:rsidP="00B93182">
            <w:r w:rsidRPr="0099799C">
              <w:t>102</w:t>
            </w:r>
          </w:p>
        </w:tc>
        <w:tc>
          <w:tcPr>
            <w:tcW w:w="960" w:type="dxa"/>
            <w:hideMark/>
          </w:tcPr>
          <w:p w14:paraId="2B300A97" w14:textId="77777777" w:rsidR="00B712B3" w:rsidRPr="0099799C" w:rsidRDefault="00B712B3" w:rsidP="00B93182">
            <w:r w:rsidRPr="0099799C">
              <w:t>8.16</w:t>
            </w:r>
          </w:p>
        </w:tc>
        <w:tc>
          <w:tcPr>
            <w:tcW w:w="1010" w:type="dxa"/>
            <w:hideMark/>
          </w:tcPr>
          <w:p w14:paraId="6D130DEE" w14:textId="77777777" w:rsidR="00B712B3" w:rsidRPr="0099799C" w:rsidRDefault="00B712B3" w:rsidP="00B93182">
            <w:r w:rsidRPr="0099799C">
              <w:t>24</w:t>
            </w:r>
          </w:p>
        </w:tc>
      </w:tr>
      <w:tr w:rsidR="00B712B3" w:rsidRPr="0099799C" w14:paraId="6A246E91" w14:textId="77777777" w:rsidTr="00B712B3">
        <w:trPr>
          <w:trHeight w:val="330"/>
        </w:trPr>
        <w:tc>
          <w:tcPr>
            <w:tcW w:w="960" w:type="dxa"/>
            <w:hideMark/>
          </w:tcPr>
          <w:p w14:paraId="1CA40240" w14:textId="77777777" w:rsidR="00B712B3" w:rsidRPr="0099799C" w:rsidRDefault="00B712B3" w:rsidP="00B93182">
            <w:r w:rsidRPr="0099799C">
              <w:t>0.212</w:t>
            </w:r>
          </w:p>
        </w:tc>
        <w:tc>
          <w:tcPr>
            <w:tcW w:w="1025" w:type="dxa"/>
            <w:hideMark/>
          </w:tcPr>
          <w:p w14:paraId="5AF70300" w14:textId="77777777" w:rsidR="00B712B3" w:rsidRPr="0099799C" w:rsidRDefault="00B712B3" w:rsidP="00B93182">
            <w:r w:rsidRPr="0099799C">
              <w:t>109</w:t>
            </w:r>
          </w:p>
        </w:tc>
        <w:tc>
          <w:tcPr>
            <w:tcW w:w="960" w:type="dxa"/>
            <w:hideMark/>
          </w:tcPr>
          <w:p w14:paraId="513B0837" w14:textId="77777777" w:rsidR="00B712B3" w:rsidRPr="0099799C" w:rsidRDefault="00B712B3" w:rsidP="00B93182">
            <w:r w:rsidRPr="0099799C">
              <w:t>8.72</w:t>
            </w:r>
          </w:p>
        </w:tc>
        <w:tc>
          <w:tcPr>
            <w:tcW w:w="1010" w:type="dxa"/>
            <w:hideMark/>
          </w:tcPr>
          <w:p w14:paraId="60B7116D" w14:textId="77777777" w:rsidR="00B712B3" w:rsidRPr="0099799C" w:rsidRDefault="00B712B3" w:rsidP="00B93182">
            <w:r w:rsidRPr="0099799C">
              <w:t>15.28</w:t>
            </w:r>
          </w:p>
        </w:tc>
      </w:tr>
      <w:tr w:rsidR="00B712B3" w:rsidRPr="0099799C" w14:paraId="09B3080E" w14:textId="77777777" w:rsidTr="00B712B3">
        <w:trPr>
          <w:trHeight w:val="330"/>
        </w:trPr>
        <w:tc>
          <w:tcPr>
            <w:tcW w:w="960" w:type="dxa"/>
            <w:hideMark/>
          </w:tcPr>
          <w:p w14:paraId="12B2A711" w14:textId="77777777" w:rsidR="00B712B3" w:rsidRPr="0099799C" w:rsidRDefault="00B712B3" w:rsidP="00B93182">
            <w:r w:rsidRPr="0099799C">
              <w:t>0.15</w:t>
            </w:r>
          </w:p>
        </w:tc>
        <w:tc>
          <w:tcPr>
            <w:tcW w:w="1025" w:type="dxa"/>
            <w:hideMark/>
          </w:tcPr>
          <w:p w14:paraId="6ABFEA59" w14:textId="77777777" w:rsidR="00B712B3" w:rsidRPr="0099799C" w:rsidRDefault="00B712B3" w:rsidP="00B93182">
            <w:r w:rsidRPr="0099799C">
              <w:t>98</w:t>
            </w:r>
          </w:p>
        </w:tc>
        <w:tc>
          <w:tcPr>
            <w:tcW w:w="960" w:type="dxa"/>
            <w:hideMark/>
          </w:tcPr>
          <w:p w14:paraId="5F8E5ADB" w14:textId="77777777" w:rsidR="00B712B3" w:rsidRPr="0099799C" w:rsidRDefault="00B712B3" w:rsidP="00B93182">
            <w:r w:rsidRPr="0099799C">
              <w:t>7.84</w:t>
            </w:r>
          </w:p>
        </w:tc>
        <w:tc>
          <w:tcPr>
            <w:tcW w:w="1010" w:type="dxa"/>
            <w:hideMark/>
          </w:tcPr>
          <w:p w14:paraId="73406D6E" w14:textId="77777777" w:rsidR="00B712B3" w:rsidRPr="0099799C" w:rsidRDefault="00B712B3" w:rsidP="00B93182">
            <w:r w:rsidRPr="0099799C">
              <w:t>7.44</w:t>
            </w:r>
          </w:p>
        </w:tc>
      </w:tr>
      <w:tr w:rsidR="00B712B3" w:rsidRPr="0099799C" w14:paraId="6A55A842" w14:textId="77777777" w:rsidTr="00B712B3">
        <w:trPr>
          <w:trHeight w:val="330"/>
        </w:trPr>
        <w:tc>
          <w:tcPr>
            <w:tcW w:w="960" w:type="dxa"/>
            <w:hideMark/>
          </w:tcPr>
          <w:p w14:paraId="3448B490" w14:textId="77777777" w:rsidR="00B712B3" w:rsidRPr="0099799C" w:rsidRDefault="00B712B3" w:rsidP="00B93182">
            <w:r w:rsidRPr="0099799C">
              <w:t>0.063</w:t>
            </w:r>
          </w:p>
        </w:tc>
        <w:tc>
          <w:tcPr>
            <w:tcW w:w="1025" w:type="dxa"/>
            <w:hideMark/>
          </w:tcPr>
          <w:p w14:paraId="6443C9FC" w14:textId="77777777" w:rsidR="00B712B3" w:rsidRPr="0099799C" w:rsidRDefault="00B712B3" w:rsidP="00B93182">
            <w:r w:rsidRPr="0099799C">
              <w:t>55</w:t>
            </w:r>
          </w:p>
        </w:tc>
        <w:tc>
          <w:tcPr>
            <w:tcW w:w="960" w:type="dxa"/>
            <w:hideMark/>
          </w:tcPr>
          <w:p w14:paraId="17A8A1F0" w14:textId="77777777" w:rsidR="00B712B3" w:rsidRPr="0099799C" w:rsidRDefault="00B712B3" w:rsidP="00B93182">
            <w:r w:rsidRPr="0099799C">
              <w:t>4.4</w:t>
            </w:r>
          </w:p>
        </w:tc>
        <w:tc>
          <w:tcPr>
            <w:tcW w:w="1010" w:type="dxa"/>
            <w:hideMark/>
          </w:tcPr>
          <w:p w14:paraId="3B59426A" w14:textId="77777777" w:rsidR="00B712B3" w:rsidRPr="0099799C" w:rsidRDefault="00B712B3" w:rsidP="00B93182">
            <w:r w:rsidRPr="0099799C">
              <w:t>3.04</w:t>
            </w:r>
          </w:p>
        </w:tc>
      </w:tr>
      <w:tr w:rsidR="00B712B3" w:rsidRPr="0099799C" w14:paraId="0DE30B50" w14:textId="77777777" w:rsidTr="00B712B3">
        <w:trPr>
          <w:trHeight w:val="330"/>
        </w:trPr>
        <w:tc>
          <w:tcPr>
            <w:tcW w:w="960" w:type="dxa"/>
          </w:tcPr>
          <w:p w14:paraId="1C09494A" w14:textId="77777777" w:rsidR="00B712B3" w:rsidRPr="0099799C" w:rsidRDefault="00B712B3" w:rsidP="00B93182"/>
        </w:tc>
        <w:tc>
          <w:tcPr>
            <w:tcW w:w="1025" w:type="dxa"/>
          </w:tcPr>
          <w:p w14:paraId="2B4D6816" w14:textId="77777777" w:rsidR="00B712B3" w:rsidRPr="0099799C" w:rsidRDefault="00B712B3" w:rsidP="00B93182"/>
        </w:tc>
        <w:tc>
          <w:tcPr>
            <w:tcW w:w="960" w:type="dxa"/>
          </w:tcPr>
          <w:p w14:paraId="539EE36A" w14:textId="77777777" w:rsidR="00B712B3" w:rsidRPr="0099799C" w:rsidRDefault="00B712B3" w:rsidP="00B93182"/>
        </w:tc>
        <w:tc>
          <w:tcPr>
            <w:tcW w:w="1010" w:type="dxa"/>
          </w:tcPr>
          <w:p w14:paraId="11874808" w14:textId="77777777" w:rsidR="00B712B3" w:rsidRPr="0099799C" w:rsidRDefault="00B712B3" w:rsidP="00B93182"/>
        </w:tc>
      </w:tr>
    </w:tbl>
    <w:p w14:paraId="27A1E60B" w14:textId="63F0A3C8" w:rsidR="00B712B3" w:rsidRDefault="00B712B3">
      <w:pPr>
        <w:spacing w:after="160"/>
        <w:jc w:val="both"/>
        <w:rPr>
          <w:rFonts w:ascii="Arial" w:hAnsi="Arial" w:cs="Arial"/>
          <w:sz w:val="24"/>
          <w:szCs w:val="24"/>
        </w:rPr>
      </w:pPr>
      <w:r>
        <w:rPr>
          <w:noProof/>
        </w:rPr>
        <w:drawing>
          <wp:inline distT="0" distB="0" distL="0" distR="0" wp14:anchorId="21C80A19" wp14:editId="3AB811E8">
            <wp:extent cx="4410075" cy="3371850"/>
            <wp:effectExtent l="0" t="0" r="9525" b="0"/>
            <wp:docPr id="1011340374" name="Chart 1">
              <a:extLst xmlns:a="http://schemas.openxmlformats.org/drawingml/2006/main">
                <a:ext uri="{FF2B5EF4-FFF2-40B4-BE49-F238E27FC236}">
                  <a16:creationId xmlns:a16="http://schemas.microsoft.com/office/drawing/2014/main" id="{20952973-1482-DF64-46C5-26F738968D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169D9BD" w14:textId="77777777" w:rsidR="00B712B3" w:rsidRDefault="00B712B3">
      <w:pPr>
        <w:spacing w:after="160"/>
        <w:jc w:val="both"/>
        <w:rPr>
          <w:rFonts w:ascii="Arial" w:hAnsi="Arial" w:cs="Arial"/>
          <w:sz w:val="24"/>
          <w:szCs w:val="24"/>
        </w:rPr>
      </w:pPr>
    </w:p>
    <w:p w14:paraId="4838C063" w14:textId="77777777" w:rsidR="00AC7A14" w:rsidRPr="00AC7A14" w:rsidRDefault="00AC7A14" w:rsidP="00AC7A14">
      <w:pPr>
        <w:spacing w:after="160"/>
        <w:jc w:val="both"/>
        <w:rPr>
          <w:rFonts w:ascii="Arial" w:hAnsi="Arial" w:cs="Arial"/>
          <w:sz w:val="24"/>
          <w:szCs w:val="24"/>
        </w:rPr>
      </w:pPr>
      <w:r w:rsidRPr="00AC7A14">
        <w:rPr>
          <w:rFonts w:ascii="Arial" w:hAnsi="Arial" w:cs="Arial"/>
          <w:sz w:val="24"/>
          <w:szCs w:val="24"/>
        </w:rPr>
        <w:t>The fine aggregate content was calculated by considering the material passing the 4.7 mm threshold, represented by the mass retained on the 3.35 mm sieve and smaller. The cumulative mass of these fractions was 707 g, equivalent to 56.6% of the total sample.</w:t>
      </w:r>
    </w:p>
    <w:p w14:paraId="44397772" w14:textId="77777777" w:rsidR="00AC7A14" w:rsidRPr="00AC7A14" w:rsidRDefault="00AC7A14" w:rsidP="00AC7A14">
      <w:pPr>
        <w:spacing w:after="160"/>
        <w:jc w:val="both"/>
        <w:rPr>
          <w:rFonts w:ascii="Arial" w:hAnsi="Arial" w:cs="Arial"/>
          <w:sz w:val="24"/>
          <w:szCs w:val="24"/>
        </w:rPr>
      </w:pPr>
      <w:r w:rsidRPr="00AC7A14">
        <w:rPr>
          <w:rFonts w:ascii="Arial" w:hAnsi="Arial" w:cs="Arial"/>
          <w:sz w:val="24"/>
          <w:szCs w:val="24"/>
        </w:rPr>
        <w:lastRenderedPageBreak/>
        <w:t>The particle size distribution curve indicates that the aggregate is relatively well graded, with a continuous range of particle sizes from coarse to fine. This is beneficial as smaller particles fill the voids between larger ones, resulting in a denser, more compact structure.</w:t>
      </w:r>
    </w:p>
    <w:p w14:paraId="6BA83650" w14:textId="77777777" w:rsidR="00AC7A14" w:rsidRPr="00AC7A14" w:rsidRDefault="00AC7A14" w:rsidP="00AC7A14">
      <w:pPr>
        <w:spacing w:after="160"/>
        <w:jc w:val="both"/>
        <w:rPr>
          <w:rFonts w:ascii="Arial" w:hAnsi="Arial" w:cs="Arial"/>
          <w:sz w:val="24"/>
          <w:szCs w:val="24"/>
        </w:rPr>
      </w:pPr>
      <w:r w:rsidRPr="00AC7A14">
        <w:rPr>
          <w:rFonts w:ascii="Arial" w:hAnsi="Arial" w:cs="Arial"/>
          <w:sz w:val="24"/>
          <w:szCs w:val="24"/>
        </w:rPr>
        <w:t>However, the proportion of coarse aggregate (40.4%) is lower than the typical recommended range of 55–60% for structural concrete, suggesting the mix is fine-rich. This may increase water demand and reduce strength if not properly controlled, making it more suited to foundations than the main structure. (MDPI (2026))</w:t>
      </w:r>
    </w:p>
    <w:p w14:paraId="2F389C77" w14:textId="77777777" w:rsidR="00AC7A14" w:rsidRPr="00AC7A14" w:rsidRDefault="00AC7A14" w:rsidP="00AC7A14">
      <w:pPr>
        <w:spacing w:after="160"/>
        <w:jc w:val="both"/>
        <w:rPr>
          <w:rFonts w:ascii="Arial" w:hAnsi="Arial" w:cs="Arial"/>
          <w:sz w:val="24"/>
          <w:szCs w:val="24"/>
        </w:rPr>
      </w:pPr>
      <w:r w:rsidRPr="00AC7A14">
        <w:rPr>
          <w:rFonts w:ascii="Arial" w:hAnsi="Arial" w:cs="Arial"/>
          <w:b/>
          <w:bCs/>
          <w:sz w:val="24"/>
          <w:szCs w:val="24"/>
        </w:rPr>
        <w:t>Conclusion</w:t>
      </w:r>
    </w:p>
    <w:p w14:paraId="29D74F62" w14:textId="7A55D49D" w:rsidR="00AC7A14" w:rsidRPr="00AC7A14" w:rsidRDefault="00AC7A14" w:rsidP="00AC7A14">
      <w:pPr>
        <w:spacing w:after="160"/>
        <w:jc w:val="both"/>
        <w:rPr>
          <w:rFonts w:ascii="Arial" w:hAnsi="Arial" w:cs="Arial"/>
          <w:sz w:val="24"/>
          <w:szCs w:val="24"/>
        </w:rPr>
      </w:pPr>
      <w:r w:rsidRPr="00AC7A14">
        <w:rPr>
          <w:rFonts w:ascii="Arial" w:hAnsi="Arial" w:cs="Arial"/>
          <w:sz w:val="24"/>
          <w:szCs w:val="24"/>
        </w:rPr>
        <w:t>The Burj Khalifa demonstrates the effectiveness of reinforced concrete in super-tall structures, particularly in terms of stiffness, durability and fire resistance. While concrete presents challenges in adaptability and environmental impact, its performance advantages outweigh its limitations. This project illustrates the critical role of material selection and engineering design in modern construction and why concrete remains the most prevalent material in the industry.</w:t>
      </w:r>
    </w:p>
    <w:p w14:paraId="6DF5FCC8" w14:textId="77777777" w:rsidR="00B712B3" w:rsidRPr="00AC7A14" w:rsidRDefault="00B712B3">
      <w:pPr>
        <w:spacing w:after="160"/>
        <w:jc w:val="both"/>
        <w:rPr>
          <w:rFonts w:ascii="Arial" w:hAnsi="Arial" w:cs="Arial"/>
          <w:sz w:val="24"/>
          <w:szCs w:val="24"/>
        </w:rPr>
      </w:pPr>
    </w:p>
    <w:p w14:paraId="1483D157" w14:textId="77777777" w:rsidR="007E506F" w:rsidRDefault="007E506F">
      <w:pPr>
        <w:spacing w:after="160"/>
        <w:jc w:val="both"/>
        <w:rPr>
          <w:rFonts w:ascii="Arial" w:hAnsi="Arial" w:cs="Arial"/>
          <w:sz w:val="24"/>
          <w:szCs w:val="24"/>
        </w:rPr>
      </w:pPr>
    </w:p>
    <w:p w14:paraId="20A2C08C" w14:textId="77777777" w:rsidR="007E506F" w:rsidRDefault="007E506F">
      <w:pPr>
        <w:spacing w:after="160"/>
        <w:jc w:val="both"/>
        <w:rPr>
          <w:rFonts w:ascii="Arial" w:hAnsi="Arial" w:cs="Arial"/>
          <w:sz w:val="24"/>
          <w:szCs w:val="24"/>
        </w:rPr>
      </w:pPr>
    </w:p>
    <w:p w14:paraId="7DB86AA7" w14:textId="77777777" w:rsidR="007E506F" w:rsidRDefault="007E506F">
      <w:pPr>
        <w:spacing w:after="160"/>
        <w:jc w:val="both"/>
        <w:rPr>
          <w:rFonts w:ascii="Arial" w:hAnsi="Arial" w:cs="Arial"/>
          <w:sz w:val="24"/>
          <w:szCs w:val="24"/>
        </w:rPr>
      </w:pPr>
    </w:p>
    <w:p w14:paraId="0DA233C4" w14:textId="77777777" w:rsidR="007E506F" w:rsidRDefault="007E506F">
      <w:pPr>
        <w:spacing w:after="160"/>
        <w:jc w:val="both"/>
        <w:rPr>
          <w:rFonts w:ascii="Arial" w:hAnsi="Arial" w:cs="Arial"/>
          <w:sz w:val="24"/>
          <w:szCs w:val="24"/>
        </w:rPr>
      </w:pPr>
    </w:p>
    <w:p w14:paraId="36FD3254" w14:textId="77777777" w:rsidR="007E506F" w:rsidRDefault="007E506F">
      <w:pPr>
        <w:spacing w:after="160"/>
        <w:jc w:val="both"/>
        <w:rPr>
          <w:rFonts w:ascii="Arial" w:hAnsi="Arial" w:cs="Arial"/>
          <w:sz w:val="24"/>
          <w:szCs w:val="24"/>
        </w:rPr>
      </w:pPr>
    </w:p>
    <w:p w14:paraId="1E9AF5AE" w14:textId="77777777" w:rsidR="007E506F" w:rsidRDefault="007E506F">
      <w:pPr>
        <w:spacing w:after="160"/>
        <w:jc w:val="both"/>
        <w:rPr>
          <w:rFonts w:ascii="Arial" w:hAnsi="Arial" w:cs="Arial"/>
          <w:sz w:val="24"/>
          <w:szCs w:val="24"/>
        </w:rPr>
      </w:pPr>
    </w:p>
    <w:p w14:paraId="73129DC5" w14:textId="77777777" w:rsidR="007E506F" w:rsidRDefault="007E506F">
      <w:pPr>
        <w:spacing w:after="160"/>
        <w:jc w:val="both"/>
        <w:rPr>
          <w:rFonts w:ascii="Arial" w:hAnsi="Arial" w:cs="Arial"/>
          <w:sz w:val="24"/>
          <w:szCs w:val="24"/>
        </w:rPr>
      </w:pPr>
    </w:p>
    <w:p w14:paraId="039ED037" w14:textId="77777777" w:rsidR="007E506F" w:rsidRDefault="007E506F">
      <w:pPr>
        <w:spacing w:after="160"/>
        <w:jc w:val="both"/>
        <w:rPr>
          <w:rFonts w:ascii="Arial" w:hAnsi="Arial" w:cs="Arial"/>
          <w:sz w:val="24"/>
          <w:szCs w:val="24"/>
        </w:rPr>
      </w:pPr>
    </w:p>
    <w:p w14:paraId="5764B8C8" w14:textId="77777777" w:rsidR="007E506F" w:rsidRDefault="007E506F">
      <w:pPr>
        <w:spacing w:after="160"/>
        <w:jc w:val="both"/>
        <w:rPr>
          <w:rFonts w:ascii="Arial" w:hAnsi="Arial" w:cs="Arial"/>
          <w:sz w:val="24"/>
          <w:szCs w:val="24"/>
        </w:rPr>
      </w:pPr>
    </w:p>
    <w:p w14:paraId="1B10AA69" w14:textId="77777777" w:rsidR="007E506F" w:rsidRDefault="007E506F">
      <w:pPr>
        <w:spacing w:after="160"/>
        <w:jc w:val="both"/>
        <w:rPr>
          <w:rFonts w:ascii="Arial" w:hAnsi="Arial" w:cs="Arial"/>
          <w:sz w:val="24"/>
          <w:szCs w:val="24"/>
        </w:rPr>
      </w:pPr>
    </w:p>
    <w:p w14:paraId="1045758A" w14:textId="77777777" w:rsidR="007E506F" w:rsidRDefault="007E506F">
      <w:pPr>
        <w:spacing w:after="160"/>
        <w:jc w:val="both"/>
        <w:rPr>
          <w:rFonts w:ascii="Arial" w:hAnsi="Arial" w:cs="Arial"/>
          <w:sz w:val="24"/>
          <w:szCs w:val="24"/>
        </w:rPr>
      </w:pPr>
    </w:p>
    <w:p w14:paraId="46D5E6D7" w14:textId="77777777" w:rsidR="007E506F" w:rsidRDefault="007E506F">
      <w:pPr>
        <w:spacing w:after="160"/>
        <w:jc w:val="both"/>
        <w:rPr>
          <w:rFonts w:ascii="Arial" w:hAnsi="Arial" w:cs="Arial"/>
          <w:sz w:val="24"/>
          <w:szCs w:val="24"/>
        </w:rPr>
      </w:pPr>
    </w:p>
    <w:p w14:paraId="4CE46373" w14:textId="77777777" w:rsidR="007E506F" w:rsidRDefault="007E506F">
      <w:pPr>
        <w:spacing w:after="160"/>
        <w:jc w:val="both"/>
        <w:rPr>
          <w:rFonts w:ascii="Arial" w:hAnsi="Arial" w:cs="Arial"/>
          <w:sz w:val="24"/>
          <w:szCs w:val="24"/>
        </w:rPr>
      </w:pPr>
    </w:p>
    <w:p w14:paraId="45AA1A4B" w14:textId="77777777" w:rsidR="007E506F" w:rsidRDefault="007E506F">
      <w:pPr>
        <w:spacing w:after="160"/>
        <w:jc w:val="both"/>
        <w:rPr>
          <w:rFonts w:ascii="Arial" w:hAnsi="Arial" w:cs="Arial"/>
          <w:sz w:val="24"/>
          <w:szCs w:val="24"/>
        </w:rPr>
      </w:pPr>
    </w:p>
    <w:p w14:paraId="35F4CBE7" w14:textId="77777777" w:rsidR="007E506F" w:rsidRDefault="007E506F">
      <w:pPr>
        <w:spacing w:after="160"/>
        <w:jc w:val="both"/>
        <w:rPr>
          <w:rFonts w:ascii="Arial" w:hAnsi="Arial" w:cs="Arial"/>
          <w:sz w:val="24"/>
          <w:szCs w:val="24"/>
        </w:rPr>
      </w:pPr>
    </w:p>
    <w:p w14:paraId="139D3CB8" w14:textId="77777777" w:rsidR="007E506F" w:rsidRDefault="007E506F">
      <w:pPr>
        <w:spacing w:after="160"/>
        <w:jc w:val="both"/>
        <w:rPr>
          <w:rFonts w:ascii="Arial" w:hAnsi="Arial" w:cs="Arial"/>
          <w:sz w:val="24"/>
          <w:szCs w:val="24"/>
        </w:rPr>
      </w:pPr>
    </w:p>
    <w:p w14:paraId="359C05E8" w14:textId="77777777" w:rsidR="007E506F" w:rsidRDefault="007E506F">
      <w:pPr>
        <w:spacing w:after="160"/>
        <w:jc w:val="both"/>
        <w:rPr>
          <w:rFonts w:ascii="Arial" w:hAnsi="Arial" w:cs="Arial"/>
          <w:sz w:val="24"/>
          <w:szCs w:val="24"/>
        </w:rPr>
      </w:pPr>
    </w:p>
    <w:p w14:paraId="0DBB18AE" w14:textId="77777777" w:rsidR="007E506F" w:rsidRDefault="007E506F">
      <w:pPr>
        <w:spacing w:after="160"/>
        <w:jc w:val="both"/>
        <w:rPr>
          <w:rFonts w:ascii="Arial" w:hAnsi="Arial" w:cs="Arial"/>
          <w:sz w:val="24"/>
          <w:szCs w:val="24"/>
        </w:rPr>
      </w:pPr>
    </w:p>
    <w:p w14:paraId="0B97E818" w14:textId="77777777" w:rsidR="007E506F" w:rsidRDefault="007E506F">
      <w:pPr>
        <w:spacing w:after="160"/>
        <w:jc w:val="both"/>
        <w:rPr>
          <w:rFonts w:ascii="Arial" w:hAnsi="Arial" w:cs="Arial"/>
          <w:sz w:val="24"/>
          <w:szCs w:val="24"/>
        </w:rPr>
      </w:pPr>
    </w:p>
    <w:p w14:paraId="61179173" w14:textId="77777777" w:rsidR="00AC7A14" w:rsidRDefault="00AC7A14" w:rsidP="007E506F">
      <w:pPr>
        <w:rPr>
          <w:rFonts w:ascii="Arial" w:hAnsi="Arial" w:cs="Arial"/>
          <w:b/>
          <w:bCs/>
          <w:i/>
          <w:iCs/>
          <w:sz w:val="32"/>
          <w:szCs w:val="32"/>
          <w:u w:val="single"/>
        </w:rPr>
      </w:pPr>
    </w:p>
    <w:p w14:paraId="575459F6" w14:textId="3C81F818" w:rsidR="007E506F" w:rsidRPr="007E506F" w:rsidRDefault="007E506F" w:rsidP="007E506F">
      <w:pPr>
        <w:rPr>
          <w:rFonts w:ascii="Arial" w:hAnsi="Arial" w:cs="Arial"/>
          <w:b/>
          <w:bCs/>
          <w:i/>
          <w:iCs/>
          <w:sz w:val="32"/>
          <w:szCs w:val="32"/>
          <w:u w:val="single"/>
        </w:rPr>
      </w:pPr>
      <w:r w:rsidRPr="007E506F">
        <w:rPr>
          <w:rFonts w:ascii="Arial" w:hAnsi="Arial" w:cs="Arial"/>
          <w:b/>
          <w:bCs/>
          <w:i/>
          <w:iCs/>
          <w:sz w:val="32"/>
          <w:szCs w:val="32"/>
          <w:u w:val="single"/>
        </w:rPr>
        <w:lastRenderedPageBreak/>
        <w:t xml:space="preserve">References </w:t>
      </w:r>
    </w:p>
    <w:p w14:paraId="5B2CE6D3" w14:textId="77777777" w:rsidR="007E506F" w:rsidRDefault="007E506F" w:rsidP="007E506F">
      <w:pPr>
        <w:rPr>
          <w:rFonts w:ascii="Arial" w:hAnsi="Arial" w:cs="Arial"/>
          <w:b/>
          <w:bCs/>
          <w:i/>
          <w:iCs/>
          <w:sz w:val="24"/>
          <w:szCs w:val="24"/>
          <w:u w:val="single"/>
        </w:rPr>
      </w:pPr>
    </w:p>
    <w:p w14:paraId="6ACF79D0" w14:textId="77777777" w:rsidR="007E506F" w:rsidRDefault="007E506F" w:rsidP="007E506F">
      <w:pPr>
        <w:rPr>
          <w:rFonts w:ascii="Arial" w:hAnsi="Arial" w:cs="Arial"/>
          <w:b/>
          <w:bCs/>
          <w:i/>
          <w:iCs/>
          <w:sz w:val="24"/>
          <w:szCs w:val="24"/>
          <w:u w:val="single"/>
        </w:rPr>
      </w:pPr>
    </w:p>
    <w:p w14:paraId="4CED7F6B" w14:textId="071A33CC" w:rsidR="007E506F" w:rsidRPr="007E506F" w:rsidRDefault="007E506F" w:rsidP="007E506F">
      <w:pPr>
        <w:rPr>
          <w:rFonts w:ascii="Arial" w:hAnsi="Arial" w:cs="Arial"/>
          <w:sz w:val="24"/>
          <w:szCs w:val="24"/>
        </w:rPr>
      </w:pPr>
      <w:r w:rsidRPr="007E506F">
        <w:rPr>
          <w:rFonts w:ascii="Arial" w:hAnsi="Arial" w:cs="Arial"/>
          <w:sz w:val="24"/>
          <w:szCs w:val="24"/>
        </w:rPr>
        <w:t xml:space="preserve">Barbhuiya, S., </w:t>
      </w:r>
      <w:proofErr w:type="spellStart"/>
      <w:r w:rsidRPr="007E506F">
        <w:rPr>
          <w:rFonts w:ascii="Arial" w:hAnsi="Arial" w:cs="Arial"/>
          <w:sz w:val="24"/>
          <w:szCs w:val="24"/>
        </w:rPr>
        <w:t>Kanavaris</w:t>
      </w:r>
      <w:proofErr w:type="spellEnd"/>
      <w:r w:rsidRPr="007E506F">
        <w:rPr>
          <w:rFonts w:ascii="Arial" w:hAnsi="Arial" w:cs="Arial"/>
          <w:sz w:val="24"/>
          <w:szCs w:val="24"/>
        </w:rPr>
        <w:t>, F., Das, B.B. and Idrees, M. (2024). Decarbonising cement and concrete production: Strategies, challenges and pathways for sustainable development. Journal of Building Engineering,</w:t>
      </w:r>
      <w:r>
        <w:rPr>
          <w:rFonts w:ascii="Arial" w:hAnsi="Arial" w:cs="Arial"/>
          <w:sz w:val="24"/>
          <w:szCs w:val="24"/>
        </w:rPr>
        <w:t xml:space="preserve"> </w:t>
      </w:r>
      <w:hyperlink r:id="rId12" w:history="1">
        <w:r w:rsidRPr="007E506F">
          <w:rPr>
            <w:rStyle w:val="Hyperlink"/>
            <w:rFonts w:ascii="Arial" w:hAnsi="Arial" w:cs="Arial"/>
            <w:sz w:val="24"/>
            <w:szCs w:val="24"/>
          </w:rPr>
          <w:t>https://doi.org/10.1016/j.jobe.2024.108861</w:t>
        </w:r>
      </w:hyperlink>
      <w:r w:rsidRPr="007E506F">
        <w:rPr>
          <w:rFonts w:ascii="Arial" w:hAnsi="Arial" w:cs="Arial"/>
          <w:sz w:val="24"/>
          <w:szCs w:val="24"/>
        </w:rPr>
        <w:t>.</w:t>
      </w:r>
      <w:r>
        <w:rPr>
          <w:rFonts w:ascii="Arial" w:hAnsi="Arial" w:cs="Arial"/>
          <w:sz w:val="24"/>
          <w:szCs w:val="24"/>
        </w:rPr>
        <w:t xml:space="preserve"> </w:t>
      </w:r>
      <w:r w:rsidRPr="007E506F">
        <w:rPr>
          <w:rFonts w:ascii="Arial" w:hAnsi="Arial" w:cs="Arial"/>
          <w:sz w:val="24"/>
          <w:szCs w:val="24"/>
        </w:rPr>
        <w:t>[Accessed 26 Mar. 2026].</w:t>
      </w:r>
    </w:p>
    <w:p w14:paraId="132FE989" w14:textId="77777777" w:rsidR="007E506F" w:rsidRPr="007E506F" w:rsidRDefault="007E506F" w:rsidP="007E506F">
      <w:pPr>
        <w:rPr>
          <w:rFonts w:ascii="Arial" w:hAnsi="Arial" w:cs="Arial"/>
          <w:sz w:val="24"/>
          <w:szCs w:val="24"/>
        </w:rPr>
      </w:pPr>
    </w:p>
    <w:p w14:paraId="4E3E0EED" w14:textId="358DD8A7" w:rsidR="007E506F" w:rsidRPr="007E506F" w:rsidRDefault="007E506F" w:rsidP="007E506F">
      <w:pPr>
        <w:rPr>
          <w:rFonts w:ascii="Arial" w:hAnsi="Arial" w:cs="Arial"/>
          <w:sz w:val="24"/>
          <w:szCs w:val="24"/>
        </w:rPr>
      </w:pPr>
      <w:r w:rsidRPr="007E506F">
        <w:rPr>
          <w:rFonts w:ascii="Arial" w:hAnsi="Arial" w:cs="Arial"/>
          <w:sz w:val="24"/>
          <w:szCs w:val="24"/>
        </w:rPr>
        <w:t xml:space="preserve">Burj Khalifa. (2024). Structures. Available at: </w:t>
      </w:r>
      <w:hyperlink r:id="rId13" w:history="1">
        <w:r w:rsidRPr="007E506F">
          <w:rPr>
            <w:rStyle w:val="Hyperlink"/>
            <w:rFonts w:ascii="Arial" w:hAnsi="Arial" w:cs="Arial"/>
            <w:sz w:val="24"/>
            <w:szCs w:val="24"/>
          </w:rPr>
          <w:t>https://www.burjkhalifa.ae/the-tower/structures/</w:t>
        </w:r>
      </w:hyperlink>
      <w:r w:rsidRPr="007E506F">
        <w:rPr>
          <w:rFonts w:ascii="Arial" w:hAnsi="Arial" w:cs="Arial"/>
          <w:sz w:val="24"/>
          <w:szCs w:val="24"/>
        </w:rPr>
        <w:t>.</w:t>
      </w:r>
      <w:r>
        <w:rPr>
          <w:rFonts w:ascii="Arial" w:hAnsi="Arial" w:cs="Arial"/>
          <w:sz w:val="24"/>
          <w:szCs w:val="24"/>
        </w:rPr>
        <w:t xml:space="preserve"> </w:t>
      </w:r>
      <w:r w:rsidRPr="007E506F">
        <w:rPr>
          <w:rFonts w:ascii="Arial" w:hAnsi="Arial" w:cs="Arial"/>
          <w:sz w:val="24"/>
          <w:szCs w:val="24"/>
        </w:rPr>
        <w:t>[Accessed 26 Mar. 2026].</w:t>
      </w:r>
    </w:p>
    <w:p w14:paraId="43655998" w14:textId="77777777" w:rsidR="007E506F" w:rsidRPr="007E506F" w:rsidRDefault="007E506F" w:rsidP="007E506F">
      <w:pPr>
        <w:rPr>
          <w:rFonts w:ascii="Arial" w:hAnsi="Arial" w:cs="Arial"/>
          <w:sz w:val="24"/>
          <w:szCs w:val="24"/>
        </w:rPr>
      </w:pPr>
    </w:p>
    <w:p w14:paraId="3DCF78E2" w14:textId="4ED79DCB" w:rsidR="007E506F" w:rsidRPr="007E506F" w:rsidRDefault="007E506F" w:rsidP="007E506F">
      <w:pPr>
        <w:rPr>
          <w:rFonts w:ascii="Arial" w:hAnsi="Arial" w:cs="Arial"/>
          <w:sz w:val="24"/>
          <w:szCs w:val="24"/>
        </w:rPr>
      </w:pPr>
      <w:r w:rsidRPr="007E506F">
        <w:rPr>
          <w:rFonts w:ascii="Arial" w:hAnsi="Arial" w:cs="Arial"/>
          <w:sz w:val="24"/>
          <w:szCs w:val="24"/>
        </w:rPr>
        <w:t>Jamal, H. (2016). Design, Construction and Structural Details of Burj al Khalifa | Tallest Skyscraper Engineering Construction</w:t>
      </w:r>
      <w:r>
        <w:rPr>
          <w:rFonts w:ascii="Arial" w:hAnsi="Arial" w:cs="Arial"/>
          <w:sz w:val="24"/>
          <w:szCs w:val="24"/>
        </w:rPr>
        <w:t>.</w:t>
      </w:r>
      <w:r w:rsidRPr="007E506F">
        <w:rPr>
          <w:rFonts w:ascii="Arial" w:hAnsi="Arial" w:cs="Arial"/>
          <w:sz w:val="24"/>
          <w:szCs w:val="24"/>
        </w:rPr>
        <w:t xml:space="preserve"> Aboutcivil.org. Available at: </w:t>
      </w:r>
      <w:hyperlink r:id="rId14" w:history="1">
        <w:r w:rsidRPr="007E506F">
          <w:rPr>
            <w:rStyle w:val="Hyperlink"/>
            <w:rFonts w:ascii="Arial" w:hAnsi="Arial" w:cs="Arial"/>
            <w:sz w:val="24"/>
            <w:szCs w:val="24"/>
          </w:rPr>
          <w:t>https://www.aboutcivil.org/burj-khalifa-design-construction-structural-details.html#google_vignette</w:t>
        </w:r>
      </w:hyperlink>
      <w:r w:rsidRPr="007E506F">
        <w:rPr>
          <w:rFonts w:ascii="Arial" w:hAnsi="Arial" w:cs="Arial"/>
          <w:sz w:val="24"/>
          <w:szCs w:val="24"/>
        </w:rPr>
        <w:t>.</w:t>
      </w:r>
      <w:r>
        <w:rPr>
          <w:rFonts w:ascii="Arial" w:hAnsi="Arial" w:cs="Arial"/>
          <w:sz w:val="24"/>
          <w:szCs w:val="24"/>
        </w:rPr>
        <w:t xml:space="preserve"> </w:t>
      </w:r>
      <w:r w:rsidRPr="007E506F">
        <w:rPr>
          <w:rFonts w:ascii="Arial" w:hAnsi="Arial" w:cs="Arial"/>
          <w:sz w:val="24"/>
          <w:szCs w:val="24"/>
        </w:rPr>
        <w:t>[Accessed 26 Mar. 2026].</w:t>
      </w:r>
    </w:p>
    <w:p w14:paraId="632EC624" w14:textId="77777777" w:rsidR="007E506F" w:rsidRPr="007E506F" w:rsidRDefault="007E506F" w:rsidP="007E506F">
      <w:pPr>
        <w:rPr>
          <w:rFonts w:ascii="Arial" w:hAnsi="Arial" w:cs="Arial"/>
          <w:sz w:val="24"/>
          <w:szCs w:val="24"/>
        </w:rPr>
      </w:pPr>
    </w:p>
    <w:p w14:paraId="5B5D4753" w14:textId="54DB0BFD" w:rsidR="007E506F" w:rsidRPr="007E506F" w:rsidRDefault="007E506F" w:rsidP="007E506F">
      <w:pPr>
        <w:rPr>
          <w:rFonts w:ascii="Arial" w:hAnsi="Arial" w:cs="Arial"/>
          <w:sz w:val="24"/>
          <w:szCs w:val="24"/>
        </w:rPr>
      </w:pPr>
      <w:r w:rsidRPr="007E506F">
        <w:rPr>
          <w:rFonts w:ascii="Arial" w:hAnsi="Arial" w:cs="Arial"/>
          <w:sz w:val="24"/>
          <w:szCs w:val="24"/>
        </w:rPr>
        <w:t xml:space="preserve">MDPI. (2026). Publisher of Open Access Journals | MDPI. Available at: </w:t>
      </w:r>
      <w:hyperlink r:id="rId15" w:history="1">
        <w:r w:rsidRPr="007E506F">
          <w:rPr>
            <w:rStyle w:val="Hyperlink"/>
            <w:rFonts w:ascii="Arial" w:hAnsi="Arial" w:cs="Arial"/>
            <w:sz w:val="24"/>
            <w:szCs w:val="24"/>
          </w:rPr>
          <w:t>https://www.mdpi.com/1996-1944/19/5/1011/xml</w:t>
        </w:r>
      </w:hyperlink>
      <w:r>
        <w:rPr>
          <w:rFonts w:ascii="Arial" w:hAnsi="Arial" w:cs="Arial"/>
          <w:sz w:val="24"/>
          <w:szCs w:val="24"/>
        </w:rPr>
        <w:t xml:space="preserve"> </w:t>
      </w:r>
      <w:r w:rsidRPr="007E506F">
        <w:rPr>
          <w:rFonts w:ascii="Arial" w:hAnsi="Arial" w:cs="Arial"/>
          <w:sz w:val="24"/>
          <w:szCs w:val="24"/>
        </w:rPr>
        <w:t xml:space="preserve"> [Accessed 26 Mar. 2026].</w:t>
      </w:r>
    </w:p>
    <w:p w14:paraId="488CFDCD" w14:textId="77777777" w:rsidR="007E506F" w:rsidRPr="007E506F" w:rsidRDefault="007E506F" w:rsidP="007E506F">
      <w:pPr>
        <w:rPr>
          <w:rFonts w:ascii="Arial" w:hAnsi="Arial" w:cs="Arial"/>
          <w:sz w:val="24"/>
          <w:szCs w:val="24"/>
        </w:rPr>
      </w:pPr>
    </w:p>
    <w:p w14:paraId="24861119" w14:textId="3A86DF34" w:rsidR="007E506F" w:rsidRPr="007E506F" w:rsidRDefault="007E506F" w:rsidP="007E506F">
      <w:pPr>
        <w:rPr>
          <w:rFonts w:ascii="Arial" w:hAnsi="Arial" w:cs="Arial"/>
          <w:sz w:val="24"/>
          <w:szCs w:val="24"/>
        </w:rPr>
      </w:pPr>
      <w:r w:rsidRPr="007E506F">
        <w:rPr>
          <w:rFonts w:ascii="Arial" w:hAnsi="Arial" w:cs="Arial"/>
          <w:sz w:val="24"/>
          <w:szCs w:val="24"/>
        </w:rPr>
        <w:t xml:space="preserve">Miller, S.A., Horvath, A. and Monteiro, P.J.M. (2018). Impacts of booming concrete production on water resources worldwide. Nature Sustainability, </w:t>
      </w:r>
      <w:hyperlink r:id="rId16" w:history="1">
        <w:r w:rsidRPr="007E506F">
          <w:rPr>
            <w:rStyle w:val="Hyperlink"/>
            <w:rFonts w:ascii="Arial" w:hAnsi="Arial" w:cs="Arial"/>
            <w:sz w:val="24"/>
            <w:szCs w:val="24"/>
          </w:rPr>
          <w:t>https://doi.org/10.1038/s41893-017-0009-5</w:t>
        </w:r>
      </w:hyperlink>
      <w:r>
        <w:rPr>
          <w:rFonts w:ascii="Arial" w:hAnsi="Arial" w:cs="Arial"/>
          <w:sz w:val="24"/>
          <w:szCs w:val="24"/>
        </w:rPr>
        <w:t xml:space="preserve"> </w:t>
      </w:r>
      <w:r w:rsidRPr="007E506F">
        <w:rPr>
          <w:rFonts w:ascii="Arial" w:hAnsi="Arial" w:cs="Arial"/>
          <w:sz w:val="24"/>
          <w:szCs w:val="24"/>
        </w:rPr>
        <w:t>[Accessed 26 Mar. 2026].</w:t>
      </w:r>
    </w:p>
    <w:p w14:paraId="41EC3F8C" w14:textId="77777777" w:rsidR="007E506F" w:rsidRPr="007E506F" w:rsidRDefault="007E506F" w:rsidP="007E506F">
      <w:pPr>
        <w:rPr>
          <w:rFonts w:ascii="Arial" w:hAnsi="Arial" w:cs="Arial"/>
          <w:sz w:val="24"/>
          <w:szCs w:val="24"/>
        </w:rPr>
      </w:pPr>
    </w:p>
    <w:p w14:paraId="464AACAC" w14:textId="2EECC49A" w:rsidR="007E506F" w:rsidRPr="007E506F" w:rsidRDefault="007E506F" w:rsidP="007E506F">
      <w:pPr>
        <w:rPr>
          <w:rFonts w:ascii="Arial" w:hAnsi="Arial" w:cs="Arial"/>
          <w:sz w:val="24"/>
          <w:szCs w:val="24"/>
        </w:rPr>
      </w:pPr>
      <w:r w:rsidRPr="007E506F">
        <w:rPr>
          <w:rFonts w:ascii="Arial" w:hAnsi="Arial" w:cs="Arial"/>
          <w:sz w:val="24"/>
          <w:szCs w:val="24"/>
        </w:rPr>
        <w:t xml:space="preserve">Nishchay (2025). Case Study: Burj Khalifa – The Tallest Skyscraper. </w:t>
      </w:r>
      <w:proofErr w:type="spellStart"/>
      <w:r w:rsidRPr="007E506F">
        <w:rPr>
          <w:rFonts w:ascii="Arial" w:hAnsi="Arial" w:cs="Arial"/>
          <w:sz w:val="24"/>
          <w:szCs w:val="24"/>
        </w:rPr>
        <w:t>SpecuWin</w:t>
      </w:r>
      <w:proofErr w:type="spellEnd"/>
      <w:r w:rsidRPr="007E506F">
        <w:rPr>
          <w:rFonts w:ascii="Arial" w:hAnsi="Arial" w:cs="Arial"/>
          <w:sz w:val="24"/>
          <w:szCs w:val="24"/>
        </w:rPr>
        <w:t xml:space="preserve"> -. Available at: </w:t>
      </w:r>
      <w:hyperlink r:id="rId17" w:history="1">
        <w:r w:rsidRPr="007E506F">
          <w:rPr>
            <w:rStyle w:val="Hyperlink"/>
            <w:rFonts w:ascii="Arial" w:hAnsi="Arial" w:cs="Arial"/>
            <w:sz w:val="24"/>
            <w:szCs w:val="24"/>
          </w:rPr>
          <w:t>https://specuwin.com/blog/case-study-burj-khalifa-the-tallest-skyscraper/</w:t>
        </w:r>
      </w:hyperlink>
      <w:r w:rsidRPr="007E506F">
        <w:rPr>
          <w:rFonts w:ascii="Arial" w:hAnsi="Arial" w:cs="Arial"/>
          <w:sz w:val="24"/>
          <w:szCs w:val="24"/>
        </w:rPr>
        <w:t>.</w:t>
      </w:r>
      <w:r>
        <w:rPr>
          <w:rFonts w:ascii="Arial" w:hAnsi="Arial" w:cs="Arial"/>
          <w:sz w:val="24"/>
          <w:szCs w:val="24"/>
        </w:rPr>
        <w:t xml:space="preserve"> </w:t>
      </w:r>
      <w:r w:rsidRPr="007E506F">
        <w:rPr>
          <w:rFonts w:ascii="Arial" w:hAnsi="Arial" w:cs="Arial"/>
          <w:sz w:val="24"/>
          <w:szCs w:val="24"/>
        </w:rPr>
        <w:t>[Accessed 26 Mar. 2026].</w:t>
      </w:r>
    </w:p>
    <w:p w14:paraId="26FEC153" w14:textId="77777777" w:rsidR="007E506F" w:rsidRPr="007E506F" w:rsidRDefault="007E506F" w:rsidP="007E506F">
      <w:pPr>
        <w:rPr>
          <w:rFonts w:ascii="Arial" w:hAnsi="Arial" w:cs="Arial"/>
          <w:sz w:val="24"/>
          <w:szCs w:val="24"/>
        </w:rPr>
      </w:pPr>
    </w:p>
    <w:p w14:paraId="39CF0BFD" w14:textId="3ED97128" w:rsidR="007E506F" w:rsidRPr="007E506F" w:rsidRDefault="007E506F" w:rsidP="007E506F">
      <w:pPr>
        <w:rPr>
          <w:rFonts w:ascii="Arial" w:hAnsi="Arial" w:cs="Arial"/>
          <w:sz w:val="24"/>
          <w:szCs w:val="24"/>
        </w:rPr>
      </w:pPr>
      <w:r w:rsidRPr="007E506F">
        <w:rPr>
          <w:rFonts w:ascii="Arial" w:hAnsi="Arial" w:cs="Arial"/>
          <w:sz w:val="24"/>
          <w:szCs w:val="24"/>
        </w:rPr>
        <w:t xml:space="preserve">Stengel, T. and Kustermann, A. (2026). Life Cycle Assessment of the End-of-Life Stage of Reinforced Concrete Structures. RILEM </w:t>
      </w:r>
      <w:proofErr w:type="spellStart"/>
      <w:r w:rsidRPr="007E506F">
        <w:rPr>
          <w:rFonts w:ascii="Arial" w:hAnsi="Arial" w:cs="Arial"/>
          <w:sz w:val="24"/>
          <w:szCs w:val="24"/>
        </w:rPr>
        <w:t>Bookseries</w:t>
      </w:r>
      <w:proofErr w:type="spellEnd"/>
      <w:r w:rsidRPr="007E506F">
        <w:rPr>
          <w:rFonts w:ascii="Arial" w:hAnsi="Arial" w:cs="Arial"/>
          <w:sz w:val="24"/>
          <w:szCs w:val="24"/>
        </w:rPr>
        <w:t xml:space="preserve">, pp.333–343. </w:t>
      </w:r>
      <w:hyperlink r:id="rId18" w:history="1">
        <w:r w:rsidRPr="007E506F">
          <w:rPr>
            <w:rStyle w:val="Hyperlink"/>
            <w:rFonts w:ascii="Arial" w:hAnsi="Arial" w:cs="Arial"/>
            <w:sz w:val="24"/>
            <w:szCs w:val="24"/>
          </w:rPr>
          <w:t>https://doi.org/10.1007/978-3-032-14170-5_33</w:t>
        </w:r>
      </w:hyperlink>
      <w:r w:rsidRPr="007E506F">
        <w:rPr>
          <w:rFonts w:ascii="Arial" w:hAnsi="Arial" w:cs="Arial"/>
          <w:sz w:val="24"/>
          <w:szCs w:val="24"/>
        </w:rPr>
        <w:t>.</w:t>
      </w:r>
      <w:r>
        <w:rPr>
          <w:rFonts w:ascii="Arial" w:hAnsi="Arial" w:cs="Arial"/>
          <w:sz w:val="24"/>
          <w:szCs w:val="24"/>
        </w:rPr>
        <w:t xml:space="preserve"> </w:t>
      </w:r>
      <w:r w:rsidRPr="007E506F">
        <w:rPr>
          <w:rFonts w:ascii="Arial" w:hAnsi="Arial" w:cs="Arial"/>
          <w:sz w:val="24"/>
          <w:szCs w:val="24"/>
        </w:rPr>
        <w:t>[Accessed 26 Mar. 2026].</w:t>
      </w:r>
    </w:p>
    <w:p w14:paraId="65423560" w14:textId="77777777" w:rsidR="007E506F" w:rsidRPr="007E506F" w:rsidRDefault="007E506F" w:rsidP="007E506F">
      <w:pPr>
        <w:rPr>
          <w:rFonts w:ascii="Arial" w:hAnsi="Arial" w:cs="Arial"/>
          <w:sz w:val="24"/>
          <w:szCs w:val="24"/>
        </w:rPr>
      </w:pPr>
    </w:p>
    <w:p w14:paraId="570BCA04" w14:textId="1F6CCCD1" w:rsidR="007E506F" w:rsidRPr="007E506F" w:rsidRDefault="007E506F" w:rsidP="007E506F">
      <w:pPr>
        <w:rPr>
          <w:rFonts w:ascii="Arial" w:hAnsi="Arial" w:cs="Arial"/>
          <w:sz w:val="24"/>
          <w:szCs w:val="24"/>
        </w:rPr>
      </w:pPr>
      <w:proofErr w:type="spellStart"/>
      <w:r w:rsidRPr="007E506F">
        <w:rPr>
          <w:rFonts w:ascii="Arial" w:hAnsi="Arial" w:cs="Arial"/>
          <w:sz w:val="24"/>
          <w:szCs w:val="24"/>
        </w:rPr>
        <w:t>Ummulkiram</w:t>
      </w:r>
      <w:proofErr w:type="spellEnd"/>
      <w:r w:rsidRPr="007E506F">
        <w:rPr>
          <w:rFonts w:ascii="Arial" w:hAnsi="Arial" w:cs="Arial"/>
          <w:sz w:val="24"/>
          <w:szCs w:val="24"/>
        </w:rPr>
        <w:t xml:space="preserve"> </w:t>
      </w:r>
      <w:proofErr w:type="spellStart"/>
      <w:r w:rsidRPr="007E506F">
        <w:rPr>
          <w:rFonts w:ascii="Arial" w:hAnsi="Arial" w:cs="Arial"/>
          <w:sz w:val="24"/>
          <w:szCs w:val="24"/>
        </w:rPr>
        <w:t>Pardawala</w:t>
      </w:r>
      <w:proofErr w:type="spellEnd"/>
      <w:r w:rsidRPr="007E506F">
        <w:rPr>
          <w:rFonts w:ascii="Arial" w:hAnsi="Arial" w:cs="Arial"/>
          <w:sz w:val="24"/>
          <w:szCs w:val="24"/>
        </w:rPr>
        <w:t xml:space="preserve"> (2025). How Dubai’s Infrastructure Handles Extreme Temperatures. </w:t>
      </w:r>
      <w:proofErr w:type="spellStart"/>
      <w:r w:rsidRPr="007E506F">
        <w:rPr>
          <w:rFonts w:ascii="Arial" w:hAnsi="Arial" w:cs="Arial"/>
          <w:sz w:val="24"/>
          <w:szCs w:val="24"/>
        </w:rPr>
        <w:t>HiDubai</w:t>
      </w:r>
      <w:proofErr w:type="spellEnd"/>
      <w:r w:rsidRPr="007E506F">
        <w:rPr>
          <w:rFonts w:ascii="Arial" w:hAnsi="Arial" w:cs="Arial"/>
          <w:sz w:val="24"/>
          <w:szCs w:val="24"/>
        </w:rPr>
        <w:t xml:space="preserve"> Focus. Available at: </w:t>
      </w:r>
      <w:hyperlink r:id="rId19" w:history="1">
        <w:r w:rsidRPr="007E506F">
          <w:rPr>
            <w:rStyle w:val="Hyperlink"/>
            <w:rFonts w:ascii="Arial" w:hAnsi="Arial" w:cs="Arial"/>
            <w:sz w:val="24"/>
            <w:szCs w:val="24"/>
          </w:rPr>
          <w:t>https://focus.hidubai.com/how-dubais-infrastructure-handles-extreme-temperatures/</w:t>
        </w:r>
      </w:hyperlink>
      <w:r w:rsidRPr="007E506F">
        <w:rPr>
          <w:rFonts w:ascii="Arial" w:hAnsi="Arial" w:cs="Arial"/>
          <w:sz w:val="24"/>
          <w:szCs w:val="24"/>
        </w:rPr>
        <w:t>.</w:t>
      </w:r>
      <w:r>
        <w:rPr>
          <w:rFonts w:ascii="Arial" w:hAnsi="Arial" w:cs="Arial"/>
          <w:sz w:val="24"/>
          <w:szCs w:val="24"/>
        </w:rPr>
        <w:t xml:space="preserve"> </w:t>
      </w:r>
      <w:r w:rsidRPr="007E506F">
        <w:rPr>
          <w:rFonts w:ascii="Arial" w:hAnsi="Arial" w:cs="Arial"/>
          <w:sz w:val="24"/>
          <w:szCs w:val="24"/>
        </w:rPr>
        <w:t>[Accessed 26 Mar. 2026].</w:t>
      </w:r>
    </w:p>
    <w:p w14:paraId="6EF1860B" w14:textId="77777777" w:rsidR="007E506F" w:rsidRPr="007E506F" w:rsidRDefault="007E506F" w:rsidP="007E506F">
      <w:pPr>
        <w:rPr>
          <w:rFonts w:ascii="Arial" w:hAnsi="Arial" w:cs="Arial"/>
          <w:sz w:val="24"/>
          <w:szCs w:val="24"/>
        </w:rPr>
      </w:pPr>
    </w:p>
    <w:p w14:paraId="7A51E4E0" w14:textId="4DC040BC" w:rsidR="007E506F" w:rsidRPr="007E506F" w:rsidRDefault="007E506F" w:rsidP="007E506F">
      <w:pPr>
        <w:rPr>
          <w:rFonts w:ascii="Arial" w:hAnsi="Arial" w:cs="Arial"/>
          <w:sz w:val="24"/>
          <w:szCs w:val="24"/>
        </w:rPr>
      </w:pPr>
      <w:r w:rsidRPr="007E506F">
        <w:rPr>
          <w:rFonts w:ascii="Arial" w:hAnsi="Arial" w:cs="Arial"/>
          <w:sz w:val="24"/>
          <w:szCs w:val="24"/>
        </w:rPr>
        <w:t xml:space="preserve">Vincent, J.B. (2025). How engineers solved concrete challenges to build the Burj Khalifa. Jack Constructions. Available at: </w:t>
      </w:r>
      <w:hyperlink r:id="rId20" w:history="1">
        <w:r w:rsidRPr="007E506F">
          <w:rPr>
            <w:rStyle w:val="Hyperlink"/>
            <w:rFonts w:ascii="Arial" w:hAnsi="Arial" w:cs="Arial"/>
            <w:sz w:val="24"/>
            <w:szCs w:val="24"/>
          </w:rPr>
          <w:t>https://www.jackconstructions.com/post/how-engineers-overcame-concrete-challenges-to-build-the-burj-khalifa</w:t>
        </w:r>
      </w:hyperlink>
      <w:r w:rsidRPr="007E506F">
        <w:rPr>
          <w:rFonts w:ascii="Arial" w:hAnsi="Arial" w:cs="Arial"/>
          <w:sz w:val="24"/>
          <w:szCs w:val="24"/>
        </w:rPr>
        <w:t>.</w:t>
      </w:r>
      <w:r>
        <w:rPr>
          <w:rFonts w:ascii="Arial" w:hAnsi="Arial" w:cs="Arial"/>
          <w:sz w:val="24"/>
          <w:szCs w:val="24"/>
        </w:rPr>
        <w:t xml:space="preserve"> </w:t>
      </w:r>
      <w:r w:rsidRPr="007E506F">
        <w:rPr>
          <w:rFonts w:ascii="Arial" w:hAnsi="Arial" w:cs="Arial"/>
          <w:sz w:val="24"/>
          <w:szCs w:val="24"/>
        </w:rPr>
        <w:t>[Accessed 26 Mar. 2026].</w:t>
      </w:r>
    </w:p>
    <w:p w14:paraId="7EA9DC27" w14:textId="77777777" w:rsidR="007E506F" w:rsidRPr="007E506F" w:rsidRDefault="007E506F" w:rsidP="007E506F">
      <w:pPr>
        <w:rPr>
          <w:rFonts w:ascii="Arial" w:hAnsi="Arial" w:cs="Arial"/>
          <w:sz w:val="24"/>
          <w:szCs w:val="24"/>
        </w:rPr>
      </w:pPr>
    </w:p>
    <w:p w14:paraId="32C65505" w14:textId="77088D9F" w:rsidR="007E506F" w:rsidRPr="007E506F" w:rsidRDefault="007E506F" w:rsidP="007E506F">
      <w:pPr>
        <w:rPr>
          <w:rFonts w:ascii="Arial" w:hAnsi="Arial" w:cs="Arial"/>
          <w:sz w:val="24"/>
          <w:szCs w:val="24"/>
        </w:rPr>
      </w:pPr>
      <w:r w:rsidRPr="007E506F">
        <w:rPr>
          <w:rFonts w:ascii="Arial" w:hAnsi="Arial" w:cs="Arial"/>
          <w:sz w:val="24"/>
          <w:szCs w:val="24"/>
        </w:rPr>
        <w:t xml:space="preserve">www.alfalaval.com. (n.d.). World’s tallest building stays cool with innovative ice-storage system. Available at: </w:t>
      </w:r>
      <w:hyperlink r:id="rId21" w:history="1">
        <w:r w:rsidRPr="007E506F">
          <w:rPr>
            <w:rStyle w:val="Hyperlink"/>
            <w:rFonts w:ascii="Arial" w:hAnsi="Arial" w:cs="Arial"/>
            <w:sz w:val="24"/>
            <w:szCs w:val="24"/>
          </w:rPr>
          <w:t>https://www.alfalaval.com/media/stories/industries/worlds-tallest-building-stays-cool-with-innovative-ice-storage-system/</w:t>
        </w:r>
      </w:hyperlink>
      <w:r w:rsidRPr="007E506F">
        <w:rPr>
          <w:rFonts w:ascii="Arial" w:hAnsi="Arial" w:cs="Arial"/>
          <w:sz w:val="24"/>
          <w:szCs w:val="24"/>
        </w:rPr>
        <w:t>.</w:t>
      </w:r>
      <w:r>
        <w:rPr>
          <w:rFonts w:ascii="Arial" w:hAnsi="Arial" w:cs="Arial"/>
          <w:sz w:val="24"/>
          <w:szCs w:val="24"/>
        </w:rPr>
        <w:t xml:space="preserve"> </w:t>
      </w:r>
      <w:r w:rsidRPr="007E506F">
        <w:rPr>
          <w:rFonts w:ascii="Arial" w:hAnsi="Arial" w:cs="Arial"/>
          <w:sz w:val="24"/>
          <w:szCs w:val="24"/>
        </w:rPr>
        <w:t>[Accessed 26 Mar. 2026].</w:t>
      </w:r>
    </w:p>
    <w:p w14:paraId="56D04806" w14:textId="77777777" w:rsidR="007E506F" w:rsidRDefault="007E506F" w:rsidP="007E506F">
      <w:pPr>
        <w:rPr>
          <w:rFonts w:ascii="Arial" w:hAnsi="Arial" w:cs="Arial"/>
          <w:b/>
          <w:bCs/>
          <w:i/>
          <w:iCs/>
          <w:sz w:val="24"/>
          <w:szCs w:val="24"/>
          <w:u w:val="single"/>
        </w:rPr>
      </w:pPr>
    </w:p>
    <w:p w14:paraId="217BEB23" w14:textId="77777777" w:rsidR="007E506F" w:rsidRDefault="007E506F" w:rsidP="007E506F">
      <w:pPr>
        <w:rPr>
          <w:rFonts w:ascii="Arial" w:hAnsi="Arial" w:cs="Arial"/>
          <w:b/>
          <w:bCs/>
          <w:i/>
          <w:iCs/>
          <w:sz w:val="24"/>
          <w:szCs w:val="24"/>
          <w:u w:val="single"/>
        </w:rPr>
      </w:pPr>
    </w:p>
    <w:p w14:paraId="3D9C0D5D" w14:textId="77777777" w:rsidR="007E506F" w:rsidRDefault="007E506F" w:rsidP="007E506F">
      <w:pPr>
        <w:rPr>
          <w:rFonts w:ascii="Arial" w:hAnsi="Arial" w:cs="Arial"/>
          <w:b/>
          <w:bCs/>
          <w:i/>
          <w:iCs/>
          <w:sz w:val="24"/>
          <w:szCs w:val="24"/>
          <w:u w:val="single"/>
        </w:rPr>
      </w:pPr>
    </w:p>
    <w:p w14:paraId="3411BA1A" w14:textId="77777777" w:rsidR="007E506F" w:rsidRDefault="007E506F" w:rsidP="007E506F">
      <w:pPr>
        <w:rPr>
          <w:rFonts w:ascii="Arial" w:hAnsi="Arial" w:cs="Arial"/>
          <w:b/>
          <w:bCs/>
          <w:i/>
          <w:iCs/>
          <w:sz w:val="24"/>
          <w:szCs w:val="24"/>
          <w:u w:val="single"/>
        </w:rPr>
      </w:pPr>
    </w:p>
    <w:p w14:paraId="29EC98E4" w14:textId="77777777" w:rsidR="007E506F" w:rsidRDefault="007E506F" w:rsidP="007E506F">
      <w:pPr>
        <w:rPr>
          <w:rFonts w:ascii="Arial" w:hAnsi="Arial" w:cs="Arial"/>
          <w:b/>
          <w:bCs/>
          <w:i/>
          <w:iCs/>
          <w:sz w:val="24"/>
          <w:szCs w:val="24"/>
          <w:u w:val="single"/>
        </w:rPr>
      </w:pPr>
    </w:p>
    <w:p w14:paraId="664CE1B7" w14:textId="77777777" w:rsidR="007E506F" w:rsidRDefault="007E506F" w:rsidP="007E506F">
      <w:pPr>
        <w:rPr>
          <w:rFonts w:ascii="Arial" w:hAnsi="Arial" w:cs="Arial"/>
          <w:b/>
          <w:bCs/>
          <w:i/>
          <w:iCs/>
          <w:sz w:val="24"/>
          <w:szCs w:val="24"/>
          <w:u w:val="single"/>
        </w:rPr>
      </w:pPr>
    </w:p>
    <w:p w14:paraId="5A0C283A" w14:textId="271D4BAB" w:rsidR="007E506F" w:rsidRPr="007E506F" w:rsidRDefault="007E506F" w:rsidP="007E506F">
      <w:pPr>
        <w:rPr>
          <w:rFonts w:ascii="Arial" w:hAnsi="Arial" w:cs="Arial"/>
          <w:sz w:val="24"/>
          <w:szCs w:val="24"/>
        </w:rPr>
      </w:pPr>
      <w:r w:rsidRPr="007E506F">
        <w:rPr>
          <w:rFonts w:ascii="Arial" w:hAnsi="Arial" w:cs="Arial"/>
          <w:b/>
          <w:bCs/>
          <w:i/>
          <w:iCs/>
          <w:sz w:val="24"/>
          <w:szCs w:val="24"/>
          <w:u w:val="single"/>
        </w:rPr>
        <w:lastRenderedPageBreak/>
        <w:t>Images</w:t>
      </w:r>
      <w:r w:rsidRPr="007E506F">
        <w:rPr>
          <w:rFonts w:ascii="Arial" w:hAnsi="Arial" w:cs="Arial"/>
          <w:sz w:val="24"/>
          <w:szCs w:val="24"/>
        </w:rPr>
        <w:t xml:space="preserve"> –</w:t>
      </w:r>
    </w:p>
    <w:p w14:paraId="7AE7C2EC" w14:textId="77777777" w:rsidR="007E506F" w:rsidRPr="007E506F" w:rsidRDefault="007E506F" w:rsidP="007E506F">
      <w:pPr>
        <w:rPr>
          <w:rFonts w:ascii="Arial" w:hAnsi="Arial" w:cs="Arial"/>
          <w:sz w:val="24"/>
          <w:szCs w:val="24"/>
        </w:rPr>
      </w:pPr>
    </w:p>
    <w:p w14:paraId="1F702E8F" w14:textId="3110281B" w:rsidR="007E506F" w:rsidRPr="007E506F" w:rsidRDefault="007E506F" w:rsidP="007E506F">
      <w:pPr>
        <w:rPr>
          <w:rFonts w:ascii="Arial" w:hAnsi="Arial" w:cs="Arial"/>
          <w:sz w:val="24"/>
          <w:szCs w:val="24"/>
        </w:rPr>
      </w:pPr>
      <w:hyperlink r:id="rId22" w:history="1">
        <w:r w:rsidRPr="007E506F">
          <w:rPr>
            <w:rStyle w:val="Hyperlink"/>
            <w:rFonts w:ascii="Arial" w:hAnsi="Arial" w:cs="Arial"/>
            <w:sz w:val="24"/>
            <w:szCs w:val="24"/>
          </w:rPr>
          <w:t>https://thumbs.dreamstime.com/b/burj-khalifa-iconic-skyscraper-dubai-tallest-</w:t>
        </w:r>
        <w:r w:rsidRPr="007E506F">
          <w:rPr>
            <w:rStyle w:val="Hyperlink"/>
            <w:rFonts w:ascii="Arial" w:hAnsi="Arial" w:cs="Arial"/>
            <w:sz w:val="24"/>
            <w:szCs w:val="24"/>
          </w:rPr>
          <w:t>building-world-373486846.jpg</w:t>
        </w:r>
      </w:hyperlink>
    </w:p>
    <w:p w14:paraId="119A1D8F" w14:textId="77777777" w:rsidR="007E506F" w:rsidRPr="007E506F" w:rsidRDefault="007E506F" w:rsidP="007E506F">
      <w:pPr>
        <w:rPr>
          <w:rFonts w:ascii="Arial" w:hAnsi="Arial" w:cs="Arial"/>
          <w:sz w:val="24"/>
          <w:szCs w:val="24"/>
        </w:rPr>
      </w:pPr>
    </w:p>
    <w:p w14:paraId="2DB6F699" w14:textId="22AA1577" w:rsidR="007E506F" w:rsidRPr="007E506F" w:rsidRDefault="007E506F" w:rsidP="007E506F">
      <w:pPr>
        <w:rPr>
          <w:rFonts w:ascii="Arial" w:hAnsi="Arial" w:cs="Arial"/>
          <w:sz w:val="24"/>
          <w:szCs w:val="24"/>
        </w:rPr>
      </w:pPr>
      <w:hyperlink r:id="rId23" w:history="1">
        <w:r w:rsidRPr="007E506F">
          <w:rPr>
            <w:rStyle w:val="Hyperlink"/>
            <w:rFonts w:ascii="Arial" w:hAnsi="Arial" w:cs="Arial"/>
            <w:sz w:val="24"/>
            <w:szCs w:val="24"/>
          </w:rPr>
          <w:t>https://dubailoveyou.com/wp-content/uploads/2023/10/Mechanical-Levels-Burj-Khalifa-Dubai-768x412.jpg</w:t>
        </w:r>
      </w:hyperlink>
    </w:p>
    <w:p w14:paraId="358FE3F9" w14:textId="77777777" w:rsidR="007E506F" w:rsidRPr="007E506F" w:rsidRDefault="007E506F" w:rsidP="007E506F">
      <w:pPr>
        <w:rPr>
          <w:rFonts w:ascii="Arial" w:hAnsi="Arial" w:cs="Arial"/>
          <w:sz w:val="24"/>
          <w:szCs w:val="24"/>
        </w:rPr>
      </w:pPr>
    </w:p>
    <w:p w14:paraId="5F1F0C78" w14:textId="3510B091" w:rsidR="007E506F" w:rsidRPr="007E506F" w:rsidRDefault="007E506F" w:rsidP="007E506F">
      <w:pPr>
        <w:rPr>
          <w:rFonts w:ascii="Arial" w:hAnsi="Arial" w:cs="Arial"/>
          <w:sz w:val="24"/>
          <w:szCs w:val="24"/>
        </w:rPr>
      </w:pPr>
      <w:hyperlink r:id="rId24" w:history="1">
        <w:r w:rsidRPr="007E506F">
          <w:rPr>
            <w:rStyle w:val="Hyperlink"/>
            <w:rFonts w:ascii="Arial" w:hAnsi="Arial" w:cs="Arial"/>
            <w:sz w:val="24"/>
            <w:szCs w:val="24"/>
          </w:rPr>
          <w:t>https://th.bing.com/th/id/R.50c760cb47236097aef0491c6955aa28?rik=CxOcMBqgOUSeig&amp;riu=http%3a%2f%2fwww.bernardsmith.name%2fpreparing_for_dubai%2fdubai_burj_khalifa%2ffiles%2fconstruction_2.jpg&amp;ehk=P4G%2fU7ncKNRuZG%2fdCBmbVlEpam4uWqRM2dpGxbbZbHg%3d&amp;risl=&amp;pid=ImgRaw&amp;r=0</w:t>
        </w:r>
      </w:hyperlink>
    </w:p>
    <w:p w14:paraId="63BB58BF" w14:textId="77777777" w:rsidR="007E506F" w:rsidRPr="007E506F" w:rsidRDefault="007E506F" w:rsidP="007E506F">
      <w:pPr>
        <w:rPr>
          <w:rFonts w:ascii="Arial" w:hAnsi="Arial" w:cs="Arial"/>
          <w:sz w:val="24"/>
          <w:szCs w:val="24"/>
        </w:rPr>
      </w:pPr>
    </w:p>
    <w:p w14:paraId="452E3CF9" w14:textId="410ED4EF" w:rsidR="007E506F" w:rsidRPr="007E506F" w:rsidRDefault="007E506F" w:rsidP="007E506F">
      <w:pPr>
        <w:rPr>
          <w:rFonts w:ascii="Arial" w:hAnsi="Arial" w:cs="Arial"/>
          <w:sz w:val="24"/>
          <w:szCs w:val="24"/>
        </w:rPr>
      </w:pPr>
      <w:hyperlink r:id="rId25" w:history="1">
        <w:r w:rsidRPr="007E506F">
          <w:rPr>
            <w:rStyle w:val="Hyperlink"/>
            <w:rFonts w:ascii="Arial" w:hAnsi="Arial" w:cs="Arial"/>
            <w:sz w:val="24"/>
            <w:szCs w:val="24"/>
          </w:rPr>
          <w:t>https://barrowmixconcrete.com/wp-content/uploads/2025/02/concrete_s_environmental_impact_assessment.jpg</w:t>
        </w:r>
      </w:hyperlink>
    </w:p>
    <w:p w14:paraId="3464CD5F" w14:textId="77777777" w:rsidR="007E506F" w:rsidRPr="007E506F" w:rsidRDefault="007E506F">
      <w:pPr>
        <w:spacing w:after="160"/>
        <w:jc w:val="both"/>
        <w:rPr>
          <w:rFonts w:ascii="Arial" w:hAnsi="Arial" w:cs="Arial"/>
          <w:sz w:val="24"/>
          <w:szCs w:val="24"/>
        </w:rPr>
      </w:pPr>
    </w:p>
    <w:p w14:paraId="6494C8B1" w14:textId="77777777" w:rsidR="007E506F" w:rsidRPr="00B712B3" w:rsidRDefault="007E506F">
      <w:pPr>
        <w:spacing w:after="160"/>
        <w:jc w:val="both"/>
        <w:rPr>
          <w:rFonts w:ascii="Arial" w:hAnsi="Arial" w:cs="Arial"/>
          <w:sz w:val="24"/>
          <w:szCs w:val="24"/>
        </w:rPr>
      </w:pPr>
    </w:p>
    <w:sectPr w:rsidR="007E506F" w:rsidRPr="00B712B3" w:rsidSect="00B712B3">
      <w:pgSz w:w="11906" w:h="16838"/>
      <w:pgMar w:top="1440" w:right="1440" w:bottom="1440" w:left="1440" w:header="708" w:footer="708"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412849"/>
    <w:multiLevelType w:val="hybridMultilevel"/>
    <w:tmpl w:val="8368D6A6"/>
    <w:lvl w:ilvl="0" w:tplc="515EF306">
      <w:start w:val="1"/>
      <w:numFmt w:val="bullet"/>
      <w:lvlText w:val="●"/>
      <w:lvlJc w:val="left"/>
      <w:pPr>
        <w:ind w:left="720" w:hanging="360"/>
      </w:pPr>
    </w:lvl>
    <w:lvl w:ilvl="1" w:tplc="CE260896">
      <w:start w:val="1"/>
      <w:numFmt w:val="bullet"/>
      <w:lvlText w:val="○"/>
      <w:lvlJc w:val="left"/>
      <w:pPr>
        <w:ind w:left="1440" w:hanging="360"/>
      </w:pPr>
    </w:lvl>
    <w:lvl w:ilvl="2" w:tplc="A58464A6">
      <w:start w:val="1"/>
      <w:numFmt w:val="bullet"/>
      <w:lvlText w:val="■"/>
      <w:lvlJc w:val="left"/>
      <w:pPr>
        <w:ind w:left="2160" w:hanging="360"/>
      </w:pPr>
    </w:lvl>
    <w:lvl w:ilvl="3" w:tplc="A77CDA70">
      <w:start w:val="1"/>
      <w:numFmt w:val="bullet"/>
      <w:lvlText w:val="●"/>
      <w:lvlJc w:val="left"/>
      <w:pPr>
        <w:ind w:left="2880" w:hanging="360"/>
      </w:pPr>
    </w:lvl>
    <w:lvl w:ilvl="4" w:tplc="75DCF872">
      <w:start w:val="1"/>
      <w:numFmt w:val="bullet"/>
      <w:lvlText w:val="○"/>
      <w:lvlJc w:val="left"/>
      <w:pPr>
        <w:ind w:left="3600" w:hanging="360"/>
      </w:pPr>
    </w:lvl>
    <w:lvl w:ilvl="5" w:tplc="DB5A8F82">
      <w:start w:val="1"/>
      <w:numFmt w:val="bullet"/>
      <w:lvlText w:val="■"/>
      <w:lvlJc w:val="left"/>
      <w:pPr>
        <w:ind w:left="4320" w:hanging="360"/>
      </w:pPr>
    </w:lvl>
    <w:lvl w:ilvl="6" w:tplc="136C56F8">
      <w:start w:val="1"/>
      <w:numFmt w:val="bullet"/>
      <w:lvlText w:val="●"/>
      <w:lvlJc w:val="left"/>
      <w:pPr>
        <w:ind w:left="5040" w:hanging="360"/>
      </w:pPr>
    </w:lvl>
    <w:lvl w:ilvl="7" w:tplc="D572F2BA">
      <w:start w:val="1"/>
      <w:numFmt w:val="bullet"/>
      <w:lvlText w:val="●"/>
      <w:lvlJc w:val="left"/>
      <w:pPr>
        <w:ind w:left="5760" w:hanging="360"/>
      </w:pPr>
    </w:lvl>
    <w:lvl w:ilvl="8" w:tplc="76285032">
      <w:start w:val="1"/>
      <w:numFmt w:val="bullet"/>
      <w:lvlText w:val="●"/>
      <w:lvlJc w:val="left"/>
      <w:pPr>
        <w:ind w:left="6480" w:hanging="360"/>
      </w:pPr>
    </w:lvl>
  </w:abstractNum>
  <w:num w:numId="1" w16cid:durableId="112939931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6E6F"/>
    <w:rsid w:val="001E6E6F"/>
    <w:rsid w:val="002B20E9"/>
    <w:rsid w:val="00666E37"/>
    <w:rsid w:val="007E506F"/>
    <w:rsid w:val="00882909"/>
    <w:rsid w:val="00AC7A14"/>
    <w:rsid w:val="00B71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146E0"/>
  <w15:docId w15:val="{39C29526-4E84-491B-BB9C-A5197624B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customStyle="1" w:styleId="TitleChar">
    <w:name w:val="Title Char"/>
    <w:basedOn w:val="DefaultParagraphFont"/>
    <w:link w:val="Title"/>
    <w:uiPriority w:val="10"/>
    <w:rsid w:val="00B712B3"/>
    <w:rPr>
      <w:sz w:val="56"/>
      <w:szCs w:val="56"/>
    </w:rPr>
  </w:style>
  <w:style w:type="paragraph" w:styleId="Subtitle">
    <w:name w:val="Subtitle"/>
    <w:basedOn w:val="Normal"/>
    <w:next w:val="Normal"/>
    <w:link w:val="SubtitleChar"/>
    <w:uiPriority w:val="11"/>
    <w:qFormat/>
    <w:rsid w:val="00B712B3"/>
    <w:pPr>
      <w:numPr>
        <w:ilvl w:val="1"/>
      </w:numPr>
      <w:spacing w:after="160" w:line="259" w:lineRule="auto"/>
    </w:pPr>
    <w:rPr>
      <w:rFonts w:asciiTheme="minorHAnsi" w:eastAsiaTheme="minorEastAsia" w:hAnsiTheme="minorHAnsi"/>
      <w:color w:val="5A5A5A" w:themeColor="text1" w:themeTint="A5"/>
      <w:spacing w:val="15"/>
      <w:sz w:val="22"/>
      <w:szCs w:val="22"/>
      <w:lang w:val="en-US" w:eastAsia="en-US"/>
    </w:rPr>
  </w:style>
  <w:style w:type="character" w:customStyle="1" w:styleId="SubtitleChar">
    <w:name w:val="Subtitle Char"/>
    <w:basedOn w:val="DefaultParagraphFont"/>
    <w:link w:val="Subtitle"/>
    <w:uiPriority w:val="11"/>
    <w:rsid w:val="00B712B3"/>
    <w:rPr>
      <w:rFonts w:asciiTheme="minorHAnsi" w:eastAsiaTheme="minorEastAsia" w:hAnsiTheme="minorHAnsi"/>
      <w:color w:val="5A5A5A" w:themeColor="text1" w:themeTint="A5"/>
      <w:spacing w:val="15"/>
      <w:sz w:val="22"/>
      <w:szCs w:val="22"/>
      <w:lang w:val="en-US" w:eastAsia="en-US"/>
    </w:rPr>
  </w:style>
  <w:style w:type="table" w:styleId="TableGrid">
    <w:name w:val="Table Grid"/>
    <w:basedOn w:val="TableNormal"/>
    <w:uiPriority w:val="39"/>
    <w:rsid w:val="00B712B3"/>
    <w:rPr>
      <w:rFonts w:asciiTheme="minorHAnsi" w:eastAsiaTheme="minorHAnsi" w:hAnsiTheme="minorHAnsi" w:cstheme="minorBidi"/>
      <w:kern w:val="2"/>
      <w:sz w:val="24"/>
      <w:szCs w:val="24"/>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E506F"/>
    <w:rPr>
      <w:color w:val="605E5C"/>
      <w:shd w:val="clear" w:color="auto" w:fill="E1DFDD"/>
    </w:rPr>
  </w:style>
  <w:style w:type="character" w:styleId="FollowedHyperlink">
    <w:name w:val="FollowedHyperlink"/>
    <w:basedOn w:val="DefaultParagraphFont"/>
    <w:uiPriority w:val="99"/>
    <w:semiHidden/>
    <w:unhideWhenUsed/>
    <w:rsid w:val="007E506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urjkhalifa.ae/the-tower/structures/" TargetMode="External"/><Relationship Id="rId18" Type="http://schemas.openxmlformats.org/officeDocument/2006/relationships/hyperlink" Target="https://doi.org/10.1007/978-3-032-14170-5_3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alfalaval.com/media/stories/industries/worlds-tallest-building-stays-cool-with-innovative-ice-storage-system/" TargetMode="External"/><Relationship Id="rId7" Type="http://schemas.openxmlformats.org/officeDocument/2006/relationships/image" Target="media/image1.jpeg"/><Relationship Id="rId12" Type="http://schemas.openxmlformats.org/officeDocument/2006/relationships/hyperlink" Target="https://doi.org/10.1016/j.jobe.2024.108861" TargetMode="External"/><Relationship Id="rId17" Type="http://schemas.openxmlformats.org/officeDocument/2006/relationships/hyperlink" Target="https://specuwin.com/blog/case-study-burj-khalifa-the-tallest-skyscraper/" TargetMode="External"/><Relationship Id="rId25" Type="http://schemas.openxmlformats.org/officeDocument/2006/relationships/hyperlink" Target="https://barrowmixconcrete.com/wp-content/uploads/2025/02/concrete_s_environmental_impact_assessment.jpg" TargetMode="External"/><Relationship Id="rId2" Type="http://schemas.openxmlformats.org/officeDocument/2006/relationships/numbering" Target="numbering.xml"/><Relationship Id="rId16" Type="http://schemas.openxmlformats.org/officeDocument/2006/relationships/hyperlink" Target="https://doi.org/10.1038/s41893-017-0009-5" TargetMode="External"/><Relationship Id="rId20" Type="http://schemas.openxmlformats.org/officeDocument/2006/relationships/hyperlink" Target="https://www.jackconstructions.com/post/how-engineers-overcame-concrete-challenges-to-build-the-burj-khalifa" TargetMode="External"/><Relationship Id="rId1" Type="http://schemas.openxmlformats.org/officeDocument/2006/relationships/customXml" Target="../customXml/item1.xml"/><Relationship Id="rId6" Type="http://schemas.openxmlformats.org/officeDocument/2006/relationships/hyperlink" Target="https://thumbs.dreamstime.com/b/burj-khalifa-iconic-skyscraper-dubai-tallest-building-world-373486846.jpg" TargetMode="External"/><Relationship Id="rId11" Type="http://schemas.openxmlformats.org/officeDocument/2006/relationships/chart" Target="charts/chart1.xml"/><Relationship Id="rId24" Type="http://schemas.openxmlformats.org/officeDocument/2006/relationships/hyperlink" Target="https://th.bing.com/th/id/R.50c760cb47236097aef0491c6955aa28?rik=CxOcMBqgOUSeig&amp;riu=http%3a%2f%2fwww.bernardsmith.name%2fpreparing_for_dubai%2fdubai_burj_khalifa%2ffiles%2fconstruction_2.jpg&amp;ehk=P4G%2fU7ncKNRuZG%2fdCBmbVlEpam4uWqRM2dpGxbbZbHg%3d&amp;risl=&amp;pid=ImgRaw&amp;r=0" TargetMode="External"/><Relationship Id="rId5" Type="http://schemas.openxmlformats.org/officeDocument/2006/relationships/webSettings" Target="webSettings.xml"/><Relationship Id="rId15" Type="http://schemas.openxmlformats.org/officeDocument/2006/relationships/hyperlink" Target="https://www.mdpi.com/1996-1944/19/5/1011/xml" TargetMode="External"/><Relationship Id="rId23" Type="http://schemas.openxmlformats.org/officeDocument/2006/relationships/hyperlink" Target="https://dubailoveyou.com/wp-content/uploads/2023/10/Mechanical-Levels-Burj-Khalifa-Dubai-768x412.jpg" TargetMode="External"/><Relationship Id="rId10" Type="http://schemas.openxmlformats.org/officeDocument/2006/relationships/image" Target="media/image4.jpeg"/><Relationship Id="rId19" Type="http://schemas.openxmlformats.org/officeDocument/2006/relationships/hyperlink" Target="https://focus.hidubai.com/how-dubais-infrastructure-handles-extreme-temperatures/"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www.aboutcivil.org/burj-khalifa-design-construction-structural-details.html#google_vignette" TargetMode="External"/><Relationship Id="rId22" Type="http://schemas.openxmlformats.org/officeDocument/2006/relationships/hyperlink" Target="https://thumbs.dreamstime.com/b/burj-khalifa-iconic-skyscraper-dubai-tallest-building-world-373486846.jpg"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Particle Size Distribution Curve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734492563429571"/>
          <c:y val="0.11342575702298431"/>
          <c:w val="0.80180796150481193"/>
          <c:h val="0.7248693648791894"/>
        </c:manualLayout>
      </c:layout>
      <c:scatterChart>
        <c:scatterStyle val="smoothMarker"/>
        <c:varyColors val="0"/>
        <c:ser>
          <c:idx val="0"/>
          <c:order val="0"/>
          <c:tx>
            <c:strRef>
              <c:f>Sheet1!$E$3</c:f>
              <c:strCache>
                <c:ptCount val="1"/>
                <c:pt idx="0">
                  <c:v>% Passing</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Sheet1!$B$4:$B$18</c:f>
              <c:numCache>
                <c:formatCode>General</c:formatCode>
                <c:ptCount val="15"/>
                <c:pt idx="0">
                  <c:v>125</c:v>
                </c:pt>
                <c:pt idx="1">
                  <c:v>75</c:v>
                </c:pt>
                <c:pt idx="2">
                  <c:v>63</c:v>
                </c:pt>
                <c:pt idx="3">
                  <c:v>37.5</c:v>
                </c:pt>
                <c:pt idx="4">
                  <c:v>20</c:v>
                </c:pt>
                <c:pt idx="5">
                  <c:v>10</c:v>
                </c:pt>
                <c:pt idx="6">
                  <c:v>6.3</c:v>
                </c:pt>
                <c:pt idx="7">
                  <c:v>3.35</c:v>
                </c:pt>
                <c:pt idx="8">
                  <c:v>2</c:v>
                </c:pt>
                <c:pt idx="9">
                  <c:v>1.18</c:v>
                </c:pt>
                <c:pt idx="10">
                  <c:v>0.6</c:v>
                </c:pt>
                <c:pt idx="11">
                  <c:v>0.3</c:v>
                </c:pt>
                <c:pt idx="12">
                  <c:v>0.21199999999999999</c:v>
                </c:pt>
                <c:pt idx="13">
                  <c:v>0.15</c:v>
                </c:pt>
                <c:pt idx="14">
                  <c:v>6.3E-2</c:v>
                </c:pt>
              </c:numCache>
            </c:numRef>
          </c:xVal>
          <c:yVal>
            <c:numRef>
              <c:f>Sheet1!$E$4:$E$18</c:f>
              <c:numCache>
                <c:formatCode>General</c:formatCode>
                <c:ptCount val="15"/>
                <c:pt idx="0">
                  <c:v>100</c:v>
                </c:pt>
                <c:pt idx="1">
                  <c:v>100</c:v>
                </c:pt>
                <c:pt idx="2">
                  <c:v>100</c:v>
                </c:pt>
                <c:pt idx="3">
                  <c:v>90.4</c:v>
                </c:pt>
                <c:pt idx="4">
                  <c:v>79.44</c:v>
                </c:pt>
                <c:pt idx="5">
                  <c:v>68</c:v>
                </c:pt>
                <c:pt idx="6">
                  <c:v>59.6</c:v>
                </c:pt>
                <c:pt idx="7">
                  <c:v>56</c:v>
                </c:pt>
                <c:pt idx="8">
                  <c:v>45.6</c:v>
                </c:pt>
                <c:pt idx="9">
                  <c:v>40.56</c:v>
                </c:pt>
                <c:pt idx="10">
                  <c:v>32.159999999999997</c:v>
                </c:pt>
                <c:pt idx="11">
                  <c:v>24</c:v>
                </c:pt>
                <c:pt idx="12">
                  <c:v>15.28</c:v>
                </c:pt>
                <c:pt idx="13">
                  <c:v>7.44</c:v>
                </c:pt>
                <c:pt idx="14">
                  <c:v>3.04</c:v>
                </c:pt>
              </c:numCache>
            </c:numRef>
          </c:yVal>
          <c:smooth val="1"/>
          <c:extLst>
            <c:ext xmlns:c16="http://schemas.microsoft.com/office/drawing/2014/chart" uri="{C3380CC4-5D6E-409C-BE32-E72D297353CC}">
              <c16:uniqueId val="{00000000-7148-4A53-8E91-0ED8AE19C85B}"/>
            </c:ext>
          </c:extLst>
        </c:ser>
        <c:dLbls>
          <c:showLegendKey val="0"/>
          <c:showVal val="0"/>
          <c:showCatName val="0"/>
          <c:showSerName val="0"/>
          <c:showPercent val="0"/>
          <c:showBubbleSize val="0"/>
        </c:dLbls>
        <c:axId val="1360389391"/>
        <c:axId val="1360388431"/>
      </c:scatterChart>
      <c:valAx>
        <c:axId val="1360389391"/>
        <c:scaling>
          <c:logBase val="10"/>
          <c:orientation val="maxMin"/>
          <c:max val="125"/>
          <c:min val="6.3000000000000014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Particle Size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0388431"/>
        <c:crosses val="autoZero"/>
        <c:crossBetween val="midCat"/>
      </c:valAx>
      <c:valAx>
        <c:axId val="1360388431"/>
        <c:scaling>
          <c:orientation val="minMax"/>
          <c:max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Percentage Passing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0389391"/>
        <c:crosses val="max"/>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Jacob Penhale - 2517757</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3109</Words>
  <Characters>17723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Materials</dc:title>
  <dc:subject>Burj Khalifa</dc:subject>
  <dc:creator>Un-named</dc:creator>
  <cp:lastModifiedBy>Rhodri Thomas</cp:lastModifiedBy>
  <cp:revision>4</cp:revision>
  <dcterms:created xsi:type="dcterms:W3CDTF">2026-03-26T18:31:00Z</dcterms:created>
  <dcterms:modified xsi:type="dcterms:W3CDTF">2026-03-26T18:32:00Z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cf3a8890-fef5-4aeb-ad84-50b30a160a5f</vt:lpwstr>
  </property>
</Properties>
</file>