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08AC2" w14:textId="77777777" w:rsidR="00E94D28" w:rsidRDefault="00E94D28" w:rsidP="00E94D28">
      <w:pPr>
        <w:rPr>
          <w:sz w:val="28"/>
          <w:szCs w:val="28"/>
        </w:rPr>
      </w:pPr>
    </w:p>
    <w:p w14:paraId="3427EFF8" w14:textId="77777777" w:rsidR="00E94D28" w:rsidRPr="00C02EE4" w:rsidRDefault="00E94D28" w:rsidP="00C02EE4">
      <w:pPr>
        <w:pStyle w:val="Title"/>
        <w:spacing w:line="360" w:lineRule="auto"/>
        <w:jc w:val="center"/>
        <w:rPr>
          <w:rFonts w:ascii="Arial" w:hAnsi="Arial" w:cs="Arial"/>
          <w:bCs/>
          <w:color w:val="000000" w:themeColor="text1"/>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2EE4">
        <w:rPr>
          <w:rFonts w:ascii="Arial" w:hAnsi="Arial" w:cs="Arial"/>
          <w:bCs/>
          <w:color w:val="000000" w:themeColor="text1"/>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title of the report:</w:t>
      </w:r>
    </w:p>
    <w:p w14:paraId="7B2DDF79" w14:textId="77777777" w:rsidR="00E94D28" w:rsidRPr="00C02EE4" w:rsidRDefault="00E94D28" w:rsidP="00C02EE4">
      <w:pPr>
        <w:pStyle w:val="Title"/>
        <w:spacing w:line="360" w:lineRule="auto"/>
        <w:jc w:val="center"/>
        <w:rPr>
          <w:rFonts w:ascii="Arial" w:hAnsi="Arial" w:cs="Arial"/>
          <w:bCs/>
          <w:color w:val="000000" w:themeColor="text1"/>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2EE4">
        <w:rPr>
          <w:rFonts w:ascii="Arial" w:hAnsi="Arial" w:cs="Arial"/>
          <w:bCs/>
          <w:color w:val="000000" w:themeColor="text1"/>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Future of hospitality to be green</w:t>
      </w:r>
    </w:p>
    <w:p w14:paraId="29E311C1" w14:textId="4B6156C2" w:rsidR="00E94D28" w:rsidRPr="00C02EE4" w:rsidRDefault="00E94D28" w:rsidP="00C02EE4">
      <w:pPr>
        <w:pStyle w:val="Title"/>
        <w:spacing w:line="360" w:lineRule="auto"/>
        <w:jc w:val="center"/>
        <w:rPr>
          <w:rFonts w:ascii="Arial" w:hAnsi="Arial" w:cs="Arial"/>
          <w:bCs/>
          <w:color w:val="000000" w:themeColor="text1"/>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2EE4">
        <w:rPr>
          <w:rFonts w:ascii="Arial" w:hAnsi="Arial" w:cs="Arial"/>
          <w:bCs/>
          <w:color w:val="000000" w:themeColor="text1"/>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module title and number:</w:t>
      </w:r>
      <w:r w:rsidR="00C02EE4">
        <w:rPr>
          <w:rFonts w:ascii="Arial" w:hAnsi="Arial" w:cs="Arial"/>
          <w:bCs/>
          <w:color w:val="000000" w:themeColor="text1"/>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02EE4">
        <w:rPr>
          <w:rFonts w:ascii="Arial" w:hAnsi="Arial" w:cs="Arial"/>
          <w:bCs/>
          <w:color w:val="000000" w:themeColor="text1"/>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Sustainable Hospitality and tourism</w:t>
      </w:r>
    </w:p>
    <w:p w14:paraId="072CE911" w14:textId="77777777" w:rsidR="00E94D28" w:rsidRPr="00C02EE4" w:rsidRDefault="00E94D28" w:rsidP="00C02EE4">
      <w:pPr>
        <w:pStyle w:val="Title"/>
        <w:spacing w:line="360" w:lineRule="auto"/>
        <w:jc w:val="center"/>
        <w:rPr>
          <w:rFonts w:ascii="Arial" w:hAnsi="Arial" w:cs="Arial"/>
          <w:bCs/>
          <w:color w:val="000000" w:themeColor="text1"/>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2EE4">
        <w:rPr>
          <w:rFonts w:ascii="Arial" w:hAnsi="Arial" w:cs="Arial"/>
          <w:bCs/>
          <w:color w:val="000000" w:themeColor="text1"/>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 (BMIH5006)</w:t>
      </w:r>
    </w:p>
    <w:p w14:paraId="60F5DD62" w14:textId="77777777" w:rsidR="00E94D28" w:rsidRPr="00C02EE4" w:rsidRDefault="00E94D28" w:rsidP="00C02EE4">
      <w:pPr>
        <w:pStyle w:val="Title"/>
        <w:spacing w:line="360" w:lineRule="auto"/>
        <w:jc w:val="center"/>
        <w:rPr>
          <w:rFonts w:ascii="Arial" w:hAnsi="Arial" w:cs="Arial"/>
          <w:bCs/>
          <w:color w:val="000000" w:themeColor="text1"/>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2EE4">
        <w:rPr>
          <w:rFonts w:ascii="Arial" w:hAnsi="Arial" w:cs="Arial"/>
          <w:bCs/>
          <w:color w:val="000000" w:themeColor="text1"/>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Saima Aamir</w:t>
      </w:r>
    </w:p>
    <w:p w14:paraId="533AD8E2" w14:textId="77777777" w:rsidR="00E94D28" w:rsidRPr="00C02EE4" w:rsidRDefault="00E94D28" w:rsidP="00C02EE4">
      <w:pPr>
        <w:pStyle w:val="Title"/>
        <w:spacing w:line="360" w:lineRule="auto"/>
        <w:jc w:val="center"/>
        <w:rPr>
          <w:rFonts w:ascii="Arial" w:hAnsi="Arial" w:cs="Arial"/>
          <w:bCs/>
          <w:color w:val="000000" w:themeColor="text1"/>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2EE4">
        <w:rPr>
          <w:rFonts w:ascii="Arial" w:hAnsi="Arial" w:cs="Arial"/>
          <w:bCs/>
          <w:color w:val="000000" w:themeColor="text1"/>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2117592</w:t>
      </w:r>
    </w:p>
    <w:p w14:paraId="139F3F9B" w14:textId="77777777" w:rsidR="00E94D28" w:rsidRPr="00C02EE4" w:rsidRDefault="00E94D28" w:rsidP="00C02EE4">
      <w:pPr>
        <w:pStyle w:val="Title"/>
        <w:spacing w:line="360" w:lineRule="auto"/>
        <w:jc w:val="center"/>
        <w:rPr>
          <w:rFonts w:ascii="Arial" w:hAnsi="Arial" w:cs="Arial"/>
          <w:b/>
          <w:bCs/>
          <w:sz w:val="52"/>
          <w:szCs w:val="52"/>
        </w:rPr>
      </w:pPr>
      <w:r w:rsidRPr="00C02EE4">
        <w:rPr>
          <w:rFonts w:ascii="Arial" w:hAnsi="Arial" w:cs="Arial"/>
          <w:bCs/>
          <w:color w:val="000000" w:themeColor="text1"/>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Kathryn Robarts</w:t>
      </w:r>
    </w:p>
    <w:p w14:paraId="5F57C731" w14:textId="77777777" w:rsidR="00E94D28" w:rsidRDefault="00E94D28" w:rsidP="00E94D28"/>
    <w:p w14:paraId="4581913F" w14:textId="77777777" w:rsidR="00E94D28" w:rsidRDefault="00E94D28" w:rsidP="00E94D28"/>
    <w:p w14:paraId="16ADEDB0" w14:textId="77777777" w:rsidR="00E94D28" w:rsidRDefault="00E94D28" w:rsidP="00E94D28"/>
    <w:p w14:paraId="29843D93" w14:textId="77777777" w:rsidR="00E94D28" w:rsidRDefault="00E94D28" w:rsidP="00E94D28"/>
    <w:p w14:paraId="513AF290" w14:textId="77777777" w:rsidR="00E94D28" w:rsidRDefault="00E94D28" w:rsidP="00E94D28"/>
    <w:p w14:paraId="5D786710" w14:textId="77777777" w:rsidR="00E94D28" w:rsidRDefault="00E94D28" w:rsidP="00E94D28"/>
    <w:p w14:paraId="6F16A81A" w14:textId="77777777" w:rsidR="00E94D28" w:rsidRDefault="00E94D28" w:rsidP="00E94D28"/>
    <w:p w14:paraId="533BDEBC" w14:textId="77777777" w:rsidR="00E94D28" w:rsidRDefault="00E94D28" w:rsidP="00E94D28"/>
    <w:p w14:paraId="3ADCC4B7" w14:textId="77777777" w:rsidR="00E94D28" w:rsidRDefault="00E94D28" w:rsidP="00E94D28"/>
    <w:p w14:paraId="427361F8" w14:textId="77777777" w:rsidR="00E94D28" w:rsidRDefault="00E94D28" w:rsidP="00E94D28"/>
    <w:p w14:paraId="5F82377D" w14:textId="77777777" w:rsidR="00E94D28" w:rsidRDefault="00E94D28" w:rsidP="00E94D28"/>
    <w:p w14:paraId="2197B2CB" w14:textId="77777777" w:rsidR="00E94D28" w:rsidRDefault="00E94D28" w:rsidP="00E94D28"/>
    <w:p w14:paraId="53B2DD4D" w14:textId="77777777" w:rsidR="00E94D28" w:rsidRDefault="00E94D28" w:rsidP="00E94D28"/>
    <w:p w14:paraId="0FE0BEB9" w14:textId="77777777" w:rsidR="00E94D28" w:rsidRDefault="00E94D28" w:rsidP="00E94D28"/>
    <w:p w14:paraId="3C017A53" w14:textId="77777777" w:rsidR="00E94D28" w:rsidRDefault="00E94D28" w:rsidP="00E94D28"/>
    <w:p w14:paraId="1FBEA80F" w14:textId="77777777" w:rsidR="00E94D28" w:rsidRDefault="00E94D28" w:rsidP="00E94D28"/>
    <w:p w14:paraId="7041FC1F" w14:textId="1BA51A91" w:rsidR="00E94D28" w:rsidRPr="00C02EE4" w:rsidRDefault="00E94D28" w:rsidP="00E94D28">
      <w:pPr>
        <w:pStyle w:val="TOCHeading"/>
        <w:spacing w:line="360" w:lineRule="auto"/>
        <w:rPr>
          <w:rFonts w:ascii="Arial" w:hAnsi="Arial" w:cs="Arial"/>
          <w:color w:val="2F5496" w:themeColor="accent1" w:themeShade="BF"/>
        </w:rPr>
      </w:pPr>
      <w:bookmarkStart w:id="0" w:name="_Toc149826547"/>
      <w:r w:rsidRPr="00C02EE4">
        <w:rPr>
          <w:rFonts w:ascii="Arial" w:hAnsi="Arial" w:cs="Arial"/>
          <w:color w:val="2F5496" w:themeColor="accent1" w:themeShade="BF"/>
          <w:sz w:val="40"/>
          <w:szCs w:val="40"/>
          <w14:shadow w14:blurRad="38036" w14:dist="25323" w14:dir="5400000" w14:sx="100000" w14:sy="100000" w14:kx="0" w14:ky="0" w14:algn="b">
            <w14:srgbClr w14:val="6E747A"/>
          </w14:shadow>
        </w:rPr>
        <w:lastRenderedPageBreak/>
        <w:t>Contents</w:t>
      </w:r>
      <w:bookmarkEnd w:id="0"/>
    </w:p>
    <w:p w14:paraId="2E7225B4" w14:textId="77777777" w:rsidR="00E94D28" w:rsidRPr="00C02EE4" w:rsidRDefault="00E94D28" w:rsidP="00E94D28">
      <w:pPr>
        <w:pStyle w:val="TOC1"/>
        <w:tabs>
          <w:tab w:val="right" w:leader="dot" w:pos="9016"/>
        </w:tabs>
        <w:rPr>
          <w:color w:val="2F5496" w:themeColor="accent1" w:themeShade="BF"/>
        </w:rPr>
      </w:pPr>
      <w:r w:rsidRPr="00C02EE4">
        <w:rPr>
          <w:rFonts w:ascii="Calibri Light" w:hAnsi="Calibri Light"/>
          <w:b w:val="0"/>
          <w:color w:val="2F5496" w:themeColor="accent1" w:themeShade="BF"/>
          <w:sz w:val="32"/>
          <w:szCs w:val="32"/>
        </w:rPr>
        <w:fldChar w:fldCharType="begin"/>
      </w:r>
      <w:r w:rsidRPr="00C02EE4">
        <w:rPr>
          <w:color w:val="2F5496" w:themeColor="accent1" w:themeShade="BF"/>
        </w:rPr>
        <w:instrText xml:space="preserve"> TOC \o "1-3" \u \h </w:instrText>
      </w:r>
      <w:r w:rsidRPr="00C02EE4">
        <w:rPr>
          <w:rFonts w:ascii="Calibri Light" w:hAnsi="Calibri Light"/>
          <w:b w:val="0"/>
          <w:color w:val="2F5496" w:themeColor="accent1" w:themeShade="BF"/>
          <w:sz w:val="32"/>
          <w:szCs w:val="32"/>
        </w:rPr>
        <w:fldChar w:fldCharType="separate"/>
      </w:r>
      <w:hyperlink w:anchor="_Toc149826547" w:history="1">
        <w:r w:rsidRPr="00C02EE4">
          <w:rPr>
            <w:rStyle w:val="Hyperlink"/>
            <w:rFonts w:eastAsia="Calibri"/>
            <w:color w:val="2F5496" w:themeColor="accent1" w:themeShade="BF"/>
            <w14:shadow w14:blurRad="38036" w14:dist="25323" w14:dir="5400000" w14:sx="100000" w14:sy="100000" w14:kx="0" w14:ky="0" w14:algn="b">
              <w14:srgbClr w14:val="6E747A"/>
            </w14:shadow>
          </w:rPr>
          <w:t>Table of Contents</w:t>
        </w:r>
        <w:r w:rsidRPr="00C02EE4">
          <w:rPr>
            <w:color w:val="2F5496" w:themeColor="accent1" w:themeShade="BF"/>
          </w:rPr>
          <w:tab/>
          <w:t>2</w:t>
        </w:r>
      </w:hyperlink>
    </w:p>
    <w:p w14:paraId="6C1D285B" w14:textId="77777777" w:rsidR="00E94D28" w:rsidRPr="00C02EE4" w:rsidRDefault="00000000" w:rsidP="00E94D28">
      <w:pPr>
        <w:pStyle w:val="TOC1"/>
        <w:tabs>
          <w:tab w:val="right" w:leader="dot" w:pos="9016"/>
        </w:tabs>
        <w:rPr>
          <w:color w:val="2F5496" w:themeColor="accent1" w:themeShade="BF"/>
        </w:rPr>
      </w:pPr>
      <w:hyperlink w:anchor="_Toc149826548" w:history="1">
        <w:r w:rsidR="00E94D28" w:rsidRPr="00C02EE4">
          <w:rPr>
            <w:rStyle w:val="Hyperlink"/>
            <w:rFonts w:eastAsia="Calibri"/>
            <w:color w:val="2F5496" w:themeColor="accent1" w:themeShade="BF"/>
          </w:rPr>
          <w:t>Executive Summary</w:t>
        </w:r>
        <w:r w:rsidR="00E94D28" w:rsidRPr="00C02EE4">
          <w:rPr>
            <w:color w:val="2F5496" w:themeColor="accent1" w:themeShade="BF"/>
          </w:rPr>
          <w:tab/>
          <w:t>2</w:t>
        </w:r>
      </w:hyperlink>
    </w:p>
    <w:p w14:paraId="35A20D37" w14:textId="77777777" w:rsidR="00E94D28" w:rsidRPr="00C02EE4" w:rsidRDefault="00000000" w:rsidP="00E94D28">
      <w:pPr>
        <w:pStyle w:val="TOC1"/>
        <w:tabs>
          <w:tab w:val="right" w:leader="dot" w:pos="9016"/>
        </w:tabs>
        <w:rPr>
          <w:color w:val="2F5496" w:themeColor="accent1" w:themeShade="BF"/>
        </w:rPr>
      </w:pPr>
      <w:hyperlink w:anchor="_Toc149826549" w:history="1">
        <w:r w:rsidR="00E94D28" w:rsidRPr="00C02EE4">
          <w:rPr>
            <w:rStyle w:val="Hyperlink"/>
            <w:rFonts w:eastAsia="Calibri"/>
            <w:color w:val="2F5496" w:themeColor="accent1" w:themeShade="BF"/>
          </w:rPr>
          <w:t>Introduction</w:t>
        </w:r>
        <w:r w:rsidR="00E94D28" w:rsidRPr="00C02EE4">
          <w:rPr>
            <w:color w:val="2F5496" w:themeColor="accent1" w:themeShade="BF"/>
          </w:rPr>
          <w:tab/>
          <w:t>3</w:t>
        </w:r>
      </w:hyperlink>
    </w:p>
    <w:p w14:paraId="24E1CF06" w14:textId="77777777" w:rsidR="00E94D28" w:rsidRPr="00C02EE4" w:rsidRDefault="00000000" w:rsidP="00E94D28">
      <w:pPr>
        <w:pStyle w:val="TOC1"/>
        <w:tabs>
          <w:tab w:val="right" w:leader="dot" w:pos="9016"/>
        </w:tabs>
        <w:rPr>
          <w:color w:val="2F5496" w:themeColor="accent1" w:themeShade="BF"/>
        </w:rPr>
      </w:pPr>
      <w:hyperlink w:anchor="_Toc149826550" w:history="1">
        <w:r w:rsidR="00E94D28" w:rsidRPr="00C02EE4">
          <w:rPr>
            <w:rStyle w:val="Hyperlink"/>
            <w:rFonts w:eastAsia="Calibri"/>
            <w:color w:val="2F5496" w:themeColor="accent1" w:themeShade="BF"/>
          </w:rPr>
          <w:t>Relevance of Profit-Centric Philosophy Today</w:t>
        </w:r>
        <w:r w:rsidR="00E94D28" w:rsidRPr="00C02EE4">
          <w:rPr>
            <w:color w:val="2F5496" w:themeColor="accent1" w:themeShade="BF"/>
          </w:rPr>
          <w:tab/>
          <w:t>4</w:t>
        </w:r>
      </w:hyperlink>
    </w:p>
    <w:p w14:paraId="05CFDD12" w14:textId="77777777" w:rsidR="00E94D28" w:rsidRPr="00C02EE4" w:rsidRDefault="00000000" w:rsidP="00E94D28">
      <w:pPr>
        <w:pStyle w:val="TOC2"/>
        <w:tabs>
          <w:tab w:val="right" w:leader="dot" w:pos="9016"/>
        </w:tabs>
        <w:rPr>
          <w:color w:val="2F5496" w:themeColor="accent1" w:themeShade="BF"/>
        </w:rPr>
      </w:pPr>
      <w:hyperlink w:anchor="_Toc149826551" w:history="1">
        <w:r w:rsidR="00E94D28" w:rsidRPr="00C02EE4">
          <w:rPr>
            <w:rStyle w:val="Hyperlink"/>
            <w:rFonts w:eastAsia="Calibri"/>
            <w:color w:val="2F5496" w:themeColor="accent1" w:themeShade="BF"/>
          </w:rPr>
          <w:t>3.1 The Legacy of Milton Friedman</w:t>
        </w:r>
        <w:r w:rsidR="00E94D28" w:rsidRPr="00C02EE4">
          <w:rPr>
            <w:color w:val="2F5496" w:themeColor="accent1" w:themeShade="BF"/>
          </w:rPr>
          <w:tab/>
          <w:t>4</w:t>
        </w:r>
      </w:hyperlink>
    </w:p>
    <w:p w14:paraId="12609E62" w14:textId="77777777" w:rsidR="00E94D28" w:rsidRPr="00C02EE4" w:rsidRDefault="00000000" w:rsidP="00E94D28">
      <w:pPr>
        <w:pStyle w:val="TOC2"/>
        <w:tabs>
          <w:tab w:val="right" w:leader="dot" w:pos="9016"/>
        </w:tabs>
        <w:rPr>
          <w:color w:val="2F5496" w:themeColor="accent1" w:themeShade="BF"/>
        </w:rPr>
      </w:pPr>
      <w:hyperlink w:anchor="_Toc149826552" w:history="1">
        <w:r w:rsidR="00E94D28" w:rsidRPr="00C02EE4">
          <w:rPr>
            <w:rStyle w:val="Hyperlink"/>
            <w:rFonts w:eastAsia="Calibri"/>
            <w:color w:val="2F5496" w:themeColor="accent1" w:themeShade="BF"/>
          </w:rPr>
          <w:t>3.2 Modern Perspectives</w:t>
        </w:r>
        <w:r w:rsidR="00E94D28" w:rsidRPr="00C02EE4">
          <w:rPr>
            <w:color w:val="2F5496" w:themeColor="accent1" w:themeShade="BF"/>
          </w:rPr>
          <w:tab/>
          <w:t>4</w:t>
        </w:r>
      </w:hyperlink>
    </w:p>
    <w:p w14:paraId="1FA8DAD6" w14:textId="77777777" w:rsidR="00E94D28" w:rsidRPr="00C02EE4" w:rsidRDefault="00000000" w:rsidP="00E94D28">
      <w:pPr>
        <w:pStyle w:val="TOC1"/>
        <w:tabs>
          <w:tab w:val="right" w:leader="dot" w:pos="9016"/>
        </w:tabs>
        <w:rPr>
          <w:color w:val="2F5496" w:themeColor="accent1" w:themeShade="BF"/>
        </w:rPr>
      </w:pPr>
      <w:hyperlink w:anchor="_Toc149826553" w:history="1">
        <w:r w:rsidR="00E94D28" w:rsidRPr="00C02EE4">
          <w:rPr>
            <w:rStyle w:val="Hyperlink"/>
            <w:rFonts w:eastAsia="Calibri"/>
            <w:color w:val="2F5496" w:themeColor="accent1" w:themeShade="BF"/>
          </w:rPr>
          <w:t>Balancing Financial Imperatives with Sustainability</w:t>
        </w:r>
        <w:r w:rsidR="00E94D28" w:rsidRPr="00C02EE4">
          <w:rPr>
            <w:color w:val="2F5496" w:themeColor="accent1" w:themeShade="BF"/>
          </w:rPr>
          <w:tab/>
          <w:t>5</w:t>
        </w:r>
      </w:hyperlink>
    </w:p>
    <w:p w14:paraId="2BE0174A" w14:textId="77777777" w:rsidR="00E94D28" w:rsidRPr="00C02EE4" w:rsidRDefault="00000000" w:rsidP="00E94D28">
      <w:pPr>
        <w:pStyle w:val="TOC2"/>
        <w:tabs>
          <w:tab w:val="right" w:leader="dot" w:pos="9016"/>
        </w:tabs>
        <w:rPr>
          <w:color w:val="2F5496" w:themeColor="accent1" w:themeShade="BF"/>
        </w:rPr>
      </w:pPr>
      <w:hyperlink w:anchor="_Toc149826554" w:history="1">
        <w:r w:rsidR="00E94D28" w:rsidRPr="00C02EE4">
          <w:rPr>
            <w:rStyle w:val="Hyperlink"/>
            <w:rFonts w:eastAsia="Calibri"/>
            <w:color w:val="2F5496" w:themeColor="accent1" w:themeShade="BF"/>
          </w:rPr>
          <w:t>4.1 The Triple Bottom Line Framework</w:t>
        </w:r>
        <w:r w:rsidR="00E94D28" w:rsidRPr="00C02EE4">
          <w:rPr>
            <w:color w:val="2F5496" w:themeColor="accent1" w:themeShade="BF"/>
          </w:rPr>
          <w:tab/>
          <w:t>5</w:t>
        </w:r>
      </w:hyperlink>
    </w:p>
    <w:p w14:paraId="4EEA39AA" w14:textId="77777777" w:rsidR="00E94D28" w:rsidRPr="00C02EE4" w:rsidRDefault="00000000" w:rsidP="00E94D28">
      <w:pPr>
        <w:pStyle w:val="TOC2"/>
        <w:tabs>
          <w:tab w:val="right" w:leader="dot" w:pos="9016"/>
        </w:tabs>
        <w:rPr>
          <w:color w:val="2F5496" w:themeColor="accent1" w:themeShade="BF"/>
        </w:rPr>
      </w:pPr>
      <w:hyperlink w:anchor="_Toc149826555" w:history="1">
        <w:r w:rsidR="00E94D28" w:rsidRPr="00C02EE4">
          <w:rPr>
            <w:rStyle w:val="Hyperlink"/>
            <w:rFonts w:eastAsia="Calibri"/>
            <w:color w:val="2F5496" w:themeColor="accent1" w:themeShade="BF"/>
          </w:rPr>
          <w:t>4.2 Doxey’s Irridex Model and Butler’s Life Cycle Model</w:t>
        </w:r>
        <w:r w:rsidR="00E94D28" w:rsidRPr="00C02EE4">
          <w:rPr>
            <w:color w:val="2F5496" w:themeColor="accent1" w:themeShade="BF"/>
          </w:rPr>
          <w:tab/>
          <w:t>5</w:t>
        </w:r>
      </w:hyperlink>
    </w:p>
    <w:p w14:paraId="0AB3090D" w14:textId="77777777" w:rsidR="00E94D28" w:rsidRPr="00C02EE4" w:rsidRDefault="00000000" w:rsidP="00E94D28">
      <w:pPr>
        <w:pStyle w:val="TOC2"/>
        <w:tabs>
          <w:tab w:val="right" w:leader="dot" w:pos="9016"/>
        </w:tabs>
        <w:rPr>
          <w:color w:val="2F5496" w:themeColor="accent1" w:themeShade="BF"/>
        </w:rPr>
      </w:pPr>
      <w:hyperlink w:anchor="_Toc149826556" w:history="1">
        <w:r w:rsidR="00E94D28" w:rsidRPr="00C02EE4">
          <w:rPr>
            <w:rStyle w:val="Hyperlink"/>
            <w:rFonts w:eastAsia="Calibri"/>
            <w:color w:val="2F5496" w:themeColor="accent1" w:themeShade="BF"/>
          </w:rPr>
          <w:t>4.3 Implications for Destination Management</w:t>
        </w:r>
        <w:r w:rsidR="00E94D28" w:rsidRPr="00C02EE4">
          <w:rPr>
            <w:color w:val="2F5496" w:themeColor="accent1" w:themeShade="BF"/>
          </w:rPr>
          <w:tab/>
          <w:t>6</w:t>
        </w:r>
      </w:hyperlink>
    </w:p>
    <w:p w14:paraId="116EE67B" w14:textId="77777777" w:rsidR="00E94D28" w:rsidRPr="00C02EE4" w:rsidRDefault="00000000" w:rsidP="00E94D28">
      <w:pPr>
        <w:pStyle w:val="TOC1"/>
        <w:tabs>
          <w:tab w:val="right" w:leader="dot" w:pos="9016"/>
        </w:tabs>
        <w:rPr>
          <w:color w:val="2F5496" w:themeColor="accent1" w:themeShade="BF"/>
        </w:rPr>
      </w:pPr>
      <w:hyperlink w:anchor="_Toc149826557" w:history="1">
        <w:r w:rsidR="00E94D28" w:rsidRPr="00C02EE4">
          <w:rPr>
            <w:rStyle w:val="Hyperlink"/>
            <w:rFonts w:eastAsia="Calibri"/>
            <w:color w:val="2F5496" w:themeColor="accent1" w:themeShade="BF"/>
          </w:rPr>
          <w:t>Consumer-Driven Sustainability Vs. Corporate Responsibility</w:t>
        </w:r>
        <w:r w:rsidR="00E94D28" w:rsidRPr="00C02EE4">
          <w:rPr>
            <w:color w:val="2F5496" w:themeColor="accent1" w:themeShade="BF"/>
          </w:rPr>
          <w:tab/>
          <w:t>6</w:t>
        </w:r>
      </w:hyperlink>
    </w:p>
    <w:p w14:paraId="668CBD58" w14:textId="77777777" w:rsidR="00E94D28" w:rsidRPr="00C02EE4" w:rsidRDefault="00000000" w:rsidP="00E94D28">
      <w:pPr>
        <w:pStyle w:val="TOC2"/>
        <w:tabs>
          <w:tab w:val="right" w:leader="dot" w:pos="9016"/>
        </w:tabs>
        <w:rPr>
          <w:color w:val="2F5496" w:themeColor="accent1" w:themeShade="BF"/>
        </w:rPr>
      </w:pPr>
      <w:hyperlink w:anchor="_Toc149826558" w:history="1">
        <w:r w:rsidR="00E94D28" w:rsidRPr="00C02EE4">
          <w:rPr>
            <w:rStyle w:val="Hyperlink"/>
            <w:rFonts w:eastAsia="Calibri"/>
            <w:color w:val="2F5496" w:themeColor="accent1" w:themeShade="BF"/>
          </w:rPr>
          <w:t>5.1 Evolving Consumer Preferences</w:t>
        </w:r>
        <w:r w:rsidR="00E94D28" w:rsidRPr="00C02EE4">
          <w:rPr>
            <w:color w:val="2F5496" w:themeColor="accent1" w:themeShade="BF"/>
          </w:rPr>
          <w:tab/>
          <w:t>6</w:t>
        </w:r>
      </w:hyperlink>
    </w:p>
    <w:p w14:paraId="4048CFCE" w14:textId="77777777" w:rsidR="00E94D28" w:rsidRPr="00C02EE4" w:rsidRDefault="00000000" w:rsidP="00E94D28">
      <w:pPr>
        <w:pStyle w:val="TOC2"/>
        <w:tabs>
          <w:tab w:val="right" w:leader="dot" w:pos="9016"/>
        </w:tabs>
        <w:rPr>
          <w:color w:val="2F5496" w:themeColor="accent1" w:themeShade="BF"/>
        </w:rPr>
      </w:pPr>
      <w:hyperlink w:anchor="_Toc149826559" w:history="1">
        <w:r w:rsidR="00E94D28" w:rsidRPr="00C02EE4">
          <w:rPr>
            <w:rStyle w:val="Hyperlink"/>
            <w:rFonts w:eastAsia="Calibri"/>
            <w:color w:val="2F5496" w:themeColor="accent1" w:themeShade="BF"/>
          </w:rPr>
          <w:t>5.2 Greenwashing: A Critical Examination</w:t>
        </w:r>
        <w:r w:rsidR="00E94D28" w:rsidRPr="00C02EE4">
          <w:rPr>
            <w:color w:val="2F5496" w:themeColor="accent1" w:themeShade="BF"/>
          </w:rPr>
          <w:tab/>
          <w:t>6</w:t>
        </w:r>
      </w:hyperlink>
    </w:p>
    <w:p w14:paraId="4458EED2" w14:textId="77777777" w:rsidR="00E94D28" w:rsidRPr="00C02EE4" w:rsidRDefault="00000000" w:rsidP="00E94D28">
      <w:pPr>
        <w:pStyle w:val="TOC2"/>
        <w:tabs>
          <w:tab w:val="right" w:leader="dot" w:pos="9016"/>
        </w:tabs>
        <w:rPr>
          <w:color w:val="2F5496" w:themeColor="accent1" w:themeShade="BF"/>
        </w:rPr>
      </w:pPr>
      <w:hyperlink w:anchor="_Toc149826560" w:history="1">
        <w:r w:rsidR="00E94D28" w:rsidRPr="00C02EE4">
          <w:rPr>
            <w:rStyle w:val="Hyperlink"/>
            <w:rFonts w:eastAsia="Calibri"/>
            <w:color w:val="2F5496" w:themeColor="accent1" w:themeShade="BF"/>
          </w:rPr>
          <w:t>5.3 Corporate Social Responsibility in Hotel</w:t>
        </w:r>
        <w:r w:rsidR="00E94D28" w:rsidRPr="00C02EE4">
          <w:rPr>
            <w:color w:val="2F5496" w:themeColor="accent1" w:themeShade="BF"/>
          </w:rPr>
          <w:tab/>
          <w:t>6</w:t>
        </w:r>
      </w:hyperlink>
    </w:p>
    <w:p w14:paraId="22CED817" w14:textId="77777777" w:rsidR="00E94D28" w:rsidRPr="00C02EE4" w:rsidRDefault="00000000" w:rsidP="00E94D28">
      <w:pPr>
        <w:pStyle w:val="TOC1"/>
        <w:tabs>
          <w:tab w:val="right" w:leader="dot" w:pos="9016"/>
        </w:tabs>
        <w:rPr>
          <w:color w:val="2F5496" w:themeColor="accent1" w:themeShade="BF"/>
        </w:rPr>
      </w:pPr>
      <w:hyperlink w:anchor="_Toc149826561" w:history="1">
        <w:r w:rsidR="00E94D28" w:rsidRPr="00C02EE4">
          <w:rPr>
            <w:rStyle w:val="Hyperlink"/>
            <w:rFonts w:eastAsia="Calibri"/>
            <w:color w:val="2F5496" w:themeColor="accent1" w:themeShade="BF"/>
          </w:rPr>
          <w:t>Is a Truly Green Hospitality Industry Achievable?</w:t>
        </w:r>
        <w:r w:rsidR="00E94D28" w:rsidRPr="00C02EE4">
          <w:rPr>
            <w:color w:val="2F5496" w:themeColor="accent1" w:themeShade="BF"/>
          </w:rPr>
          <w:tab/>
          <w:t>7</w:t>
        </w:r>
      </w:hyperlink>
    </w:p>
    <w:p w14:paraId="7444B01C" w14:textId="77777777" w:rsidR="00E94D28" w:rsidRPr="00C02EE4" w:rsidRDefault="00000000" w:rsidP="00E94D28">
      <w:pPr>
        <w:pStyle w:val="TOC2"/>
        <w:tabs>
          <w:tab w:val="right" w:leader="dot" w:pos="9016"/>
        </w:tabs>
        <w:rPr>
          <w:color w:val="2F5496" w:themeColor="accent1" w:themeShade="BF"/>
        </w:rPr>
      </w:pPr>
      <w:hyperlink w:anchor="_Toc149826562" w:history="1">
        <w:r w:rsidR="00E94D28" w:rsidRPr="00C02EE4">
          <w:rPr>
            <w:rStyle w:val="Hyperlink"/>
            <w:rFonts w:eastAsia="Calibri"/>
            <w:color w:val="2F5496" w:themeColor="accent1" w:themeShade="BF"/>
          </w:rPr>
          <w:t>6.1 Analyzing the UK Energy Landscape</w:t>
        </w:r>
        <w:r w:rsidR="00E94D28" w:rsidRPr="00C02EE4">
          <w:rPr>
            <w:color w:val="2F5496" w:themeColor="accent1" w:themeShade="BF"/>
          </w:rPr>
          <w:tab/>
          <w:t>7</w:t>
        </w:r>
      </w:hyperlink>
    </w:p>
    <w:p w14:paraId="0A252680" w14:textId="77777777" w:rsidR="00E94D28" w:rsidRPr="00C02EE4" w:rsidRDefault="00000000" w:rsidP="00E94D28">
      <w:pPr>
        <w:pStyle w:val="TOC2"/>
        <w:tabs>
          <w:tab w:val="right" w:leader="dot" w:pos="9016"/>
        </w:tabs>
        <w:rPr>
          <w:color w:val="2F5496" w:themeColor="accent1" w:themeShade="BF"/>
        </w:rPr>
      </w:pPr>
      <w:hyperlink w:anchor="_Toc149826563" w:history="1">
        <w:r w:rsidR="00E94D28" w:rsidRPr="00C02EE4">
          <w:rPr>
            <w:rStyle w:val="Hyperlink"/>
            <w:rFonts w:eastAsia="Calibri"/>
            <w:color w:val="2F5496" w:themeColor="accent1" w:themeShade="BF"/>
          </w:rPr>
          <w:t>6.2 Operational Efficiencies and Challenges</w:t>
        </w:r>
        <w:r w:rsidR="00E94D28" w:rsidRPr="00C02EE4">
          <w:rPr>
            <w:color w:val="2F5496" w:themeColor="accent1" w:themeShade="BF"/>
          </w:rPr>
          <w:tab/>
          <w:t>7</w:t>
        </w:r>
      </w:hyperlink>
    </w:p>
    <w:p w14:paraId="4E42A795" w14:textId="77777777" w:rsidR="00E94D28" w:rsidRPr="00C02EE4" w:rsidRDefault="00000000" w:rsidP="00E94D28">
      <w:pPr>
        <w:pStyle w:val="TOC1"/>
        <w:tabs>
          <w:tab w:val="right" w:leader="dot" w:pos="9016"/>
        </w:tabs>
        <w:rPr>
          <w:color w:val="2F5496" w:themeColor="accent1" w:themeShade="BF"/>
        </w:rPr>
      </w:pPr>
      <w:hyperlink w:anchor="_Toc149826564" w:history="1">
        <w:r w:rsidR="00E94D28" w:rsidRPr="00C02EE4">
          <w:rPr>
            <w:rStyle w:val="Hyperlink"/>
            <w:rFonts w:eastAsia="Calibri"/>
            <w:color w:val="2F5496" w:themeColor="accent1" w:themeShade="BF"/>
          </w:rPr>
          <w:t>Financial Resilience as the Bedrock of Sustainability</w:t>
        </w:r>
        <w:r w:rsidR="00E94D28" w:rsidRPr="00C02EE4">
          <w:rPr>
            <w:color w:val="2F5496" w:themeColor="accent1" w:themeShade="BF"/>
          </w:rPr>
          <w:tab/>
          <w:t>7</w:t>
        </w:r>
      </w:hyperlink>
    </w:p>
    <w:p w14:paraId="6E23E9F9" w14:textId="77777777" w:rsidR="00E94D28" w:rsidRPr="00C02EE4" w:rsidRDefault="00000000" w:rsidP="00E94D28">
      <w:pPr>
        <w:pStyle w:val="TOC2"/>
        <w:tabs>
          <w:tab w:val="right" w:leader="dot" w:pos="9016"/>
        </w:tabs>
        <w:rPr>
          <w:color w:val="2F5496" w:themeColor="accent1" w:themeShade="BF"/>
        </w:rPr>
      </w:pPr>
      <w:hyperlink w:anchor="_Toc149826565" w:history="1">
        <w:r w:rsidR="00E94D28" w:rsidRPr="00C02EE4">
          <w:rPr>
            <w:rStyle w:val="Hyperlink"/>
            <w:rFonts w:eastAsia="Calibri"/>
            <w:color w:val="2F5496" w:themeColor="accent1" w:themeShade="BF"/>
          </w:rPr>
          <w:t>7.1 The Importance of Financial Planning in sustainability</w:t>
        </w:r>
        <w:r w:rsidR="00E94D28" w:rsidRPr="00C02EE4">
          <w:rPr>
            <w:color w:val="2F5496" w:themeColor="accent1" w:themeShade="BF"/>
          </w:rPr>
          <w:tab/>
          <w:t>7</w:t>
        </w:r>
      </w:hyperlink>
    </w:p>
    <w:p w14:paraId="72D3F668" w14:textId="77777777" w:rsidR="00E94D28" w:rsidRPr="00C02EE4" w:rsidRDefault="00000000" w:rsidP="00E94D28">
      <w:pPr>
        <w:pStyle w:val="TOC2"/>
        <w:tabs>
          <w:tab w:val="right" w:leader="dot" w:pos="9016"/>
        </w:tabs>
        <w:rPr>
          <w:color w:val="2F5496" w:themeColor="accent1" w:themeShade="BF"/>
        </w:rPr>
      </w:pPr>
      <w:hyperlink w:anchor="_Toc149826566" w:history="1">
        <w:r w:rsidR="00E94D28" w:rsidRPr="00C02EE4">
          <w:rPr>
            <w:rStyle w:val="Hyperlink"/>
            <w:rFonts w:eastAsia="Calibri"/>
            <w:color w:val="2F5496" w:themeColor="accent1" w:themeShade="BF"/>
          </w:rPr>
          <w:t>7.2 Case Studies and Industry Examples</w:t>
        </w:r>
        <w:r w:rsidR="00E94D28" w:rsidRPr="00C02EE4">
          <w:rPr>
            <w:color w:val="2F5496" w:themeColor="accent1" w:themeShade="BF"/>
          </w:rPr>
          <w:tab/>
          <w:t>8</w:t>
        </w:r>
      </w:hyperlink>
    </w:p>
    <w:p w14:paraId="48A0E4D9" w14:textId="77777777" w:rsidR="00E94D28" w:rsidRPr="00C02EE4" w:rsidRDefault="00000000" w:rsidP="00E94D28">
      <w:pPr>
        <w:pStyle w:val="TOC1"/>
        <w:tabs>
          <w:tab w:val="right" w:leader="dot" w:pos="9016"/>
        </w:tabs>
        <w:rPr>
          <w:color w:val="2F5496" w:themeColor="accent1" w:themeShade="BF"/>
        </w:rPr>
      </w:pPr>
      <w:hyperlink w:anchor="_Toc149826567" w:history="1">
        <w:r w:rsidR="00E94D28" w:rsidRPr="00C02EE4">
          <w:rPr>
            <w:rStyle w:val="Hyperlink"/>
            <w:rFonts w:eastAsia="Calibri"/>
            <w:color w:val="2F5496" w:themeColor="accent1" w:themeShade="BF"/>
          </w:rPr>
          <w:t>Recommendations:</w:t>
        </w:r>
        <w:r w:rsidR="00E94D28" w:rsidRPr="00C02EE4">
          <w:rPr>
            <w:color w:val="2F5496" w:themeColor="accent1" w:themeShade="BF"/>
          </w:rPr>
          <w:tab/>
          <w:t>9</w:t>
        </w:r>
      </w:hyperlink>
    </w:p>
    <w:p w14:paraId="5F78366A" w14:textId="77777777" w:rsidR="00E94D28" w:rsidRPr="00C02EE4" w:rsidRDefault="00000000" w:rsidP="00E94D28">
      <w:pPr>
        <w:pStyle w:val="TOC1"/>
        <w:tabs>
          <w:tab w:val="right" w:leader="dot" w:pos="9016"/>
        </w:tabs>
        <w:rPr>
          <w:color w:val="2F5496" w:themeColor="accent1" w:themeShade="BF"/>
        </w:rPr>
      </w:pPr>
      <w:hyperlink w:anchor="_Toc149826568" w:history="1">
        <w:r w:rsidR="00E94D28" w:rsidRPr="00C02EE4">
          <w:rPr>
            <w:rStyle w:val="Hyperlink"/>
            <w:rFonts w:eastAsia="Calibri"/>
            <w:color w:val="2F5496" w:themeColor="accent1" w:themeShade="BF"/>
          </w:rPr>
          <w:t>Conclusion:</w:t>
        </w:r>
        <w:r w:rsidR="00E94D28" w:rsidRPr="00C02EE4">
          <w:rPr>
            <w:color w:val="2F5496" w:themeColor="accent1" w:themeShade="BF"/>
          </w:rPr>
          <w:tab/>
          <w:t>11</w:t>
        </w:r>
      </w:hyperlink>
    </w:p>
    <w:p w14:paraId="21CC7BB1" w14:textId="77777777" w:rsidR="00E94D28" w:rsidRPr="00C02EE4" w:rsidRDefault="00000000" w:rsidP="00E94D28">
      <w:pPr>
        <w:pStyle w:val="TOC1"/>
        <w:tabs>
          <w:tab w:val="right" w:leader="dot" w:pos="9016"/>
        </w:tabs>
        <w:rPr>
          <w:color w:val="2F5496" w:themeColor="accent1" w:themeShade="BF"/>
        </w:rPr>
      </w:pPr>
      <w:hyperlink w:anchor="_Toc149826569" w:history="1">
        <w:r w:rsidR="00E94D28" w:rsidRPr="00C02EE4">
          <w:rPr>
            <w:rStyle w:val="Hyperlink"/>
            <w:rFonts w:eastAsia="Calibri"/>
            <w:color w:val="2F5496" w:themeColor="accent1" w:themeShade="BF"/>
          </w:rPr>
          <w:t>References:</w:t>
        </w:r>
        <w:r w:rsidR="00E94D28" w:rsidRPr="00C02EE4">
          <w:rPr>
            <w:color w:val="2F5496" w:themeColor="accent1" w:themeShade="BF"/>
          </w:rPr>
          <w:tab/>
          <w:t>12</w:t>
        </w:r>
      </w:hyperlink>
    </w:p>
    <w:p w14:paraId="3CB20074" w14:textId="77777777" w:rsidR="00E94D28" w:rsidRPr="00C02EE4" w:rsidRDefault="00E94D28" w:rsidP="00E94D28">
      <w:pPr>
        <w:spacing w:line="360" w:lineRule="auto"/>
        <w:rPr>
          <w:color w:val="2F5496" w:themeColor="accent1" w:themeShade="BF"/>
        </w:rPr>
      </w:pPr>
      <w:r w:rsidRPr="00C02EE4">
        <w:rPr>
          <w:rFonts w:ascii="Arial" w:eastAsia="Times New Roman" w:hAnsi="Arial"/>
          <w:b/>
          <w:color w:val="2F5496" w:themeColor="accent1" w:themeShade="BF"/>
          <w:kern w:val="0"/>
          <w:sz w:val="24"/>
          <w:lang w:val="en-US"/>
        </w:rPr>
        <w:fldChar w:fldCharType="end"/>
      </w:r>
    </w:p>
    <w:p w14:paraId="13C8431A" w14:textId="77777777" w:rsidR="00E94D28" w:rsidRDefault="00E94D28" w:rsidP="00E94D28"/>
    <w:p w14:paraId="04C2F193" w14:textId="77777777" w:rsidR="00E94D28" w:rsidRDefault="00E94D28" w:rsidP="00E94D28"/>
    <w:p w14:paraId="45BA3F90" w14:textId="77777777" w:rsidR="00E94D28" w:rsidRDefault="00E94D28" w:rsidP="00E94D28"/>
    <w:p w14:paraId="152542C5" w14:textId="77777777" w:rsidR="00E94D28" w:rsidRDefault="00E94D28" w:rsidP="00E94D28"/>
    <w:p w14:paraId="517F2FAB" w14:textId="77777777" w:rsidR="00E94D28" w:rsidRDefault="00E94D28" w:rsidP="00E94D28"/>
    <w:p w14:paraId="1754A47E" w14:textId="77777777" w:rsidR="00E94D28" w:rsidRDefault="00E94D28" w:rsidP="00E94D28">
      <w:pPr>
        <w:pStyle w:val="Heading1"/>
      </w:pPr>
      <w:bookmarkStart w:id="1" w:name="_Toc149826548"/>
    </w:p>
    <w:p w14:paraId="33635A95" w14:textId="77777777" w:rsidR="00062403" w:rsidRDefault="00062403" w:rsidP="00E94D28">
      <w:pPr>
        <w:pStyle w:val="Heading1"/>
      </w:pPr>
    </w:p>
    <w:p w14:paraId="2537226F" w14:textId="5D702C61" w:rsidR="00E94D28" w:rsidRDefault="00E94D28" w:rsidP="00E94D28">
      <w:pPr>
        <w:pStyle w:val="Heading1"/>
      </w:pPr>
      <w:r>
        <w:t>Executive Summary</w:t>
      </w:r>
      <w:bookmarkEnd w:id="1"/>
    </w:p>
    <w:p w14:paraId="4F30B9B1" w14:textId="77777777" w:rsidR="00E94D28" w:rsidRDefault="00E94D28" w:rsidP="00E94D28"/>
    <w:p w14:paraId="1B508C13" w14:textId="3BF27E2A" w:rsidR="00E94D28" w:rsidRDefault="00E94D28" w:rsidP="00E94D28">
      <w:pPr>
        <w:spacing w:line="360" w:lineRule="auto"/>
        <w:rPr>
          <w:rFonts w:ascii="Arial" w:hAnsi="Arial" w:cs="Arial"/>
          <w:sz w:val="24"/>
          <w:szCs w:val="24"/>
        </w:rPr>
      </w:pPr>
      <w:r>
        <w:rPr>
          <w:rFonts w:ascii="Arial" w:hAnsi="Arial" w:cs="Arial"/>
          <w:sz w:val="24"/>
          <w:szCs w:val="24"/>
        </w:rPr>
        <w:t xml:space="preserve">The hospitality industry, integral to global tourism, finds itself navigating the waters of sustainability amidst the current climate crisis and evolving consumer </w:t>
      </w:r>
      <w:r w:rsidR="0051542A">
        <w:rPr>
          <w:rFonts w:ascii="Arial" w:hAnsi="Arial" w:cs="Arial"/>
          <w:sz w:val="24"/>
          <w:szCs w:val="24"/>
        </w:rPr>
        <w:t>preferences (</w:t>
      </w:r>
      <w:r w:rsidR="000B0C81">
        <w:rPr>
          <w:rFonts w:ascii="Arial" w:hAnsi="Arial" w:cs="Arial"/>
          <w:sz w:val="24"/>
          <w:szCs w:val="24"/>
        </w:rPr>
        <w:t>Employment Scurity Commission, 20</w:t>
      </w:r>
      <w:r w:rsidR="00657BEB">
        <w:rPr>
          <w:rFonts w:ascii="Arial" w:hAnsi="Arial" w:cs="Arial"/>
          <w:sz w:val="24"/>
          <w:szCs w:val="24"/>
        </w:rPr>
        <w:t>23). As</w:t>
      </w:r>
      <w:r>
        <w:rPr>
          <w:rFonts w:ascii="Arial" w:hAnsi="Arial" w:cs="Arial"/>
          <w:sz w:val="24"/>
          <w:szCs w:val="24"/>
        </w:rPr>
        <w:t xml:space="preserve"> the industry's historical foundation lies in profitability, transitioning to sustainable practices poses both challenges and opportunities. This report critically evaluates the longstanding notion, rooted in Milton Friedman's philosophy, that the primary goal of businesses is profit maximization. Drawing from academic frameworks such as the Triple Bottom Line, Doxey’s </w:t>
      </w:r>
      <w:proofErr w:type="spellStart"/>
      <w:r>
        <w:rPr>
          <w:rFonts w:ascii="Arial" w:hAnsi="Arial" w:cs="Arial"/>
          <w:sz w:val="24"/>
          <w:szCs w:val="24"/>
        </w:rPr>
        <w:t>Irridex</w:t>
      </w:r>
      <w:proofErr w:type="spellEnd"/>
      <w:r>
        <w:rPr>
          <w:rFonts w:ascii="Arial" w:hAnsi="Arial" w:cs="Arial"/>
          <w:sz w:val="24"/>
          <w:szCs w:val="24"/>
        </w:rPr>
        <w:t xml:space="preserve"> Model, and Butler’s Life Cycle Model, the report analyses the delicate balance of financial gains with environmental and social responsibilities. Incorporating insights from the UK's energy landscape and dissecting trends like greenwashing, the evaluation extends to assessing the feasibility of a truly sustainable hospitality industry. By interweaving real-life case studies with theoretical models, this report offers a comprehensive vision for a future where profitability coexists harmoniously with sustainability in the hospitality sector.</w:t>
      </w:r>
    </w:p>
    <w:p w14:paraId="20C92D5F" w14:textId="77777777" w:rsidR="00E94D28" w:rsidRDefault="00E94D28" w:rsidP="00E94D28">
      <w:pPr>
        <w:spacing w:line="360" w:lineRule="auto"/>
        <w:rPr>
          <w:rFonts w:ascii="Arial" w:hAnsi="Arial" w:cs="Arial"/>
          <w:sz w:val="24"/>
          <w:szCs w:val="24"/>
        </w:rPr>
      </w:pPr>
    </w:p>
    <w:p w14:paraId="60DE5CC4" w14:textId="77777777" w:rsidR="00E94D28" w:rsidRDefault="00E94D28" w:rsidP="00E94D28">
      <w:pPr>
        <w:pStyle w:val="Heading1"/>
      </w:pPr>
      <w:bookmarkStart w:id="2" w:name="_Toc149826549"/>
      <w:r>
        <w:t>Introduction</w:t>
      </w:r>
      <w:bookmarkEnd w:id="2"/>
    </w:p>
    <w:p w14:paraId="4D99C171" w14:textId="77777777" w:rsidR="00E94D28" w:rsidRDefault="00E94D28" w:rsidP="00E94D28"/>
    <w:p w14:paraId="1E9ED7A8" w14:textId="483D535B" w:rsidR="00E94D28" w:rsidRDefault="00E94D28" w:rsidP="00E94D28">
      <w:pPr>
        <w:spacing w:line="360" w:lineRule="auto"/>
        <w:rPr>
          <w:rFonts w:ascii="Arial" w:hAnsi="Arial" w:cs="Arial"/>
          <w:sz w:val="24"/>
          <w:szCs w:val="24"/>
        </w:rPr>
      </w:pPr>
      <w:r>
        <w:rPr>
          <w:rFonts w:ascii="Arial" w:hAnsi="Arial" w:cs="Arial"/>
          <w:sz w:val="24"/>
          <w:szCs w:val="24"/>
        </w:rPr>
        <w:t>The hospitality industry, historically emblematic of opulence and comfort, finds itself at a pivotal junctur</w:t>
      </w:r>
      <w:r w:rsidR="00657BEB">
        <w:rPr>
          <w:rFonts w:ascii="Arial" w:hAnsi="Arial" w:cs="Arial"/>
          <w:sz w:val="24"/>
          <w:szCs w:val="24"/>
        </w:rPr>
        <w:t>e E</w:t>
      </w:r>
      <w:r w:rsidR="000C7BA9">
        <w:rPr>
          <w:rFonts w:ascii="Arial" w:hAnsi="Arial" w:cs="Arial"/>
          <w:sz w:val="24"/>
          <w:szCs w:val="24"/>
        </w:rPr>
        <w:t>HL Faculty, 2023)</w:t>
      </w:r>
      <w:r>
        <w:rPr>
          <w:rFonts w:ascii="Arial" w:hAnsi="Arial" w:cs="Arial"/>
          <w:sz w:val="24"/>
          <w:szCs w:val="24"/>
        </w:rPr>
        <w:t>. Faced with escalating environmental concerns, the global momentum towards sustainable practices, and the intricacies of the circular economy, there's a pressing call for adaptation. The UK</w:t>
      </w:r>
      <w:proofErr w:type="gramStart"/>
      <w:r>
        <w:rPr>
          <w:rFonts w:ascii="Arial" w:hAnsi="Arial" w:cs="Arial"/>
          <w:sz w:val="24"/>
          <w:szCs w:val="24"/>
        </w:rPr>
        <w:t>, in particular, is</w:t>
      </w:r>
      <w:proofErr w:type="gramEnd"/>
      <w:r>
        <w:rPr>
          <w:rFonts w:ascii="Arial" w:hAnsi="Arial" w:cs="Arial"/>
          <w:sz w:val="24"/>
          <w:szCs w:val="24"/>
        </w:rPr>
        <w:t xml:space="preserve"> championing a transition with its ambitious energy targets aiming for a net zero carbon footprint by 2050</w:t>
      </w:r>
      <w:r w:rsidR="000C7BA9">
        <w:rPr>
          <w:rFonts w:ascii="Arial" w:hAnsi="Arial" w:cs="Arial"/>
          <w:sz w:val="24"/>
          <w:szCs w:val="24"/>
        </w:rPr>
        <w:t xml:space="preserve"> (UK Government, </w:t>
      </w:r>
      <w:r w:rsidR="00E53341">
        <w:rPr>
          <w:rFonts w:ascii="Arial" w:hAnsi="Arial" w:cs="Arial"/>
          <w:sz w:val="24"/>
          <w:szCs w:val="24"/>
        </w:rPr>
        <w:t>2023). These</w:t>
      </w:r>
      <w:r>
        <w:rPr>
          <w:rFonts w:ascii="Arial" w:hAnsi="Arial" w:cs="Arial"/>
          <w:sz w:val="24"/>
          <w:szCs w:val="24"/>
        </w:rPr>
        <w:t xml:space="preserve"> shifts are not solely driven by overarching global goals but are also shaped by evolving consumer</w:t>
      </w:r>
      <w:r w:rsidR="00E53341">
        <w:rPr>
          <w:rFonts w:ascii="Arial" w:hAnsi="Arial" w:cs="Arial"/>
          <w:sz w:val="24"/>
          <w:szCs w:val="24"/>
        </w:rPr>
        <w:t xml:space="preserve"> behaviour, as travellers increasingly favour establishments</w:t>
      </w:r>
      <w:r w:rsidR="00E53341">
        <w:rPr>
          <w:rStyle w:val="CommentReference"/>
        </w:rPr>
        <w:t xml:space="preserve"> </w:t>
      </w:r>
      <w:r w:rsidR="00E53341">
        <w:rPr>
          <w:rFonts w:ascii="Arial" w:hAnsi="Arial" w:cs="Arial"/>
          <w:sz w:val="24"/>
          <w:szCs w:val="24"/>
        </w:rPr>
        <w:t>that</w:t>
      </w:r>
      <w:r>
        <w:rPr>
          <w:rFonts w:ascii="Arial" w:hAnsi="Arial" w:cs="Arial"/>
          <w:sz w:val="24"/>
          <w:szCs w:val="24"/>
        </w:rPr>
        <w:t xml:space="preserve"> prioritize eco-consciousness. Yet, the path towards genuine Corporate Social Responsibility (CSR) in hospitality isn't without its pitfall</w:t>
      </w:r>
      <w:r w:rsidR="00E53341">
        <w:rPr>
          <w:rFonts w:ascii="Arial" w:hAnsi="Arial" w:cs="Arial"/>
          <w:sz w:val="24"/>
          <w:szCs w:val="24"/>
        </w:rPr>
        <w:t xml:space="preserve">s </w:t>
      </w:r>
      <w:r w:rsidR="000B0C81">
        <w:rPr>
          <w:rFonts w:ascii="Arial" w:hAnsi="Arial" w:cs="Arial"/>
          <w:sz w:val="24"/>
          <w:szCs w:val="24"/>
        </w:rPr>
        <w:t>(</w:t>
      </w:r>
      <w:proofErr w:type="spellStart"/>
      <w:r w:rsidR="000B0C81">
        <w:rPr>
          <w:rFonts w:ascii="Arial" w:hAnsi="Arial" w:cs="Arial"/>
          <w:sz w:val="24"/>
          <w:szCs w:val="24"/>
        </w:rPr>
        <w:t>Zizka</w:t>
      </w:r>
      <w:proofErr w:type="spellEnd"/>
      <w:r w:rsidR="000B0C81">
        <w:rPr>
          <w:rFonts w:ascii="Arial" w:hAnsi="Arial" w:cs="Arial"/>
          <w:sz w:val="24"/>
          <w:szCs w:val="24"/>
        </w:rPr>
        <w:t>, 2016)</w:t>
      </w:r>
      <w:r>
        <w:rPr>
          <w:rFonts w:ascii="Arial" w:hAnsi="Arial" w:cs="Arial"/>
          <w:sz w:val="24"/>
          <w:szCs w:val="24"/>
        </w:rPr>
        <w:t xml:space="preserve">. The prevalence of greenwashing raises critical </w:t>
      </w:r>
      <w:r>
        <w:rPr>
          <w:rFonts w:ascii="Arial" w:hAnsi="Arial" w:cs="Arial"/>
          <w:sz w:val="24"/>
          <w:szCs w:val="24"/>
        </w:rPr>
        <w:lastRenderedPageBreak/>
        <w:t xml:space="preserve">concerns about the veracity of sustainability claims in the industry. Central to this discourse is Milton Friedman's decades-old proposition about the principal obligation of businesses. As the sector wades through these multifaceted challenges, this report aims to critically examine the potential harmony between sustainable operations and profitability. Furthermore, it seeks to highlight the integral role of destination management, drawing insights from models like Doxey’s </w:t>
      </w:r>
      <w:proofErr w:type="spellStart"/>
      <w:r>
        <w:rPr>
          <w:rFonts w:ascii="Arial" w:hAnsi="Arial" w:cs="Arial"/>
          <w:sz w:val="24"/>
          <w:szCs w:val="24"/>
        </w:rPr>
        <w:t>Irridex</w:t>
      </w:r>
      <w:proofErr w:type="spellEnd"/>
      <w:r>
        <w:rPr>
          <w:rFonts w:ascii="Arial" w:hAnsi="Arial" w:cs="Arial"/>
          <w:sz w:val="24"/>
          <w:szCs w:val="24"/>
        </w:rPr>
        <w:t xml:space="preserve"> and Butler’s life cycle, in orchestrating this delicate balance.</w:t>
      </w:r>
    </w:p>
    <w:p w14:paraId="31ACE1BB" w14:textId="77777777" w:rsidR="00E94D28" w:rsidRDefault="00E94D28" w:rsidP="00E94D28">
      <w:pPr>
        <w:spacing w:line="360" w:lineRule="auto"/>
        <w:rPr>
          <w:rFonts w:ascii="Arial" w:hAnsi="Arial" w:cs="Arial"/>
          <w:sz w:val="24"/>
          <w:szCs w:val="24"/>
        </w:rPr>
      </w:pPr>
    </w:p>
    <w:p w14:paraId="505C90DC" w14:textId="77777777" w:rsidR="00E94D28" w:rsidRDefault="00E94D28" w:rsidP="00E94D28">
      <w:pPr>
        <w:pStyle w:val="Heading1"/>
      </w:pPr>
      <w:bookmarkStart w:id="3" w:name="_Toc149826550"/>
      <w:r>
        <w:t>Relevance of Profit-Centric Philosophy Today</w:t>
      </w:r>
      <w:bookmarkEnd w:id="3"/>
    </w:p>
    <w:p w14:paraId="0A2E1E2B" w14:textId="77777777" w:rsidR="00E94D28" w:rsidRDefault="00E94D28" w:rsidP="00E94D28"/>
    <w:p w14:paraId="26480DB9" w14:textId="77777777" w:rsidR="00E94D28" w:rsidRPr="00066F14" w:rsidRDefault="00E94D28" w:rsidP="00E94D28">
      <w:pPr>
        <w:pStyle w:val="Heading2"/>
        <w:rPr>
          <w:sz w:val="28"/>
          <w:szCs w:val="28"/>
        </w:rPr>
      </w:pPr>
      <w:bookmarkStart w:id="4" w:name="_Toc149826551"/>
      <w:r w:rsidRPr="00066F14">
        <w:rPr>
          <w:sz w:val="28"/>
          <w:szCs w:val="28"/>
        </w:rPr>
        <w:t>3.1 The Legacy of Milton Friedman</w:t>
      </w:r>
      <w:bookmarkEnd w:id="4"/>
    </w:p>
    <w:p w14:paraId="2E8A9C8E" w14:textId="77777777" w:rsidR="00062403" w:rsidRPr="00062403" w:rsidRDefault="00062403" w:rsidP="00062403"/>
    <w:p w14:paraId="35432B3A" w14:textId="3BF177FE" w:rsidR="00E94D28" w:rsidRDefault="00E94D28" w:rsidP="00E94D28">
      <w:pPr>
        <w:spacing w:line="360" w:lineRule="auto"/>
        <w:rPr>
          <w:rFonts w:ascii="Arial" w:hAnsi="Arial" w:cs="Arial"/>
          <w:sz w:val="24"/>
          <w:szCs w:val="24"/>
        </w:rPr>
      </w:pPr>
      <w:r>
        <w:rPr>
          <w:rFonts w:ascii="Arial" w:hAnsi="Arial" w:cs="Arial"/>
          <w:sz w:val="24"/>
          <w:szCs w:val="24"/>
        </w:rPr>
        <w:t xml:space="preserve">Milton Friedman, a respected economist, posited in 1970 that the primary responsibility of a business is to its shareholders, emphasizing the importance of profit maximization (Friedman, 1970). This view, grounded in the capitalist ethos, focused exclusively on financial performance as the main indicator of business success. However, as </w:t>
      </w:r>
      <w:proofErr w:type="gramStart"/>
      <w:r>
        <w:rPr>
          <w:rFonts w:ascii="Arial" w:hAnsi="Arial" w:cs="Arial"/>
          <w:sz w:val="24"/>
          <w:szCs w:val="24"/>
        </w:rPr>
        <w:t>societal</w:t>
      </w:r>
      <w:proofErr w:type="gramEnd"/>
      <w:r>
        <w:rPr>
          <w:rFonts w:ascii="Arial" w:hAnsi="Arial" w:cs="Arial"/>
          <w:sz w:val="24"/>
          <w:szCs w:val="24"/>
        </w:rPr>
        <w:t xml:space="preserve"> and environmental challenges have evolved, there has been a re-evaluation of this stance (Crane &amp; Matten, 2016)</w:t>
      </w:r>
      <w:r w:rsidR="00E53341">
        <w:rPr>
          <w:rFonts w:ascii="Arial" w:hAnsi="Arial" w:cs="Arial"/>
          <w:sz w:val="24"/>
          <w:szCs w:val="24"/>
        </w:rPr>
        <w:t xml:space="preserve">. </w:t>
      </w:r>
    </w:p>
    <w:p w14:paraId="6CDE32AC" w14:textId="77777777" w:rsidR="00E94D28" w:rsidRPr="00066F14" w:rsidRDefault="00E94D28" w:rsidP="00E94D28">
      <w:pPr>
        <w:pStyle w:val="Heading2"/>
        <w:rPr>
          <w:sz w:val="28"/>
          <w:szCs w:val="28"/>
        </w:rPr>
      </w:pPr>
      <w:bookmarkStart w:id="5" w:name="_Toc149826552"/>
      <w:r w:rsidRPr="00066F14">
        <w:rPr>
          <w:sz w:val="28"/>
          <w:szCs w:val="28"/>
        </w:rPr>
        <w:t>3.2 Modern Perspectives</w:t>
      </w:r>
      <w:bookmarkEnd w:id="5"/>
    </w:p>
    <w:p w14:paraId="6B8415BC" w14:textId="77777777" w:rsidR="00062403" w:rsidRPr="00062403" w:rsidRDefault="00062403" w:rsidP="00062403"/>
    <w:p w14:paraId="234AF230" w14:textId="7A0DE5F6" w:rsidR="00E94D28" w:rsidRDefault="00E94D28" w:rsidP="00E94D28">
      <w:pPr>
        <w:spacing w:line="360" w:lineRule="auto"/>
        <w:rPr>
          <w:rFonts w:ascii="Arial" w:hAnsi="Arial" w:cs="Arial"/>
          <w:sz w:val="24"/>
          <w:szCs w:val="24"/>
        </w:rPr>
      </w:pPr>
      <w:r>
        <w:rPr>
          <w:rFonts w:ascii="Arial" w:hAnsi="Arial" w:cs="Arial"/>
          <w:sz w:val="24"/>
          <w:szCs w:val="24"/>
        </w:rPr>
        <w:t>The 21st century has ushered in an era characterized by environmental challenges, socio-economic disparities, and the imperative for sustainable operations. Contemporary businesses are now expected to address these challenges, reflecting a shift from pure profit orientation to a more holistic approach that considers environmental and social factors (Elkington, 1994). This perspective, known as the Triple Bottom Line, advocates for businesses to ensure economic, social, and environmental sustainability. For the hospitality industry, which interacts closely with both local communities and natural environments, these considerations are particularly pertinent (Jones</w:t>
      </w:r>
      <w:r w:rsidR="000B0C81">
        <w:rPr>
          <w:rFonts w:ascii="Arial" w:hAnsi="Arial" w:cs="Arial"/>
          <w:sz w:val="24"/>
          <w:szCs w:val="24"/>
        </w:rPr>
        <w:t>, Hillier</w:t>
      </w:r>
      <w:r>
        <w:rPr>
          <w:rFonts w:ascii="Arial" w:hAnsi="Arial" w:cs="Arial"/>
          <w:sz w:val="24"/>
          <w:szCs w:val="24"/>
        </w:rPr>
        <w:t>,</w:t>
      </w:r>
      <w:r w:rsidR="002C7DF0">
        <w:rPr>
          <w:rFonts w:ascii="Arial" w:hAnsi="Arial" w:cs="Arial"/>
          <w:sz w:val="24"/>
          <w:szCs w:val="24"/>
        </w:rPr>
        <w:t xml:space="preserve"> &amp;</w:t>
      </w:r>
      <w:r>
        <w:rPr>
          <w:rFonts w:ascii="Arial" w:hAnsi="Arial" w:cs="Arial"/>
          <w:sz w:val="24"/>
          <w:szCs w:val="24"/>
        </w:rPr>
        <w:t xml:space="preserve"> </w:t>
      </w:r>
      <w:r w:rsidR="000B0C81">
        <w:rPr>
          <w:rFonts w:ascii="Arial" w:hAnsi="Arial" w:cs="Arial"/>
          <w:sz w:val="24"/>
          <w:szCs w:val="24"/>
        </w:rPr>
        <w:t xml:space="preserve">Comfort, </w:t>
      </w:r>
      <w:r>
        <w:rPr>
          <w:rFonts w:ascii="Arial" w:hAnsi="Arial" w:cs="Arial"/>
          <w:sz w:val="24"/>
          <w:szCs w:val="24"/>
        </w:rPr>
        <w:t>2016)</w:t>
      </w:r>
      <w:r w:rsidR="00E53341">
        <w:rPr>
          <w:rFonts w:ascii="Arial" w:hAnsi="Arial" w:cs="Arial"/>
          <w:sz w:val="24"/>
          <w:szCs w:val="24"/>
        </w:rPr>
        <w:t xml:space="preserve">. </w:t>
      </w:r>
    </w:p>
    <w:p w14:paraId="0D39DF1A" w14:textId="083A530A" w:rsidR="00E94D28" w:rsidRDefault="00E94D28" w:rsidP="00E94D28">
      <w:pPr>
        <w:spacing w:line="360" w:lineRule="auto"/>
        <w:rPr>
          <w:rFonts w:ascii="Arial" w:hAnsi="Arial" w:cs="Arial"/>
          <w:sz w:val="24"/>
          <w:szCs w:val="24"/>
        </w:rPr>
      </w:pPr>
      <w:r>
        <w:rPr>
          <w:rFonts w:ascii="Arial" w:hAnsi="Arial" w:cs="Arial"/>
          <w:sz w:val="24"/>
          <w:szCs w:val="24"/>
        </w:rPr>
        <w:t xml:space="preserve"> Furthermore, </w:t>
      </w:r>
      <w:r w:rsidR="00472640" w:rsidRPr="00472640">
        <w:rPr>
          <w:rFonts w:ascii="Arial" w:hAnsi="Arial" w:cs="Arial"/>
          <w:sz w:val="24"/>
          <w:szCs w:val="24"/>
        </w:rPr>
        <w:t>As noted by Gelb, McCarthy, Rehm, and Voronin (2023), investors are increasingly interested in understanding the value companies place on sustainability.</w:t>
      </w:r>
    </w:p>
    <w:p w14:paraId="26234280" w14:textId="77777777" w:rsidR="00062403" w:rsidRDefault="00062403" w:rsidP="00E94D28">
      <w:pPr>
        <w:pStyle w:val="Heading1"/>
      </w:pPr>
      <w:bookmarkStart w:id="6" w:name="_Toc149826553"/>
    </w:p>
    <w:p w14:paraId="00309CC0" w14:textId="3B116A2E" w:rsidR="00E94D28" w:rsidRDefault="00E94D28" w:rsidP="00E94D28">
      <w:pPr>
        <w:pStyle w:val="Heading1"/>
      </w:pPr>
      <w:r>
        <w:t>Balancing Financial Imperatives with Sustainability</w:t>
      </w:r>
      <w:bookmarkEnd w:id="6"/>
    </w:p>
    <w:p w14:paraId="63FA1CFB" w14:textId="77777777" w:rsidR="00E94D28" w:rsidRDefault="00E94D28" w:rsidP="00E94D28"/>
    <w:p w14:paraId="0D36C1F9" w14:textId="77777777" w:rsidR="00E94D28" w:rsidRPr="00066F14" w:rsidRDefault="00E94D28" w:rsidP="00E94D28">
      <w:pPr>
        <w:pStyle w:val="Heading2"/>
        <w:rPr>
          <w:sz w:val="28"/>
          <w:szCs w:val="28"/>
        </w:rPr>
      </w:pPr>
      <w:bookmarkStart w:id="7" w:name="_Toc149826554"/>
      <w:r w:rsidRPr="00066F14">
        <w:rPr>
          <w:sz w:val="28"/>
          <w:szCs w:val="28"/>
        </w:rPr>
        <w:t>4.1 The Triple Bottom Line Framework</w:t>
      </w:r>
      <w:bookmarkEnd w:id="7"/>
    </w:p>
    <w:p w14:paraId="470619C5" w14:textId="77777777" w:rsidR="00062403" w:rsidRPr="00062403" w:rsidRDefault="00062403" w:rsidP="00062403"/>
    <w:p w14:paraId="08BC27D4" w14:textId="25D66388" w:rsidR="00E94D28" w:rsidRDefault="00E94D28" w:rsidP="00E94D28">
      <w:pPr>
        <w:spacing w:line="360" w:lineRule="auto"/>
        <w:rPr>
          <w:rFonts w:ascii="Arial" w:hAnsi="Arial" w:cs="Arial"/>
          <w:sz w:val="24"/>
          <w:szCs w:val="24"/>
        </w:rPr>
      </w:pPr>
      <w:r>
        <w:rPr>
          <w:rFonts w:ascii="Arial" w:hAnsi="Arial" w:cs="Arial"/>
          <w:sz w:val="24"/>
          <w:szCs w:val="24"/>
        </w:rPr>
        <w:t xml:space="preserve">Introduced by Elkington in </w:t>
      </w:r>
      <w:r w:rsidR="00E53341">
        <w:rPr>
          <w:rFonts w:ascii="Arial" w:hAnsi="Arial" w:cs="Arial"/>
          <w:sz w:val="24"/>
          <w:szCs w:val="24"/>
        </w:rPr>
        <w:t>2004</w:t>
      </w:r>
      <w:r>
        <w:rPr>
          <w:rFonts w:ascii="Arial" w:hAnsi="Arial" w:cs="Arial"/>
          <w:sz w:val="24"/>
          <w:szCs w:val="24"/>
        </w:rPr>
        <w:t xml:space="preserve">, the Triple Bottom Line (TBL) framework redefined how businesses perceive success. Traditionally, success was solely evaluated through financial metrics. However, Elkington's TBL transcends this narrow perspective, emphasizing People, Planet, and Profit (Elkington, </w:t>
      </w:r>
      <w:r w:rsidR="00E53341">
        <w:rPr>
          <w:rFonts w:ascii="Arial" w:hAnsi="Arial" w:cs="Arial"/>
          <w:sz w:val="24"/>
          <w:szCs w:val="24"/>
        </w:rPr>
        <w:t>2004</w:t>
      </w:r>
      <w:r>
        <w:rPr>
          <w:rFonts w:ascii="Arial" w:hAnsi="Arial" w:cs="Arial"/>
          <w:sz w:val="24"/>
          <w:szCs w:val="24"/>
        </w:rPr>
        <w:t>). In the hospitality context, these pillars have distinct implications.</w:t>
      </w:r>
    </w:p>
    <w:p w14:paraId="3550B699" w14:textId="77777777" w:rsidR="00E94D28" w:rsidRDefault="00E94D28" w:rsidP="00E94D28">
      <w:pPr>
        <w:spacing w:line="360" w:lineRule="auto"/>
        <w:rPr>
          <w:rFonts w:ascii="Arial" w:hAnsi="Arial" w:cs="Arial"/>
          <w:sz w:val="24"/>
          <w:szCs w:val="24"/>
        </w:rPr>
      </w:pPr>
      <w:r>
        <w:rPr>
          <w:rFonts w:ascii="Arial" w:hAnsi="Arial" w:cs="Arial"/>
          <w:sz w:val="24"/>
          <w:szCs w:val="24"/>
        </w:rPr>
        <w:t>People revolve</w:t>
      </w:r>
      <w:r w:rsidRPr="00E94D28">
        <w:rPr>
          <w:rFonts w:ascii="Arial" w:hAnsi="Arial" w:cs="Arial"/>
          <w:strike/>
          <w:sz w:val="24"/>
          <w:szCs w:val="24"/>
        </w:rPr>
        <w:t>s</w:t>
      </w:r>
      <w:r>
        <w:rPr>
          <w:rFonts w:ascii="Arial" w:hAnsi="Arial" w:cs="Arial"/>
          <w:sz w:val="24"/>
          <w:szCs w:val="24"/>
        </w:rPr>
        <w:t xml:space="preserve"> around social equity and community benefits. Hotels and resorts can play significant roles in enhancing community livelihoods. By employing local staff, sourcing locally produced goods, and promoting indigenous culture, hospitality businesses can elevate the socio-economic well-being of the areas they operate in (</w:t>
      </w:r>
      <w:proofErr w:type="spellStart"/>
      <w:r>
        <w:rPr>
          <w:rFonts w:ascii="Arial" w:hAnsi="Arial" w:cs="Arial"/>
          <w:sz w:val="24"/>
          <w:szCs w:val="24"/>
        </w:rPr>
        <w:t>Slaper</w:t>
      </w:r>
      <w:proofErr w:type="spellEnd"/>
      <w:r>
        <w:rPr>
          <w:rFonts w:ascii="Arial" w:hAnsi="Arial" w:cs="Arial"/>
          <w:sz w:val="24"/>
          <w:szCs w:val="24"/>
        </w:rPr>
        <w:t xml:space="preserve"> &amp; Hall, 2011).</w:t>
      </w:r>
    </w:p>
    <w:p w14:paraId="7479E977" w14:textId="3D1FF5AF" w:rsidR="00E94D28" w:rsidRDefault="00B64EDA" w:rsidP="00E94D28">
      <w:pPr>
        <w:spacing w:line="360" w:lineRule="auto"/>
        <w:rPr>
          <w:rFonts w:ascii="Arial" w:hAnsi="Arial" w:cs="Arial"/>
          <w:sz w:val="24"/>
          <w:szCs w:val="24"/>
        </w:rPr>
      </w:pPr>
      <w:r>
        <w:rPr>
          <w:rFonts w:ascii="Arial" w:hAnsi="Arial" w:cs="Arial"/>
          <w:sz w:val="24"/>
          <w:szCs w:val="24"/>
        </w:rPr>
        <w:t>T</w:t>
      </w:r>
      <w:r w:rsidR="000B0C81">
        <w:rPr>
          <w:rFonts w:ascii="Arial" w:hAnsi="Arial" w:cs="Arial"/>
          <w:sz w:val="24"/>
          <w:szCs w:val="24"/>
        </w:rPr>
        <w:t xml:space="preserve">he critical role </w:t>
      </w:r>
      <w:r w:rsidR="002C7DF0">
        <w:rPr>
          <w:rFonts w:ascii="Arial" w:hAnsi="Arial" w:cs="Arial"/>
          <w:sz w:val="24"/>
          <w:szCs w:val="24"/>
        </w:rPr>
        <w:t>environmental stewardship</w:t>
      </w:r>
      <w:r w:rsidR="000B0C81">
        <w:rPr>
          <w:rFonts w:ascii="Arial" w:hAnsi="Arial" w:cs="Arial"/>
          <w:sz w:val="24"/>
          <w:szCs w:val="24"/>
        </w:rPr>
        <w:t xml:space="preserve"> plays in the hospitality industry, particularly in the context of its resource intensive nature. It emphasizes that action such as reducing waste, conserving energy, and minimizing carbon footprints have transcended being just public relation strategies and have become essential practices. This shift towards sustainable operations in the hospitality</w:t>
      </w:r>
      <w:r w:rsidR="002C7DF0">
        <w:rPr>
          <w:rFonts w:ascii="Arial" w:hAnsi="Arial" w:cs="Arial"/>
          <w:sz w:val="24"/>
          <w:szCs w:val="24"/>
        </w:rPr>
        <w:t xml:space="preserve"> sector is largely influenced by growing consumer demand for environmentally friendly accommodations and experiences. Consumers are increasingly making choices based on the environmental impact of their travel, leading the industry to adopt more sustainable practices not just image but as a core operational necessity (Jones, Hillier, &amp; Comfort, 2016).</w:t>
      </w:r>
    </w:p>
    <w:p w14:paraId="03FE6AED" w14:textId="77777777" w:rsidR="00E94D28" w:rsidRDefault="00E94D28" w:rsidP="00E94D28">
      <w:pPr>
        <w:spacing w:line="360" w:lineRule="auto"/>
        <w:rPr>
          <w:rFonts w:ascii="Arial" w:hAnsi="Arial" w:cs="Arial"/>
          <w:sz w:val="24"/>
          <w:szCs w:val="24"/>
        </w:rPr>
      </w:pPr>
      <w:r>
        <w:rPr>
          <w:rFonts w:ascii="Arial" w:hAnsi="Arial" w:cs="Arial"/>
          <w:sz w:val="24"/>
          <w:szCs w:val="24"/>
        </w:rPr>
        <w:t>Profit, while traditionally indicating pure financial gains, in the TBL framework, indicates sustainable economic growth. In this context, it means profitability that doesn't compromise environmental and social equity but enhances it.</w:t>
      </w:r>
    </w:p>
    <w:p w14:paraId="5258C0C4" w14:textId="77777777" w:rsidR="00E94D28" w:rsidRPr="00066F14" w:rsidRDefault="00E94D28" w:rsidP="00E94D28">
      <w:pPr>
        <w:pStyle w:val="Heading2"/>
        <w:rPr>
          <w:sz w:val="28"/>
          <w:szCs w:val="28"/>
        </w:rPr>
      </w:pPr>
      <w:bookmarkStart w:id="8" w:name="_Toc149826555"/>
      <w:r w:rsidRPr="00066F14">
        <w:rPr>
          <w:sz w:val="28"/>
          <w:szCs w:val="28"/>
        </w:rPr>
        <w:t xml:space="preserve">4.2 Doxey’s </w:t>
      </w:r>
      <w:proofErr w:type="spellStart"/>
      <w:r w:rsidRPr="00066F14">
        <w:rPr>
          <w:sz w:val="28"/>
          <w:szCs w:val="28"/>
        </w:rPr>
        <w:t>Irridex</w:t>
      </w:r>
      <w:proofErr w:type="spellEnd"/>
      <w:r w:rsidRPr="00066F14">
        <w:rPr>
          <w:sz w:val="28"/>
          <w:szCs w:val="28"/>
        </w:rPr>
        <w:t xml:space="preserve"> Model and Butler’s Life Cycle Model</w:t>
      </w:r>
      <w:bookmarkEnd w:id="8"/>
    </w:p>
    <w:p w14:paraId="3A8F8723" w14:textId="77777777" w:rsidR="00062403" w:rsidRPr="00062403" w:rsidRDefault="00062403" w:rsidP="00062403"/>
    <w:p w14:paraId="31E801A9" w14:textId="6AE04960" w:rsidR="00E94D28" w:rsidRDefault="00E94D28" w:rsidP="00E94D28">
      <w:pPr>
        <w:spacing w:line="360" w:lineRule="auto"/>
        <w:rPr>
          <w:rFonts w:ascii="Arial" w:hAnsi="Arial" w:cs="Arial"/>
          <w:sz w:val="24"/>
          <w:szCs w:val="24"/>
        </w:rPr>
      </w:pPr>
      <w:r>
        <w:rPr>
          <w:rFonts w:ascii="Arial" w:hAnsi="Arial" w:cs="Arial"/>
          <w:sz w:val="24"/>
          <w:szCs w:val="24"/>
        </w:rPr>
        <w:t xml:space="preserve">The dynamics between tourists and host communities are critically elaborated upon in Doxey’s </w:t>
      </w:r>
      <w:proofErr w:type="spellStart"/>
      <w:r>
        <w:rPr>
          <w:rFonts w:ascii="Arial" w:hAnsi="Arial" w:cs="Arial"/>
          <w:sz w:val="24"/>
          <w:szCs w:val="24"/>
        </w:rPr>
        <w:t>Irridex</w:t>
      </w:r>
      <w:proofErr w:type="spellEnd"/>
      <w:r>
        <w:rPr>
          <w:rFonts w:ascii="Arial" w:hAnsi="Arial" w:cs="Arial"/>
          <w:sz w:val="24"/>
          <w:szCs w:val="24"/>
        </w:rPr>
        <w:t xml:space="preserve"> model. As tourist numbers escalate, the initial euphoria of the host </w:t>
      </w:r>
      <w:r>
        <w:rPr>
          <w:rFonts w:ascii="Arial" w:hAnsi="Arial" w:cs="Arial"/>
          <w:sz w:val="24"/>
          <w:szCs w:val="24"/>
        </w:rPr>
        <w:lastRenderedPageBreak/>
        <w:t>community might lead to heightened irritation due to associated challenges like noise pollution, environmental degradation, and cultural erosion (Doxey, 1975)</w:t>
      </w:r>
      <w:r w:rsidR="00657BEB">
        <w:rPr>
          <w:rFonts w:ascii="Arial" w:hAnsi="Arial" w:cs="Arial"/>
          <w:sz w:val="24"/>
          <w:szCs w:val="24"/>
        </w:rPr>
        <w:t xml:space="preserve">. </w:t>
      </w:r>
    </w:p>
    <w:p w14:paraId="2C947DCC" w14:textId="212DDFE6" w:rsidR="00E94D28" w:rsidRDefault="00E94D28" w:rsidP="00E94D28">
      <w:pPr>
        <w:spacing w:line="360" w:lineRule="auto"/>
        <w:rPr>
          <w:rFonts w:ascii="Arial" w:hAnsi="Arial" w:cs="Arial"/>
          <w:sz w:val="24"/>
          <w:szCs w:val="24"/>
        </w:rPr>
      </w:pPr>
      <w:r>
        <w:rPr>
          <w:rFonts w:ascii="Arial" w:hAnsi="Arial" w:cs="Arial"/>
          <w:sz w:val="24"/>
          <w:szCs w:val="24"/>
        </w:rPr>
        <w:t>Butler’s model is pivotal for destination planners. The model's stages—exploration, involvement, development, consolidation, stagnation, and then either rejuvenation, plateau, or decline—offer insights into how tourism destinations evolve. The crux is sustainability: without foresight and proactive sustainable measures, popular destinations risk saturation and eventual decline (Butler, 1980)</w:t>
      </w:r>
      <w:r w:rsidR="00657BEB">
        <w:rPr>
          <w:rFonts w:ascii="Arial" w:hAnsi="Arial" w:cs="Arial"/>
          <w:sz w:val="24"/>
          <w:szCs w:val="24"/>
        </w:rPr>
        <w:t xml:space="preserve">. </w:t>
      </w:r>
    </w:p>
    <w:p w14:paraId="373C5BDF" w14:textId="77777777" w:rsidR="00062403" w:rsidRDefault="00062403" w:rsidP="00E94D28">
      <w:pPr>
        <w:pStyle w:val="Heading2"/>
      </w:pPr>
      <w:bookmarkStart w:id="9" w:name="_Toc149826556"/>
    </w:p>
    <w:p w14:paraId="2A565300" w14:textId="77777777" w:rsidR="00062403" w:rsidRDefault="00062403" w:rsidP="00E94D28">
      <w:pPr>
        <w:pStyle w:val="Heading2"/>
      </w:pPr>
    </w:p>
    <w:p w14:paraId="57AAC6F0" w14:textId="219D4B16" w:rsidR="00E94D28" w:rsidRPr="00066F14" w:rsidRDefault="00E94D28" w:rsidP="00E94D28">
      <w:pPr>
        <w:pStyle w:val="Heading2"/>
        <w:rPr>
          <w:sz w:val="28"/>
          <w:szCs w:val="28"/>
        </w:rPr>
      </w:pPr>
      <w:r w:rsidRPr="00066F14">
        <w:rPr>
          <w:sz w:val="28"/>
          <w:szCs w:val="28"/>
        </w:rPr>
        <w:t>4.3 Implications for Destination Management</w:t>
      </w:r>
      <w:bookmarkEnd w:id="9"/>
    </w:p>
    <w:p w14:paraId="7766F924" w14:textId="77777777" w:rsidR="00062403" w:rsidRPr="00062403" w:rsidRDefault="00062403" w:rsidP="00062403"/>
    <w:p w14:paraId="4D9EB822" w14:textId="4CF05CB2" w:rsidR="00E94D28" w:rsidRDefault="00E94D28" w:rsidP="00E94D28">
      <w:pPr>
        <w:spacing w:line="360" w:lineRule="auto"/>
        <w:rPr>
          <w:rFonts w:ascii="Arial" w:hAnsi="Arial" w:cs="Arial"/>
          <w:sz w:val="24"/>
          <w:szCs w:val="24"/>
        </w:rPr>
      </w:pPr>
      <w:r>
        <w:rPr>
          <w:rFonts w:ascii="Arial" w:hAnsi="Arial" w:cs="Arial"/>
          <w:sz w:val="24"/>
          <w:szCs w:val="24"/>
        </w:rPr>
        <w:t>Effective destination management ensures that tourism remains an asset and not a detriment. Sustainable transport options like electric buses or cycle-sharing programs, promoting locally crafted souvenirs, emphasizing local experiences, and efficiently managing tourist volumes can mitigate potential pitfalls of over-tourism. Destination managers, by integrating models like Butler's and frameworks like TBL, can devise strategies that offer enriching tourist experiences while safeguarding the environmental, socio-cultural, and economic integrity of their destinations (Hall, 2008)</w:t>
      </w:r>
      <w:r w:rsidR="00657BEB">
        <w:rPr>
          <w:rFonts w:ascii="Arial" w:hAnsi="Arial" w:cs="Arial"/>
          <w:sz w:val="24"/>
          <w:szCs w:val="24"/>
        </w:rPr>
        <w:t xml:space="preserve">. </w:t>
      </w:r>
    </w:p>
    <w:p w14:paraId="5D0ACD1D" w14:textId="77777777" w:rsidR="00E94D28" w:rsidRDefault="00E94D28" w:rsidP="00E94D28">
      <w:pPr>
        <w:pStyle w:val="Heading1"/>
      </w:pPr>
      <w:bookmarkStart w:id="10" w:name="_Toc149826557"/>
      <w:r>
        <w:t>Consumer-Driven Sustainability Vs. Corporate Responsibility</w:t>
      </w:r>
      <w:bookmarkEnd w:id="10"/>
    </w:p>
    <w:p w14:paraId="026BA66F" w14:textId="77777777" w:rsidR="00E94D28" w:rsidRDefault="00E94D28" w:rsidP="00E94D28"/>
    <w:p w14:paraId="76DC9C14" w14:textId="77777777" w:rsidR="00E94D28" w:rsidRDefault="00E94D28" w:rsidP="00E94D28">
      <w:pPr>
        <w:pStyle w:val="Heading2"/>
        <w:rPr>
          <w:sz w:val="28"/>
          <w:szCs w:val="28"/>
        </w:rPr>
      </w:pPr>
      <w:bookmarkStart w:id="11" w:name="_Toc149826558"/>
      <w:r w:rsidRPr="00066F14">
        <w:rPr>
          <w:sz w:val="28"/>
          <w:szCs w:val="28"/>
        </w:rPr>
        <w:t>5.1 Evolving Consumer Preferences</w:t>
      </w:r>
      <w:bookmarkEnd w:id="11"/>
    </w:p>
    <w:p w14:paraId="03D951D3" w14:textId="77777777" w:rsidR="00CA4D22" w:rsidRPr="00CA4D22" w:rsidRDefault="00CA4D22" w:rsidP="00CA4D22"/>
    <w:p w14:paraId="5DEA33DB" w14:textId="3AFB77F3" w:rsidR="00062403" w:rsidRPr="00CA4D22" w:rsidRDefault="00CA4D22" w:rsidP="00CA4D22">
      <w:pPr>
        <w:spacing w:line="360" w:lineRule="auto"/>
        <w:rPr>
          <w:rFonts w:ascii="Arial" w:hAnsi="Arial" w:cs="Arial"/>
          <w:sz w:val="24"/>
          <w:szCs w:val="24"/>
        </w:rPr>
      </w:pPr>
      <w:r w:rsidRPr="00CA4D22">
        <w:rPr>
          <w:rFonts w:ascii="Arial" w:hAnsi="Arial" w:cs="Arial"/>
          <w:sz w:val="24"/>
          <w:szCs w:val="24"/>
        </w:rPr>
        <w:t xml:space="preserve">Drawing from the insights presented in "Marketing for Sustainable Tourism" edited by Font and McCabe (2018), it's evident that the evolving consumer preferences significantly impact the hospitality and tourism sectors. This resource underscores the importance of aligning marketing strategies with the growing environmental consciousness among modern </w:t>
      </w:r>
      <w:r w:rsidRPr="00CA4D22">
        <w:rPr>
          <w:rFonts w:ascii="Arial" w:hAnsi="Arial" w:cs="Arial"/>
          <w:sz w:val="24"/>
          <w:szCs w:val="24"/>
        </w:rPr>
        <w:t>travellers</w:t>
      </w:r>
      <w:r w:rsidRPr="00CA4D22">
        <w:rPr>
          <w:rFonts w:ascii="Arial" w:hAnsi="Arial" w:cs="Arial"/>
          <w:sz w:val="24"/>
          <w:szCs w:val="24"/>
        </w:rPr>
        <w:t xml:space="preserve">. It highlights that millennials and Generation Z are not just passive consumers; they are actively seeking out establishments that demonstrate a commitment to sustainable practices. This shift necessitates a transformation in how tourism products are developed and marketed, with a strong focus on practices like water conservation, energy efficiency, and waste reduction. </w:t>
      </w:r>
      <w:r w:rsidRPr="00CA4D22">
        <w:rPr>
          <w:rFonts w:ascii="Arial" w:hAnsi="Arial" w:cs="Arial"/>
          <w:sz w:val="24"/>
          <w:szCs w:val="24"/>
        </w:rPr>
        <w:lastRenderedPageBreak/>
        <w:t>This transition towards sustainability is not only a response to consumer demand but is also becoming a crucial factor in maintaining competitiveness and relevance in the evolving tourism market</w:t>
      </w:r>
      <w:r>
        <w:rPr>
          <w:rFonts w:ascii="Arial" w:hAnsi="Arial" w:cs="Arial"/>
          <w:sz w:val="24"/>
          <w:szCs w:val="24"/>
        </w:rPr>
        <w:t xml:space="preserve"> (Font &amp; McCabe, 2018)</w:t>
      </w:r>
      <w:r w:rsidRPr="00CA4D22">
        <w:rPr>
          <w:rFonts w:ascii="Arial" w:hAnsi="Arial" w:cs="Arial"/>
          <w:sz w:val="24"/>
          <w:szCs w:val="24"/>
        </w:rPr>
        <w:t>.</w:t>
      </w:r>
    </w:p>
    <w:p w14:paraId="669DFE18" w14:textId="77777777" w:rsidR="00E94D28" w:rsidRPr="00066F14" w:rsidRDefault="00E94D28" w:rsidP="00E94D28">
      <w:pPr>
        <w:pStyle w:val="Heading2"/>
        <w:rPr>
          <w:sz w:val="28"/>
          <w:szCs w:val="28"/>
        </w:rPr>
      </w:pPr>
      <w:bookmarkStart w:id="12" w:name="_Toc149826559"/>
      <w:r w:rsidRPr="00066F14">
        <w:rPr>
          <w:sz w:val="28"/>
          <w:szCs w:val="28"/>
        </w:rPr>
        <w:t>5.2 Greenwashing: A Critical Examination</w:t>
      </w:r>
      <w:bookmarkEnd w:id="12"/>
    </w:p>
    <w:p w14:paraId="39FD2FDF" w14:textId="77777777" w:rsidR="00062403" w:rsidRPr="00062403" w:rsidRDefault="00062403" w:rsidP="00062403"/>
    <w:p w14:paraId="5629CA04" w14:textId="12C359F7" w:rsidR="00E94D28" w:rsidRDefault="00E94D28" w:rsidP="00E94D28">
      <w:pPr>
        <w:spacing w:line="360" w:lineRule="auto"/>
        <w:rPr>
          <w:rFonts w:ascii="Arial" w:hAnsi="Arial" w:cs="Arial"/>
          <w:sz w:val="24"/>
          <w:szCs w:val="24"/>
        </w:rPr>
      </w:pPr>
      <w:r>
        <w:rPr>
          <w:rFonts w:ascii="Arial" w:hAnsi="Arial" w:cs="Arial"/>
          <w:sz w:val="24"/>
          <w:szCs w:val="24"/>
        </w:rPr>
        <w:t>Greenwashing, the practice of conveying a false impression or providing misleading information about a company's sustainability efforts, has come under scrutiny in recent years. According to Lyon and Montgomery (201</w:t>
      </w:r>
      <w:r w:rsidR="00146D96">
        <w:rPr>
          <w:rFonts w:ascii="Arial" w:hAnsi="Arial" w:cs="Arial"/>
          <w:sz w:val="24"/>
          <w:szCs w:val="24"/>
        </w:rPr>
        <w:t>3</w:t>
      </w:r>
      <w:r>
        <w:rPr>
          <w:rFonts w:ascii="Arial" w:hAnsi="Arial" w:cs="Arial"/>
          <w:sz w:val="24"/>
          <w:szCs w:val="24"/>
        </w:rPr>
        <w:t>), companies that overstate their environmental efforts are increasingly at risk of backlash from discerning consumers. Within hospitality, some establishments tout 'eco-friendly' credentials based on minor changes, while ignoring larger unsustainable practices. This superficial commitment to sustainability can erode consumer trust</w:t>
      </w:r>
      <w:r w:rsidR="00146D96">
        <w:rPr>
          <w:rFonts w:ascii="Arial" w:hAnsi="Arial" w:cs="Arial"/>
          <w:sz w:val="24"/>
          <w:szCs w:val="24"/>
        </w:rPr>
        <w:t xml:space="preserve"> (Lyon &amp; Montgonery, 2013)</w:t>
      </w:r>
      <w:r w:rsidR="00657BEB">
        <w:rPr>
          <w:rFonts w:ascii="Arial" w:hAnsi="Arial" w:cs="Arial"/>
          <w:sz w:val="24"/>
          <w:szCs w:val="24"/>
        </w:rPr>
        <w:t>.</w:t>
      </w:r>
    </w:p>
    <w:p w14:paraId="1C37D97E" w14:textId="77777777" w:rsidR="00E94D28" w:rsidRDefault="00E94D28" w:rsidP="00E94D28">
      <w:pPr>
        <w:pStyle w:val="Heading2"/>
        <w:rPr>
          <w:sz w:val="28"/>
          <w:szCs w:val="28"/>
        </w:rPr>
      </w:pPr>
      <w:bookmarkStart w:id="13" w:name="_Toc149826560"/>
      <w:r w:rsidRPr="00066F14">
        <w:rPr>
          <w:sz w:val="28"/>
          <w:szCs w:val="28"/>
        </w:rPr>
        <w:t>5.3 Corporate Social Responsibility in Hotel</w:t>
      </w:r>
      <w:bookmarkEnd w:id="13"/>
    </w:p>
    <w:p w14:paraId="7B11AFAA" w14:textId="77777777" w:rsidR="00AB2F56" w:rsidRPr="00AB2F56" w:rsidRDefault="00AB2F56" w:rsidP="00AB2F56"/>
    <w:p w14:paraId="34836BAD" w14:textId="218E819F" w:rsidR="00062403" w:rsidRPr="00AB2F56" w:rsidRDefault="00AB2F56" w:rsidP="00AB2F56">
      <w:pPr>
        <w:spacing w:line="360" w:lineRule="auto"/>
        <w:rPr>
          <w:rFonts w:ascii="Arial" w:hAnsi="Arial" w:cs="Arial"/>
          <w:sz w:val="24"/>
          <w:szCs w:val="24"/>
        </w:rPr>
      </w:pPr>
      <w:r w:rsidRPr="00AB2F56">
        <w:rPr>
          <w:rFonts w:ascii="Arial" w:hAnsi="Arial" w:cs="Arial"/>
          <w:sz w:val="24"/>
          <w:szCs w:val="24"/>
        </w:rPr>
        <w:t xml:space="preserve">Corporate Social Responsibility (CSR) in the hotel industry encompasses a broad spectrum of practices aimed at sustainable and ethical business operations. According to Jones, Hillier, and Comfort (2016), this involves not only environmental initiatives but also a holistic approach to business, which includes fair </w:t>
      </w:r>
      <w:r w:rsidRPr="00AB2F56">
        <w:rPr>
          <w:rFonts w:ascii="Arial" w:hAnsi="Arial" w:cs="Arial"/>
          <w:sz w:val="24"/>
          <w:szCs w:val="24"/>
        </w:rPr>
        <w:t>labour</w:t>
      </w:r>
      <w:r w:rsidRPr="00AB2F56">
        <w:rPr>
          <w:rFonts w:ascii="Arial" w:hAnsi="Arial" w:cs="Arial"/>
          <w:sz w:val="24"/>
          <w:szCs w:val="24"/>
        </w:rPr>
        <w:t xml:space="preserve"> practices, local sourcing, and active community engagement. Major hotel chains like Marriott and Hilton have recognized that CSR is not just a moral obligation but also a strategic necessity that resonates with increasingly conscious consumers. Their commitment to CSR extends beyond superficial measures and is embedded into the core of their business operations, aligning with the evolving expectations of guests who prioritize sustainability and ethical practices in their travel choices</w:t>
      </w:r>
      <w:r>
        <w:rPr>
          <w:rFonts w:ascii="Arial" w:hAnsi="Arial" w:cs="Arial"/>
          <w:sz w:val="24"/>
          <w:szCs w:val="24"/>
        </w:rPr>
        <w:t xml:space="preserve"> (Jones, Hillier, &amp; Comfort 2016)</w:t>
      </w:r>
      <w:r w:rsidRPr="00AB2F56">
        <w:rPr>
          <w:rFonts w:ascii="Arial" w:hAnsi="Arial" w:cs="Arial"/>
          <w:sz w:val="24"/>
          <w:szCs w:val="24"/>
        </w:rPr>
        <w:t>.</w:t>
      </w:r>
      <w:bookmarkStart w:id="14" w:name="_Toc149826561"/>
    </w:p>
    <w:p w14:paraId="6F7F8DA3" w14:textId="35EF32FA" w:rsidR="00E94D28" w:rsidRDefault="00E94D28" w:rsidP="00E94D28">
      <w:pPr>
        <w:pStyle w:val="Heading1"/>
      </w:pPr>
      <w:r>
        <w:t>Is a Truly Green Hospitality Industry Achievable?</w:t>
      </w:r>
      <w:bookmarkEnd w:id="14"/>
    </w:p>
    <w:p w14:paraId="0B69896C" w14:textId="77777777" w:rsidR="00E94D28" w:rsidRDefault="00E94D28" w:rsidP="00E94D28"/>
    <w:p w14:paraId="6AC9BA97" w14:textId="0DC9271F" w:rsidR="00E94D28" w:rsidRPr="00066F14" w:rsidRDefault="00E94D28" w:rsidP="00E94D28">
      <w:pPr>
        <w:pStyle w:val="Heading2"/>
        <w:rPr>
          <w:sz w:val="28"/>
          <w:szCs w:val="28"/>
        </w:rPr>
      </w:pPr>
      <w:bookmarkStart w:id="15" w:name="_Toc149826562"/>
      <w:r w:rsidRPr="00066F14">
        <w:rPr>
          <w:sz w:val="28"/>
          <w:szCs w:val="28"/>
        </w:rPr>
        <w:t xml:space="preserve">6.1 </w:t>
      </w:r>
      <w:r w:rsidR="001812D1" w:rsidRPr="00066F14">
        <w:rPr>
          <w:sz w:val="28"/>
          <w:szCs w:val="28"/>
        </w:rPr>
        <w:t>Analysing</w:t>
      </w:r>
      <w:r w:rsidRPr="00066F14">
        <w:rPr>
          <w:sz w:val="28"/>
          <w:szCs w:val="28"/>
        </w:rPr>
        <w:t xml:space="preserve"> the UK Energy Landscape</w:t>
      </w:r>
      <w:bookmarkEnd w:id="15"/>
    </w:p>
    <w:p w14:paraId="14B6A03A" w14:textId="77777777" w:rsidR="00062403" w:rsidRPr="00062403" w:rsidRDefault="00062403" w:rsidP="00062403"/>
    <w:p w14:paraId="58082233" w14:textId="64D8F199" w:rsidR="00E94D28" w:rsidRDefault="00E94D28" w:rsidP="00E94D28">
      <w:pPr>
        <w:spacing w:line="360" w:lineRule="auto"/>
        <w:rPr>
          <w:rFonts w:ascii="Arial" w:hAnsi="Arial" w:cs="Arial"/>
          <w:sz w:val="24"/>
          <w:szCs w:val="24"/>
        </w:rPr>
      </w:pPr>
      <w:r>
        <w:rPr>
          <w:rFonts w:ascii="Arial" w:hAnsi="Arial" w:cs="Arial"/>
          <w:sz w:val="24"/>
          <w:szCs w:val="24"/>
        </w:rPr>
        <w:t xml:space="preserve">The hospitality industry's transition to 'green' is tightly linked to its energy sources. As the UK pushes towards a higher renewable energy mix, hotels and establishments </w:t>
      </w:r>
      <w:r>
        <w:rPr>
          <w:rFonts w:ascii="Arial" w:hAnsi="Arial" w:cs="Arial"/>
          <w:sz w:val="24"/>
          <w:szCs w:val="24"/>
        </w:rPr>
        <w:lastRenderedPageBreak/>
        <w:t>stand to benefit from cleaner and, in the long run, potentially cheaper energy sources. The UK's commitment to phasing out coal and boosting offshore wind farms paves the way for a greener hospitality sector (Department for Business, Energy &amp; Industrial Strategy, 2020</w:t>
      </w:r>
      <w:r w:rsidR="00657BEB">
        <w:rPr>
          <w:rFonts w:ascii="Arial" w:hAnsi="Arial" w:cs="Arial"/>
          <w:sz w:val="24"/>
          <w:szCs w:val="24"/>
        </w:rPr>
        <w:t>).</w:t>
      </w:r>
    </w:p>
    <w:p w14:paraId="4B14D55E" w14:textId="77777777" w:rsidR="00E94D28" w:rsidRDefault="00E94D28" w:rsidP="00E94D28">
      <w:pPr>
        <w:pStyle w:val="Heading2"/>
        <w:rPr>
          <w:sz w:val="28"/>
          <w:szCs w:val="28"/>
        </w:rPr>
      </w:pPr>
      <w:bookmarkStart w:id="16" w:name="_Toc149826563"/>
      <w:r w:rsidRPr="00066F14">
        <w:rPr>
          <w:sz w:val="28"/>
          <w:szCs w:val="28"/>
        </w:rPr>
        <w:t>6.2 Operational Efficiencies and Challenges</w:t>
      </w:r>
      <w:bookmarkEnd w:id="16"/>
    </w:p>
    <w:p w14:paraId="38A03825" w14:textId="77777777" w:rsidR="00654061" w:rsidRDefault="00654061" w:rsidP="00654061"/>
    <w:p w14:paraId="3EF32D79" w14:textId="7E08147B" w:rsidR="00062403" w:rsidRPr="00654061" w:rsidRDefault="00654061" w:rsidP="00654061">
      <w:pPr>
        <w:spacing w:line="360" w:lineRule="auto"/>
        <w:rPr>
          <w:rFonts w:ascii="Arial" w:hAnsi="Arial" w:cs="Arial"/>
          <w:sz w:val="24"/>
          <w:szCs w:val="24"/>
        </w:rPr>
      </w:pPr>
      <w:r w:rsidRPr="00654061">
        <w:rPr>
          <w:rFonts w:ascii="Arial" w:hAnsi="Arial" w:cs="Arial"/>
          <w:sz w:val="24"/>
          <w:szCs w:val="24"/>
        </w:rPr>
        <w:t>Hotels are navigating a variety of challenges in the adoption of green technologies. This includes external stakeholder pressure, which has led to the implementation of environmental management systems and green committees (ScienceDirect, 2022). The hospitality sector, particularly integrated resorts, has been facing difficulties in implementing green practices for decades (Sage Journals, 2022). In Hong Kong, specific barriers like product-related issues have been identified as impediments to the adoption of environmental technologies (ResearchGate, 2022). A broader literature review highlights several barriers in the hotel industry, such as financial performance issues and lack of green knowledge (Sage Journals, 2022; ResearchGate, 2022).</w:t>
      </w:r>
    </w:p>
    <w:p w14:paraId="502C5D66" w14:textId="2F452053" w:rsidR="00E94D28" w:rsidRDefault="00E94D28" w:rsidP="00E94D28">
      <w:pPr>
        <w:pStyle w:val="Heading1"/>
      </w:pPr>
      <w:bookmarkStart w:id="17" w:name="_Toc149826564"/>
      <w:r>
        <w:t>Financial Resilience as the Bedrock of Sustainability</w:t>
      </w:r>
      <w:bookmarkEnd w:id="17"/>
    </w:p>
    <w:p w14:paraId="5107FE8D" w14:textId="77777777" w:rsidR="00E94D28" w:rsidRDefault="00E94D28" w:rsidP="00E94D28"/>
    <w:p w14:paraId="098CD374" w14:textId="17EF0D44" w:rsidR="00E94D28" w:rsidRPr="00062403" w:rsidRDefault="00E94D28" w:rsidP="00062403">
      <w:pPr>
        <w:spacing w:line="360" w:lineRule="auto"/>
        <w:rPr>
          <w:rFonts w:ascii="Arial" w:hAnsi="Arial" w:cs="Arial"/>
          <w:sz w:val="24"/>
          <w:szCs w:val="24"/>
        </w:rPr>
      </w:pPr>
      <w:r>
        <w:rPr>
          <w:rFonts w:ascii="Arial" w:hAnsi="Arial" w:cs="Arial"/>
          <w:sz w:val="24"/>
          <w:szCs w:val="24"/>
        </w:rPr>
        <w:t>The very essence of sustainability hinges on the ability of an organization to ensure long-term viability and growth. This sustainability is not just environmental, but also financial. Financial resilience provides the necessary foundation for a company to invest in, implement, and maintain sustainable practices.</w:t>
      </w:r>
      <w:bookmarkStart w:id="18" w:name="_Toc149826565"/>
    </w:p>
    <w:p w14:paraId="7A98C18F" w14:textId="77777777" w:rsidR="00E94D28" w:rsidRPr="00066F14" w:rsidRDefault="00E94D28" w:rsidP="00E94D28">
      <w:pPr>
        <w:pStyle w:val="Heading2"/>
        <w:rPr>
          <w:sz w:val="28"/>
          <w:szCs w:val="28"/>
        </w:rPr>
      </w:pPr>
      <w:r w:rsidRPr="00066F14">
        <w:rPr>
          <w:sz w:val="28"/>
          <w:szCs w:val="28"/>
        </w:rPr>
        <w:t>7.1 The Importance of Financial Planning in sustainability</w:t>
      </w:r>
      <w:bookmarkEnd w:id="18"/>
    </w:p>
    <w:p w14:paraId="6CD82A9C" w14:textId="77777777" w:rsidR="00062403" w:rsidRPr="00062403" w:rsidRDefault="00062403" w:rsidP="00062403"/>
    <w:p w14:paraId="51354343" w14:textId="706C7882" w:rsidR="00062403" w:rsidRPr="00066F14" w:rsidRDefault="00E94D28" w:rsidP="00066F14">
      <w:pPr>
        <w:spacing w:line="360" w:lineRule="auto"/>
        <w:rPr>
          <w:rFonts w:ascii="Arial" w:hAnsi="Arial" w:cs="Arial"/>
          <w:sz w:val="24"/>
          <w:szCs w:val="24"/>
        </w:rPr>
      </w:pPr>
      <w:r>
        <w:rPr>
          <w:rFonts w:ascii="Arial" w:hAnsi="Arial" w:cs="Arial"/>
          <w:sz w:val="24"/>
          <w:szCs w:val="24"/>
        </w:rPr>
        <w:t xml:space="preserve">In the hospitality industry, financial planning serves as the backbone for both operational stability and forward-looking initiatives (Horner &amp; </w:t>
      </w:r>
      <w:proofErr w:type="spellStart"/>
      <w:r>
        <w:rPr>
          <w:rFonts w:ascii="Arial" w:hAnsi="Arial" w:cs="Arial"/>
          <w:sz w:val="24"/>
          <w:szCs w:val="24"/>
        </w:rPr>
        <w:t>Swarbrooke</w:t>
      </w:r>
      <w:proofErr w:type="spellEnd"/>
      <w:r>
        <w:rPr>
          <w:rFonts w:ascii="Arial" w:hAnsi="Arial" w:cs="Arial"/>
          <w:sz w:val="24"/>
          <w:szCs w:val="24"/>
        </w:rPr>
        <w:t>, 2016). Making significant changes, like transitioning to sustainable practices, often requires an initial investment. A hotel chain, for example, wanting to transition to renewable energy sources may need to face substantial upfront costs. This is where solid financial planning comes into play, ensuring that such investments lead to long-term profitability and sustainability (Sigala, 2014).</w:t>
      </w:r>
      <w:bookmarkStart w:id="19" w:name="_Toc149826566"/>
    </w:p>
    <w:p w14:paraId="190A97B7" w14:textId="4B608759" w:rsidR="00E94D28" w:rsidRPr="00066F14" w:rsidRDefault="00E94D28" w:rsidP="00E94D28">
      <w:pPr>
        <w:pStyle w:val="Heading2"/>
        <w:rPr>
          <w:sz w:val="28"/>
          <w:szCs w:val="28"/>
        </w:rPr>
      </w:pPr>
      <w:r w:rsidRPr="00066F14">
        <w:rPr>
          <w:sz w:val="28"/>
          <w:szCs w:val="28"/>
        </w:rPr>
        <w:lastRenderedPageBreak/>
        <w:t>7.2 Case Studies and Industry Examples</w:t>
      </w:r>
      <w:bookmarkEnd w:id="19"/>
    </w:p>
    <w:p w14:paraId="38DD3BBE" w14:textId="77777777" w:rsidR="00062403" w:rsidRPr="00062403" w:rsidRDefault="00062403" w:rsidP="00062403"/>
    <w:p w14:paraId="466B0812" w14:textId="77777777" w:rsidR="00E94D28" w:rsidRDefault="00E94D28" w:rsidP="00E94D28">
      <w:pPr>
        <w:spacing w:line="360" w:lineRule="auto"/>
      </w:pPr>
      <w:r>
        <w:rPr>
          <w:rFonts w:ascii="Arial" w:hAnsi="Arial" w:cs="Arial"/>
          <w:b/>
          <w:bCs/>
          <w:sz w:val="24"/>
          <w:szCs w:val="24"/>
        </w:rPr>
        <w:t xml:space="preserve">1. The Hilton's </w:t>
      </w:r>
      <w:proofErr w:type="spellStart"/>
      <w:r>
        <w:rPr>
          <w:rFonts w:ascii="Arial" w:hAnsi="Arial" w:cs="Arial"/>
          <w:b/>
          <w:bCs/>
          <w:sz w:val="24"/>
          <w:szCs w:val="24"/>
        </w:rPr>
        <w:t>LightStay</w:t>
      </w:r>
      <w:proofErr w:type="spellEnd"/>
      <w:r>
        <w:rPr>
          <w:rFonts w:ascii="Arial" w:hAnsi="Arial" w:cs="Arial"/>
          <w:b/>
          <w:bCs/>
          <w:sz w:val="24"/>
          <w:szCs w:val="24"/>
        </w:rPr>
        <w:t xml:space="preserve"> Program:</w:t>
      </w:r>
      <w:r>
        <w:rPr>
          <w:rFonts w:ascii="Arial" w:hAnsi="Arial" w:cs="Arial"/>
          <w:sz w:val="24"/>
          <w:szCs w:val="24"/>
        </w:rPr>
        <w:t xml:space="preserve"> Hilton </w:t>
      </w:r>
      <w:proofErr w:type="spellStart"/>
      <w:r>
        <w:rPr>
          <w:rFonts w:ascii="Arial" w:hAnsi="Arial" w:cs="Arial"/>
          <w:sz w:val="24"/>
          <w:szCs w:val="24"/>
        </w:rPr>
        <w:t>Worldwide's</w:t>
      </w:r>
      <w:proofErr w:type="spellEnd"/>
      <w:r>
        <w:rPr>
          <w:rFonts w:ascii="Arial" w:hAnsi="Arial" w:cs="Arial"/>
          <w:sz w:val="24"/>
          <w:szCs w:val="24"/>
        </w:rPr>
        <w:t xml:space="preserve"> </w:t>
      </w:r>
      <w:proofErr w:type="spellStart"/>
      <w:r>
        <w:rPr>
          <w:rFonts w:ascii="Arial" w:hAnsi="Arial" w:cs="Arial"/>
          <w:sz w:val="24"/>
          <w:szCs w:val="24"/>
        </w:rPr>
        <w:t>LightStay</w:t>
      </w:r>
      <w:proofErr w:type="spellEnd"/>
      <w:r>
        <w:rPr>
          <w:rFonts w:ascii="Arial" w:hAnsi="Arial" w:cs="Arial"/>
          <w:sz w:val="24"/>
          <w:szCs w:val="24"/>
        </w:rPr>
        <w:t xml:space="preserve"> program demonstrates how environmental responsibility can coexist with profitability. By reducing its carbon footprint and waste output, Hilton has not only improved its environmental performance but has also achieved significant cost savings (</w:t>
      </w:r>
      <w:proofErr w:type="spellStart"/>
      <w:r>
        <w:rPr>
          <w:rFonts w:ascii="Arial" w:hAnsi="Arial" w:cs="Arial"/>
          <w:sz w:val="24"/>
          <w:szCs w:val="24"/>
        </w:rPr>
        <w:t>Bohdanowicz</w:t>
      </w:r>
      <w:proofErr w:type="spellEnd"/>
      <w:r>
        <w:rPr>
          <w:rFonts w:ascii="Arial" w:hAnsi="Arial" w:cs="Arial"/>
          <w:sz w:val="24"/>
          <w:szCs w:val="24"/>
        </w:rPr>
        <w:t xml:space="preserve"> &amp; Martinac, 2015).</w:t>
      </w:r>
    </w:p>
    <w:p w14:paraId="1321640C" w14:textId="77777777" w:rsidR="00E94D28" w:rsidRDefault="00E94D28" w:rsidP="00E94D28">
      <w:pPr>
        <w:spacing w:line="360" w:lineRule="auto"/>
      </w:pPr>
      <w:r>
        <w:rPr>
          <w:rFonts w:ascii="Arial" w:hAnsi="Arial" w:cs="Arial"/>
          <w:b/>
          <w:bCs/>
          <w:sz w:val="24"/>
          <w:szCs w:val="24"/>
        </w:rPr>
        <w:t>2. Marriott’s ‘Serve 360’:</w:t>
      </w:r>
      <w:r>
        <w:rPr>
          <w:rFonts w:ascii="Arial" w:hAnsi="Arial" w:cs="Arial"/>
          <w:sz w:val="24"/>
          <w:szCs w:val="24"/>
        </w:rPr>
        <w:t xml:space="preserve"> This program underscores Marriott’s commitment to intertwining its growth with community and environmental stewardship. Such integrated approaches to sustainability are becoming crucial for maintaining a brand's image and long-term profitability in the hospitality industry (Jones, Hillier &amp; Comfort, 2016).</w:t>
      </w:r>
    </w:p>
    <w:p w14:paraId="0307DB1B" w14:textId="77777777" w:rsidR="00E94D28" w:rsidRDefault="00E94D28" w:rsidP="00E94D28">
      <w:pPr>
        <w:spacing w:line="360" w:lineRule="auto"/>
      </w:pPr>
      <w:r>
        <w:rPr>
          <w:rFonts w:ascii="Arial" w:hAnsi="Arial" w:cs="Arial"/>
          <w:b/>
          <w:bCs/>
          <w:sz w:val="24"/>
          <w:szCs w:val="24"/>
        </w:rPr>
        <w:t>Accor's financial performance:</w:t>
      </w:r>
      <w:r>
        <w:rPr>
          <w:rFonts w:ascii="Arial" w:hAnsi="Arial" w:cs="Arial"/>
          <w:sz w:val="24"/>
          <w:szCs w:val="24"/>
        </w:rPr>
        <w:t xml:space="preserve"> in H1 2023 stands as a testament to the intrinsic link between financial resilience and sustainability.</w:t>
      </w:r>
    </w:p>
    <w:p w14:paraId="5F6D5DDE" w14:textId="77777777" w:rsidR="00E94D28" w:rsidRDefault="00E94D28" w:rsidP="00E94D28">
      <w:pPr>
        <w:spacing w:line="360" w:lineRule="auto"/>
        <w:rPr>
          <w:rFonts w:ascii="Arial" w:hAnsi="Arial" w:cs="Arial"/>
          <w:sz w:val="24"/>
          <w:szCs w:val="24"/>
        </w:rPr>
      </w:pPr>
      <w:r>
        <w:rPr>
          <w:rFonts w:ascii="Arial" w:hAnsi="Arial" w:cs="Arial"/>
          <w:sz w:val="24"/>
          <w:szCs w:val="24"/>
        </w:rPr>
        <w:t xml:space="preserve">Robust Recovery: Accor witnessed a significant recovery in its operations in the first half of 2023. The RevPAR (Revenue Per Available Room) surged by 19% in Q1 2023 compared to Q1 2019. This recovery was supported by both leisure and business demand, culminating in enhanced occupancy rates and improved room rates (Group Accor, 2023). </w:t>
      </w:r>
    </w:p>
    <w:p w14:paraId="01B6FD4C" w14:textId="77777777" w:rsidR="00E94D28" w:rsidRDefault="00E94D28" w:rsidP="00E94D28">
      <w:pPr>
        <w:spacing w:line="360" w:lineRule="auto"/>
        <w:rPr>
          <w:rFonts w:ascii="Arial" w:hAnsi="Arial" w:cs="Arial"/>
          <w:sz w:val="24"/>
          <w:szCs w:val="24"/>
        </w:rPr>
      </w:pPr>
      <w:r>
        <w:rPr>
          <w:rFonts w:ascii="Arial" w:hAnsi="Arial" w:cs="Arial"/>
          <w:sz w:val="24"/>
          <w:szCs w:val="24"/>
        </w:rPr>
        <w:t>Growth and Expansion: Accor's commitment to growth was evident with the inauguration of 114 hotels in H1 2023. With a current portfolio boasting 805,436 rooms across 5,487 hotels, Accor has maintained a steady trajectory of growth, expecting a net unit increase of 2-3% for the entire year (Group Accor, 2023).</w:t>
      </w:r>
    </w:p>
    <w:p w14:paraId="04B60DAD" w14:textId="2FA2D57D" w:rsidR="00E94D28" w:rsidRDefault="00E94D28" w:rsidP="004A2A77">
      <w:pPr>
        <w:spacing w:line="360" w:lineRule="auto"/>
        <w:rPr>
          <w:rFonts w:ascii="Arial" w:hAnsi="Arial" w:cs="Arial"/>
          <w:sz w:val="24"/>
          <w:szCs w:val="24"/>
        </w:rPr>
      </w:pPr>
      <w:r>
        <w:rPr>
          <w:rFonts w:ascii="Arial" w:hAnsi="Arial" w:cs="Arial"/>
          <w:sz w:val="24"/>
          <w:szCs w:val="24"/>
        </w:rPr>
        <w:t xml:space="preserve">Financial Outcomes: Financially, H1 2023 was a period of significant growth for Accor. The company reported revenues amounting to €2,402 million, a commendable 35% like-for-like increase from H1 2022. This growth was underpinned by a 34% increment in the Premium, Midscale, and Economy </w:t>
      </w:r>
      <w:proofErr w:type="gramStart"/>
      <w:r>
        <w:rPr>
          <w:rFonts w:ascii="Arial" w:hAnsi="Arial" w:cs="Arial"/>
          <w:sz w:val="24"/>
          <w:szCs w:val="24"/>
        </w:rPr>
        <w:t>division</w:t>
      </w:r>
      <w:proofErr w:type="gramEnd"/>
      <w:r>
        <w:rPr>
          <w:rFonts w:ascii="Arial" w:hAnsi="Arial" w:cs="Arial"/>
          <w:sz w:val="24"/>
          <w:szCs w:val="24"/>
        </w:rPr>
        <w:t xml:space="preserve"> </w:t>
      </w:r>
    </w:p>
    <w:p w14:paraId="02730AEE" w14:textId="77777777" w:rsidR="00E94D28" w:rsidRDefault="00E94D28" w:rsidP="00E94D28">
      <w:pPr>
        <w:spacing w:line="360" w:lineRule="auto"/>
        <w:rPr>
          <w:rFonts w:ascii="Arial" w:hAnsi="Arial" w:cs="Arial"/>
          <w:b/>
          <w:bCs/>
          <w:sz w:val="24"/>
          <w:szCs w:val="24"/>
        </w:rPr>
      </w:pPr>
      <w:r>
        <w:rPr>
          <w:rFonts w:ascii="Arial" w:hAnsi="Arial" w:cs="Arial"/>
          <w:b/>
          <w:bCs/>
          <w:sz w:val="24"/>
          <w:szCs w:val="24"/>
        </w:rPr>
        <w:t>Operational Implementation and Financial Resilience</w:t>
      </w:r>
    </w:p>
    <w:p w14:paraId="127703FC" w14:textId="77777777" w:rsidR="00E94D28" w:rsidRDefault="00E94D28" w:rsidP="00E94D28">
      <w:pPr>
        <w:spacing w:line="360" w:lineRule="auto"/>
        <w:rPr>
          <w:rFonts w:ascii="Arial" w:hAnsi="Arial" w:cs="Arial"/>
          <w:sz w:val="24"/>
          <w:szCs w:val="24"/>
        </w:rPr>
      </w:pPr>
      <w:r>
        <w:rPr>
          <w:rFonts w:ascii="Arial" w:hAnsi="Arial" w:cs="Arial"/>
          <w:sz w:val="24"/>
          <w:szCs w:val="24"/>
        </w:rPr>
        <w:t xml:space="preserve">Accor is not just about declarations; it's about action. By integrating Environmental, Social, and Governance (ESG) criteria into its financing strategy in 2021, Accor further embedded sustainability into its business model, reinforcing its financial </w:t>
      </w:r>
      <w:r>
        <w:rPr>
          <w:rFonts w:ascii="Arial" w:hAnsi="Arial" w:cs="Arial"/>
          <w:sz w:val="24"/>
          <w:szCs w:val="24"/>
        </w:rPr>
        <w:lastRenderedPageBreak/>
        <w:t>resilience. By making sustainability objectives a key component of its company governance and performance, Accor underscores the vital role of financial planning and resilience in ensuring sustainable development.</w:t>
      </w:r>
    </w:p>
    <w:p w14:paraId="17221D6A" w14:textId="77777777" w:rsidR="00E94D28" w:rsidRDefault="00E94D28" w:rsidP="00E94D28">
      <w:pPr>
        <w:spacing w:line="360" w:lineRule="auto"/>
        <w:rPr>
          <w:rFonts w:ascii="Arial" w:hAnsi="Arial" w:cs="Arial"/>
          <w:sz w:val="24"/>
          <w:szCs w:val="24"/>
        </w:rPr>
      </w:pPr>
    </w:p>
    <w:p w14:paraId="12CF1EB0" w14:textId="77777777" w:rsidR="00E94D28" w:rsidRDefault="00E94D28" w:rsidP="00E94D28">
      <w:pPr>
        <w:spacing w:line="360" w:lineRule="auto"/>
        <w:rPr>
          <w:rFonts w:ascii="Arial" w:hAnsi="Arial" w:cs="Arial"/>
          <w:sz w:val="24"/>
          <w:szCs w:val="24"/>
        </w:rPr>
      </w:pPr>
    </w:p>
    <w:p w14:paraId="2ED8FBBD" w14:textId="77777777" w:rsidR="00E94D28" w:rsidRDefault="00E94D28" w:rsidP="00E94D28">
      <w:pPr>
        <w:pStyle w:val="Heading1"/>
      </w:pPr>
      <w:bookmarkStart w:id="20" w:name="_Toc149826567"/>
      <w:r>
        <w:t>Recommendations:</w:t>
      </w:r>
      <w:bookmarkEnd w:id="20"/>
    </w:p>
    <w:p w14:paraId="553E452B" w14:textId="77777777" w:rsidR="00E94D28" w:rsidRDefault="00E94D28" w:rsidP="00E94D28"/>
    <w:p w14:paraId="50F075B6" w14:textId="77777777" w:rsidR="00E94D28" w:rsidRDefault="00E94D28" w:rsidP="00E94D28">
      <w:pPr>
        <w:spacing w:line="360" w:lineRule="auto"/>
        <w:rPr>
          <w:rFonts w:ascii="Arial" w:hAnsi="Arial" w:cs="Arial"/>
          <w:sz w:val="24"/>
          <w:szCs w:val="24"/>
        </w:rPr>
      </w:pPr>
      <w:r>
        <w:rPr>
          <w:rFonts w:ascii="Arial" w:hAnsi="Arial" w:cs="Arial"/>
          <w:sz w:val="24"/>
          <w:szCs w:val="24"/>
        </w:rPr>
        <w:t>Based on the findings presented in this report, we offer the following recommendations for the hospitality industry to navigate the evolving landscape of sustainability and financial resilience:</w:t>
      </w:r>
    </w:p>
    <w:p w14:paraId="33E0A0F5" w14:textId="77777777" w:rsidR="00E94D28" w:rsidRDefault="00E94D28" w:rsidP="00E94D28">
      <w:pPr>
        <w:spacing w:line="360" w:lineRule="auto"/>
      </w:pPr>
      <w:r>
        <w:rPr>
          <w:rFonts w:ascii="Arial" w:hAnsi="Arial" w:cs="Arial"/>
          <w:b/>
          <w:bCs/>
          <w:sz w:val="24"/>
          <w:szCs w:val="24"/>
        </w:rPr>
        <w:t>Adopt a Triple Bottom Line Approach:</w:t>
      </w:r>
      <w:r>
        <w:rPr>
          <w:rFonts w:ascii="Arial" w:hAnsi="Arial" w:cs="Arial"/>
          <w:sz w:val="24"/>
          <w:szCs w:val="24"/>
        </w:rPr>
        <w:t xml:space="preserve"> Hospitality businesses should embrace the Triple Bottom Line framework, emphasizing social responsibility, environmental stewardship, and sustainable profitability as interconnected goals.</w:t>
      </w:r>
    </w:p>
    <w:p w14:paraId="4B8BA8AD" w14:textId="77777777" w:rsidR="00E94D28" w:rsidRDefault="00E94D28" w:rsidP="00E94D28">
      <w:pPr>
        <w:spacing w:line="360" w:lineRule="auto"/>
      </w:pPr>
      <w:r>
        <w:rPr>
          <w:rFonts w:ascii="Arial" w:hAnsi="Arial" w:cs="Arial"/>
          <w:b/>
          <w:bCs/>
          <w:sz w:val="24"/>
          <w:szCs w:val="24"/>
        </w:rPr>
        <w:t>Invest in Sustainable Practices:</w:t>
      </w:r>
      <w:r>
        <w:rPr>
          <w:rFonts w:ascii="Arial" w:hAnsi="Arial" w:cs="Arial"/>
          <w:sz w:val="24"/>
          <w:szCs w:val="24"/>
        </w:rPr>
        <w:t xml:space="preserve"> Commit to genuine sustainability efforts that go beyond greenwashing. Implement energy-efficient technologies, waste reduction strategies, and community engagement initiatives.</w:t>
      </w:r>
    </w:p>
    <w:p w14:paraId="47D2CE3D" w14:textId="77777777" w:rsidR="00E94D28" w:rsidRDefault="00E94D28" w:rsidP="00E94D28">
      <w:pPr>
        <w:spacing w:line="360" w:lineRule="auto"/>
      </w:pPr>
      <w:r>
        <w:rPr>
          <w:rFonts w:ascii="Arial" w:hAnsi="Arial" w:cs="Arial"/>
          <w:b/>
          <w:bCs/>
          <w:sz w:val="24"/>
          <w:szCs w:val="24"/>
        </w:rPr>
        <w:t>Consumer Engagement:</w:t>
      </w:r>
      <w:r>
        <w:rPr>
          <w:rFonts w:ascii="Arial" w:hAnsi="Arial" w:cs="Arial"/>
          <w:sz w:val="24"/>
          <w:szCs w:val="24"/>
        </w:rPr>
        <w:t xml:space="preserve"> Recognize the importance of consumer-driven sustainability. Engage with guests and </w:t>
      </w:r>
      <w:proofErr w:type="spellStart"/>
      <w:r>
        <w:rPr>
          <w:rFonts w:ascii="Arial" w:hAnsi="Arial" w:cs="Arial"/>
          <w:sz w:val="24"/>
          <w:szCs w:val="24"/>
        </w:rPr>
        <w:t>travelers</w:t>
      </w:r>
      <w:proofErr w:type="spellEnd"/>
      <w:r>
        <w:rPr>
          <w:rFonts w:ascii="Arial" w:hAnsi="Arial" w:cs="Arial"/>
          <w:sz w:val="24"/>
          <w:szCs w:val="24"/>
        </w:rPr>
        <w:t xml:space="preserve"> to highlight sustainable practices and offer eco-friendly options.</w:t>
      </w:r>
    </w:p>
    <w:p w14:paraId="7D3EC862" w14:textId="77777777" w:rsidR="00E94D28" w:rsidRDefault="00E94D28" w:rsidP="00E94D28">
      <w:pPr>
        <w:spacing w:line="360" w:lineRule="auto"/>
      </w:pPr>
      <w:r>
        <w:rPr>
          <w:rFonts w:ascii="Arial" w:hAnsi="Arial" w:cs="Arial"/>
          <w:b/>
          <w:bCs/>
          <w:sz w:val="24"/>
          <w:szCs w:val="24"/>
        </w:rPr>
        <w:t>Energy Transition:</w:t>
      </w:r>
      <w:r>
        <w:rPr>
          <w:rFonts w:ascii="Arial" w:hAnsi="Arial" w:cs="Arial"/>
          <w:sz w:val="24"/>
          <w:szCs w:val="24"/>
        </w:rPr>
        <w:t xml:space="preserve"> Embrace the UK's transition to renewable energy sources to reduce carbon emissions and lower energy costs. Explore partnerships with renewable energy providers.</w:t>
      </w:r>
    </w:p>
    <w:p w14:paraId="6C9A49B7" w14:textId="77777777" w:rsidR="00E94D28" w:rsidRDefault="00E94D28" w:rsidP="00E94D28">
      <w:pPr>
        <w:spacing w:line="360" w:lineRule="auto"/>
      </w:pPr>
      <w:r>
        <w:rPr>
          <w:rFonts w:ascii="Arial" w:hAnsi="Arial" w:cs="Arial"/>
          <w:b/>
          <w:bCs/>
          <w:sz w:val="24"/>
          <w:szCs w:val="24"/>
        </w:rPr>
        <w:t>Financial Planning:</w:t>
      </w:r>
      <w:r>
        <w:rPr>
          <w:rFonts w:ascii="Arial" w:hAnsi="Arial" w:cs="Arial"/>
          <w:sz w:val="24"/>
          <w:szCs w:val="24"/>
        </w:rPr>
        <w:t xml:space="preserve"> Prioritize robust financial planning to ensure the availability of resources for sustainable investments. Evaluate the long-term benefits of sustainability initiatives.</w:t>
      </w:r>
    </w:p>
    <w:p w14:paraId="4B7CD10E" w14:textId="0E6CDD28" w:rsidR="00186FA9" w:rsidRPr="00186FA9" w:rsidRDefault="00E94D28" w:rsidP="00186FA9">
      <w:pPr>
        <w:pStyle w:val="Heading1"/>
        <w:spacing w:line="360" w:lineRule="auto"/>
      </w:pPr>
      <w:bookmarkStart w:id="21" w:name="_Toc149826568"/>
      <w:r>
        <w:t>Conclusion:</w:t>
      </w:r>
      <w:bookmarkEnd w:id="21"/>
    </w:p>
    <w:p w14:paraId="7C1EB441" w14:textId="7D6120A7" w:rsidR="00657BEB" w:rsidRPr="00657BEB" w:rsidRDefault="00657BEB" w:rsidP="00657BEB">
      <w:pPr>
        <w:spacing w:line="360" w:lineRule="auto"/>
        <w:rPr>
          <w:rFonts w:ascii="Arial" w:hAnsi="Arial" w:cs="Arial"/>
          <w:sz w:val="24"/>
          <w:szCs w:val="24"/>
        </w:rPr>
      </w:pPr>
      <w:r w:rsidRPr="00657BEB">
        <w:rPr>
          <w:rFonts w:ascii="Arial" w:hAnsi="Arial" w:cs="Arial"/>
          <w:sz w:val="24"/>
          <w:szCs w:val="24"/>
        </w:rPr>
        <w:t xml:space="preserve">the hospitality industry stands at a pivotal point, balancing the demands of sustainability with traditional business imperatives. The transition towards sustainable practices, driven by both environmental imperatives and evolving </w:t>
      </w:r>
      <w:r w:rsidRPr="00657BEB">
        <w:rPr>
          <w:rFonts w:ascii="Arial" w:hAnsi="Arial" w:cs="Arial"/>
          <w:sz w:val="24"/>
          <w:szCs w:val="24"/>
        </w:rPr>
        <w:lastRenderedPageBreak/>
        <w:t xml:space="preserve">consumer preferences, is redefining success in the industry. Key frameworks such as the Triple Bottom Line and models like Butler's Life Cycle and Doxey’s </w:t>
      </w:r>
      <w:proofErr w:type="spellStart"/>
      <w:r w:rsidRPr="00657BEB">
        <w:rPr>
          <w:rFonts w:ascii="Arial" w:hAnsi="Arial" w:cs="Arial"/>
          <w:sz w:val="24"/>
          <w:szCs w:val="24"/>
        </w:rPr>
        <w:t>Irridex</w:t>
      </w:r>
      <w:proofErr w:type="spellEnd"/>
      <w:r w:rsidRPr="00657BEB">
        <w:rPr>
          <w:rFonts w:ascii="Arial" w:hAnsi="Arial" w:cs="Arial"/>
          <w:sz w:val="24"/>
          <w:szCs w:val="24"/>
        </w:rPr>
        <w:t xml:space="preserve"> offer valuable insights for destination management and sustainable business practices. As the industry navigates these changes, the role of financial resilience becomes increasingly crucial, ensuring that sustainability is not just an ethical choice but a strategic and profitable one. The hospitality sector's journey towards sustainability, while challenging, presents an opportunity to innovate and lead in creating a more responsible and environmentally conscious future.</w:t>
      </w:r>
    </w:p>
    <w:p w14:paraId="40F610CF" w14:textId="77777777" w:rsidR="00657BEB" w:rsidRDefault="00657BEB" w:rsidP="00657BEB"/>
    <w:p w14:paraId="3AEF9DF5" w14:textId="77777777" w:rsidR="00657BEB" w:rsidRDefault="00657BEB" w:rsidP="00657BEB"/>
    <w:p w14:paraId="158B81CB" w14:textId="77777777" w:rsidR="00657BEB" w:rsidRDefault="00657BEB" w:rsidP="00657BEB"/>
    <w:p w14:paraId="2F4F158A" w14:textId="77777777" w:rsidR="00E94D28" w:rsidRDefault="00E94D28" w:rsidP="00E94D28"/>
    <w:p w14:paraId="4AE97EFF" w14:textId="77777777" w:rsidR="00E94D28" w:rsidRDefault="00E94D28" w:rsidP="00E94D28">
      <w:pPr>
        <w:pStyle w:val="Heading1"/>
      </w:pPr>
      <w:bookmarkStart w:id="22" w:name="_Toc149826569"/>
      <w:r>
        <w:t>References:</w:t>
      </w:r>
      <w:bookmarkEnd w:id="22"/>
    </w:p>
    <w:p w14:paraId="789CD3DA" w14:textId="77777777" w:rsidR="00D04594" w:rsidRDefault="00D04594" w:rsidP="00D04594"/>
    <w:p w14:paraId="5147976B" w14:textId="6A9BC730"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EHL Faculty. (2023). Luxury hospitality: Trends, challenges, and best practices. Hospitality Insights by EHL. Available at: hospitalityinsights.ehl.edu</w:t>
      </w:r>
      <w:r>
        <w:rPr>
          <w:rFonts w:ascii="Arial" w:hAnsi="Arial" w:cs="Arial"/>
          <w:sz w:val="24"/>
          <w:szCs w:val="24"/>
        </w:rPr>
        <w:t xml:space="preserve">. </w:t>
      </w:r>
      <w:proofErr w:type="gramStart"/>
      <w:r w:rsidRPr="00D04594">
        <w:rPr>
          <w:rFonts w:ascii="Arial" w:hAnsi="Arial" w:cs="Arial"/>
          <w:sz w:val="24"/>
          <w:szCs w:val="24"/>
        </w:rPr>
        <w:t>(</w:t>
      </w:r>
      <w:proofErr w:type="gramEnd"/>
      <w:r w:rsidRPr="00D04594">
        <w:rPr>
          <w:rFonts w:ascii="Arial" w:hAnsi="Arial" w:cs="Arial"/>
          <w:sz w:val="24"/>
          <w:szCs w:val="24"/>
        </w:rPr>
        <w:t>Accessed: 8 November. 2023).</w:t>
      </w:r>
    </w:p>
    <w:p w14:paraId="4288CF18" w14:textId="11DC7339"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 xml:space="preserve">UK </w:t>
      </w:r>
      <w:proofErr w:type="gramStart"/>
      <w:r w:rsidRPr="00D04594">
        <w:rPr>
          <w:rFonts w:ascii="Arial" w:hAnsi="Arial" w:cs="Arial"/>
          <w:sz w:val="24"/>
          <w:szCs w:val="24"/>
        </w:rPr>
        <w:t>Government,(</w:t>
      </w:r>
      <w:proofErr w:type="gramEnd"/>
      <w:r w:rsidRPr="00D04594">
        <w:rPr>
          <w:rFonts w:ascii="Arial" w:hAnsi="Arial" w:cs="Arial"/>
          <w:sz w:val="24"/>
          <w:szCs w:val="24"/>
        </w:rPr>
        <w:t xml:space="preserve"> 2023). Powering up Britain: Net Zero Growth Plan. [pdf] Available at: </w:t>
      </w:r>
      <w:hyperlink r:id="rId6" w:history="1">
        <w:r w:rsidRPr="00591CBD">
          <w:rPr>
            <w:rStyle w:val="Hyperlink"/>
            <w:rFonts w:ascii="Arial" w:hAnsi="Arial" w:cs="Arial"/>
            <w:sz w:val="24"/>
            <w:szCs w:val="24"/>
          </w:rPr>
          <w:t>https://assets.publishing.service.gov.uk/government/uploads/system/uploads/attachment_data/file/1147457/powering-up-britain-net-zero-growth-plan.pdf</w:t>
        </w:r>
      </w:hyperlink>
      <w:r>
        <w:rPr>
          <w:rFonts w:ascii="Arial" w:hAnsi="Arial" w:cs="Arial"/>
          <w:sz w:val="24"/>
          <w:szCs w:val="24"/>
        </w:rPr>
        <w:t xml:space="preserve"> </w:t>
      </w:r>
      <w:r w:rsidRPr="00D04594">
        <w:rPr>
          <w:rFonts w:ascii="Arial" w:hAnsi="Arial" w:cs="Arial"/>
          <w:sz w:val="24"/>
          <w:szCs w:val="24"/>
        </w:rPr>
        <w:t>(Accessed: 12 Nov. 2023).</w:t>
      </w:r>
    </w:p>
    <w:p w14:paraId="157DA2CA" w14:textId="11F3FF42" w:rsidR="00D04594" w:rsidRPr="00D04594" w:rsidRDefault="00D04594" w:rsidP="00D04594">
      <w:pPr>
        <w:spacing w:line="360" w:lineRule="auto"/>
        <w:rPr>
          <w:rFonts w:ascii="Arial" w:hAnsi="Arial" w:cs="Arial"/>
          <w:sz w:val="24"/>
          <w:szCs w:val="24"/>
        </w:rPr>
      </w:pPr>
      <w:proofErr w:type="spellStart"/>
      <w:r w:rsidRPr="00D04594">
        <w:rPr>
          <w:rFonts w:ascii="Arial" w:hAnsi="Arial" w:cs="Arial"/>
          <w:sz w:val="24"/>
          <w:szCs w:val="24"/>
        </w:rPr>
        <w:t>Zizka</w:t>
      </w:r>
      <w:proofErr w:type="spellEnd"/>
      <w:r w:rsidRPr="00D04594">
        <w:rPr>
          <w:rFonts w:ascii="Arial" w:hAnsi="Arial" w:cs="Arial"/>
          <w:sz w:val="24"/>
          <w:szCs w:val="24"/>
        </w:rPr>
        <w:t xml:space="preserve">, L., (2016). CSR challenges facing the hospitality industry: a case study. Hospitality Net. Available at: </w:t>
      </w:r>
      <w:hyperlink r:id="rId7" w:history="1">
        <w:r w:rsidRPr="00591CBD">
          <w:rPr>
            <w:rStyle w:val="Hyperlink"/>
            <w:rFonts w:ascii="Arial" w:hAnsi="Arial" w:cs="Arial"/>
            <w:sz w:val="24"/>
            <w:szCs w:val="24"/>
          </w:rPr>
          <w:t>https://www.hospitalitynet.org/opinion/4080102.html</w:t>
        </w:r>
      </w:hyperlink>
      <w:r>
        <w:rPr>
          <w:rFonts w:ascii="Arial" w:hAnsi="Arial" w:cs="Arial"/>
          <w:sz w:val="24"/>
          <w:szCs w:val="24"/>
        </w:rPr>
        <w:t xml:space="preserve"> (</w:t>
      </w:r>
      <w:r w:rsidRPr="00D04594">
        <w:rPr>
          <w:rFonts w:ascii="Arial" w:hAnsi="Arial" w:cs="Arial"/>
          <w:sz w:val="24"/>
          <w:szCs w:val="24"/>
        </w:rPr>
        <w:t>Accessed 12 Nov. 2023</w:t>
      </w:r>
      <w:r>
        <w:rPr>
          <w:rFonts w:ascii="Arial" w:hAnsi="Arial" w:cs="Arial"/>
          <w:sz w:val="24"/>
          <w:szCs w:val="24"/>
        </w:rPr>
        <w:t>)</w:t>
      </w:r>
      <w:r w:rsidRPr="00D04594">
        <w:rPr>
          <w:rFonts w:ascii="Arial" w:hAnsi="Arial" w:cs="Arial"/>
          <w:sz w:val="24"/>
          <w:szCs w:val="24"/>
        </w:rPr>
        <w:t>.</w:t>
      </w:r>
    </w:p>
    <w:p w14:paraId="0FDAD569" w14:textId="77777777"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Friedman, M., (1970). The Social Responsibility of Business Is to Increase Its Profits. The New York Times Magazine, September 13.</w:t>
      </w:r>
    </w:p>
    <w:p w14:paraId="5939CF32" w14:textId="77777777"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Crane, A. and Matten, D., (2016). Business Ethics: Managing Corporate Citizenship and Sustainability in the Age of Globalization. Oxford: Oxford University Press.</w:t>
      </w:r>
    </w:p>
    <w:p w14:paraId="19CE97E5" w14:textId="77777777"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lastRenderedPageBreak/>
        <w:t>Elkington, J. (1994). Towards the Sustainable Corporation: Win-Win-Win Business Strategies for Sustainable Development. California Management Review, 36(2), 90-100.</w:t>
      </w:r>
    </w:p>
    <w:p w14:paraId="25A5E0CB" w14:textId="77777777"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Jones, P., Hillier, D. and Comfort, D., (2016). Corporate Responsibility and Sustainable Development: An Integrative Framework. Management Decision, 54(2), pp.344-361.</w:t>
      </w:r>
    </w:p>
    <w:p w14:paraId="67AD92DA" w14:textId="0BE5D9C3"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 xml:space="preserve">Gelb, J., McCarthy, R., Rehm, W. and Voronin, A., (2023). Investors want to hear from companies about the value of sustainability. McKinsey &amp; Company, Available at:  </w:t>
      </w:r>
      <w:hyperlink r:id="rId8" w:history="1">
        <w:r w:rsidR="00186FA9" w:rsidRPr="00591CBD">
          <w:rPr>
            <w:rStyle w:val="Hyperlink"/>
            <w:rFonts w:ascii="Arial" w:hAnsi="Arial" w:cs="Arial"/>
            <w:sz w:val="24"/>
            <w:szCs w:val="24"/>
          </w:rPr>
          <w:t>https://www.mckinsey.com/capabilities/strategy-and-corporate-finance/our-insights/investors-want-to-hear-from-companies-about-the-value-of-sustainability</w:t>
        </w:r>
      </w:hyperlink>
      <w:r w:rsidR="00186FA9">
        <w:rPr>
          <w:rFonts w:ascii="Arial" w:hAnsi="Arial" w:cs="Arial"/>
          <w:sz w:val="24"/>
          <w:szCs w:val="24"/>
        </w:rPr>
        <w:t xml:space="preserve"> (</w:t>
      </w:r>
      <w:r w:rsidRPr="00D04594">
        <w:rPr>
          <w:rFonts w:ascii="Arial" w:hAnsi="Arial" w:cs="Arial"/>
          <w:sz w:val="24"/>
          <w:szCs w:val="24"/>
        </w:rPr>
        <w:t>Accessed: 10 November, 2023</w:t>
      </w:r>
      <w:r w:rsidR="00186FA9">
        <w:rPr>
          <w:rFonts w:ascii="Arial" w:hAnsi="Arial" w:cs="Arial"/>
          <w:sz w:val="24"/>
          <w:szCs w:val="24"/>
        </w:rPr>
        <w:t>)</w:t>
      </w:r>
      <w:r w:rsidRPr="00D04594">
        <w:rPr>
          <w:rFonts w:ascii="Arial" w:hAnsi="Arial" w:cs="Arial"/>
          <w:sz w:val="24"/>
          <w:szCs w:val="24"/>
        </w:rPr>
        <w:t>.</w:t>
      </w:r>
    </w:p>
    <w:p w14:paraId="08E79D80" w14:textId="77777777"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Elkington, J., (2004). The Triple Bottom Line. 1st ed. Routledge.</w:t>
      </w:r>
    </w:p>
    <w:p w14:paraId="3891E4FB" w14:textId="77777777" w:rsidR="00D04594" w:rsidRPr="00D04594" w:rsidRDefault="00D04594" w:rsidP="00D04594">
      <w:pPr>
        <w:spacing w:line="360" w:lineRule="auto"/>
        <w:rPr>
          <w:rFonts w:ascii="Arial" w:hAnsi="Arial" w:cs="Arial"/>
          <w:sz w:val="24"/>
          <w:szCs w:val="24"/>
        </w:rPr>
      </w:pPr>
      <w:proofErr w:type="spellStart"/>
      <w:r w:rsidRPr="00D04594">
        <w:rPr>
          <w:rFonts w:ascii="Arial" w:hAnsi="Arial" w:cs="Arial"/>
          <w:sz w:val="24"/>
          <w:szCs w:val="24"/>
        </w:rPr>
        <w:t>Slaper</w:t>
      </w:r>
      <w:proofErr w:type="spellEnd"/>
      <w:r w:rsidRPr="00D04594">
        <w:rPr>
          <w:rFonts w:ascii="Arial" w:hAnsi="Arial" w:cs="Arial"/>
          <w:sz w:val="24"/>
          <w:szCs w:val="24"/>
        </w:rPr>
        <w:t>, T.F. and Hall, T.J., (2011). The triple bottom line: What is it and how does it work? Indiana Business Review, 86(1), pp.4-8.</w:t>
      </w:r>
    </w:p>
    <w:p w14:paraId="500A54D6" w14:textId="77777777"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 xml:space="preserve">Jones, P., Hillier, D. and Comfort, D., (2016). Sustainability in the hospitality industry: some personal reflections on corporate challenges and research agendas. International Journal of Contemporary Hospitality Management, 28(1), pp.36-67. </w:t>
      </w:r>
      <w:proofErr w:type="spellStart"/>
      <w:r w:rsidRPr="00D04594">
        <w:rPr>
          <w:rFonts w:ascii="Arial" w:hAnsi="Arial" w:cs="Arial"/>
          <w:sz w:val="24"/>
          <w:szCs w:val="24"/>
        </w:rPr>
        <w:t>doi</w:t>
      </w:r>
      <w:proofErr w:type="spellEnd"/>
      <w:r w:rsidRPr="00D04594">
        <w:rPr>
          <w:rFonts w:ascii="Arial" w:hAnsi="Arial" w:cs="Arial"/>
          <w:sz w:val="24"/>
          <w:szCs w:val="24"/>
        </w:rPr>
        <w:t>: 10.1108/IJCHM-10-2012-0180.</w:t>
      </w:r>
    </w:p>
    <w:p w14:paraId="376585E9" w14:textId="77777777"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Doxey, G.V., (1975). A causation theory of visitor-resident irritants: methodology and research inferences. In: Proceedings of the Travel and Tourism Research Association's Sixth Annual Conference, San Diego, 8-11 September 1975. Travel Research Association, pp.195-198.</w:t>
      </w:r>
    </w:p>
    <w:p w14:paraId="4CCF1243" w14:textId="77777777"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Butler, R., (1980). The concept of a tourist area cycle of evolution: implications for management of resources. Canadian Geographer, 24(1), pp.5-12.</w:t>
      </w:r>
    </w:p>
    <w:p w14:paraId="3EFC6D48" w14:textId="77777777"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Hall, C.M., (2008). Tourism Planning: Policies, Processes and Relationships. London: Pearson Education.</w:t>
      </w:r>
    </w:p>
    <w:p w14:paraId="74F92DEF" w14:textId="77777777"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Font, X. and McCabe, S. (eds), 2018. Marketing for Sustainable Tourism. 1st ed. Routledge.</w:t>
      </w:r>
    </w:p>
    <w:p w14:paraId="16640E4E" w14:textId="77777777"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 xml:space="preserve">Lyon, T.P. and Montgomery, A.W., (2013). </w:t>
      </w:r>
      <w:proofErr w:type="spellStart"/>
      <w:r w:rsidRPr="00D04594">
        <w:rPr>
          <w:rFonts w:ascii="Arial" w:hAnsi="Arial" w:cs="Arial"/>
          <w:sz w:val="24"/>
          <w:szCs w:val="24"/>
        </w:rPr>
        <w:t>Tweetjacked</w:t>
      </w:r>
      <w:proofErr w:type="spellEnd"/>
      <w:r w:rsidRPr="00D04594">
        <w:rPr>
          <w:rFonts w:ascii="Arial" w:hAnsi="Arial" w:cs="Arial"/>
          <w:sz w:val="24"/>
          <w:szCs w:val="24"/>
        </w:rPr>
        <w:t xml:space="preserve">: The Impact of </w:t>
      </w:r>
      <w:proofErr w:type="gramStart"/>
      <w:r w:rsidRPr="00D04594">
        <w:rPr>
          <w:rFonts w:ascii="Arial" w:hAnsi="Arial" w:cs="Arial"/>
          <w:sz w:val="24"/>
          <w:szCs w:val="24"/>
        </w:rPr>
        <w:t>Social Media</w:t>
      </w:r>
      <w:proofErr w:type="gramEnd"/>
      <w:r w:rsidRPr="00D04594">
        <w:rPr>
          <w:rFonts w:ascii="Arial" w:hAnsi="Arial" w:cs="Arial"/>
          <w:sz w:val="24"/>
          <w:szCs w:val="24"/>
        </w:rPr>
        <w:t xml:space="preserve"> on Corporate Greenwash. Journal of Business Ethics, 118, pp.747–757.</w:t>
      </w:r>
    </w:p>
    <w:p w14:paraId="17859025" w14:textId="77777777"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lastRenderedPageBreak/>
        <w:t xml:space="preserve">Jones, P., Hillier, D. and Comfort, D., (2016). Sustainability in the hospitality industry: Some personal reflections on corporate challenges and research agendas. International Journal of Contemporary Hospitality Management, 28(1), pp.36-67. </w:t>
      </w:r>
      <w:proofErr w:type="spellStart"/>
      <w:r w:rsidRPr="00D04594">
        <w:rPr>
          <w:rFonts w:ascii="Arial" w:hAnsi="Arial" w:cs="Arial"/>
          <w:sz w:val="24"/>
          <w:szCs w:val="24"/>
        </w:rPr>
        <w:t>doi</w:t>
      </w:r>
      <w:proofErr w:type="spellEnd"/>
      <w:r w:rsidRPr="00D04594">
        <w:rPr>
          <w:rFonts w:ascii="Arial" w:hAnsi="Arial" w:cs="Arial"/>
          <w:sz w:val="24"/>
          <w:szCs w:val="24"/>
        </w:rPr>
        <w:t>: 10.1108/IJCHM-11-2014-0572.</w:t>
      </w:r>
    </w:p>
    <w:p w14:paraId="79F78BB1" w14:textId="77777777"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Department for Business, Energy &amp; Industrial Strategy, (2020). The Energy White Paper: Powering Our Net Zero Future. UK Government. Available at: https://www.gov.uk/government/publications/energy-white-paper-powering-our-net-zero-future (Accessed: 28 October. 2023).</w:t>
      </w:r>
    </w:p>
    <w:p w14:paraId="28B7049B" w14:textId="77777777"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ScienceDirect (2022) 'What hinders hotels’ adoption of environmental technologies: A quantitative study', ScienceDirect. Available at: https://www.sciencedirect.com (Accessed: 10 November. 2023).</w:t>
      </w:r>
    </w:p>
    <w:p w14:paraId="1038792A" w14:textId="08B93796"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 xml:space="preserve">Sage Journals (2022) 'Barriers to the Implementation of Green Practices in the Integrated Resorts', Sage Journals. Available at: </w:t>
      </w:r>
      <w:hyperlink r:id="rId9" w:history="1">
        <w:r w:rsidR="00186FA9" w:rsidRPr="00591CBD">
          <w:rPr>
            <w:rStyle w:val="Hyperlink"/>
            <w:rFonts w:ascii="Arial" w:hAnsi="Arial" w:cs="Arial"/>
            <w:sz w:val="24"/>
            <w:szCs w:val="24"/>
          </w:rPr>
          <w:t>https://journals.sagepub.com</w:t>
        </w:r>
      </w:hyperlink>
      <w:r w:rsidR="00186FA9">
        <w:rPr>
          <w:rFonts w:ascii="Arial" w:hAnsi="Arial" w:cs="Arial"/>
          <w:sz w:val="24"/>
          <w:szCs w:val="24"/>
        </w:rPr>
        <w:t xml:space="preserve"> </w:t>
      </w:r>
      <w:r w:rsidRPr="00D04594">
        <w:rPr>
          <w:rFonts w:ascii="Arial" w:hAnsi="Arial" w:cs="Arial"/>
          <w:sz w:val="24"/>
          <w:szCs w:val="24"/>
        </w:rPr>
        <w:t>(Accessed: 7 November. 2023).</w:t>
      </w:r>
    </w:p>
    <w:p w14:paraId="618D0557" w14:textId="77777777"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ResearchGate (2022) 'Barriers to Environmental Technology Adoption in Hotels', ResearchGate. Available at: https://www.researchgate.net (Accessed: 7 November. 2023).</w:t>
      </w:r>
    </w:p>
    <w:p w14:paraId="7A12C693" w14:textId="77777777"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 xml:space="preserve">Horner, S., &amp; </w:t>
      </w:r>
      <w:proofErr w:type="spellStart"/>
      <w:r w:rsidRPr="00D04594">
        <w:rPr>
          <w:rFonts w:ascii="Arial" w:hAnsi="Arial" w:cs="Arial"/>
          <w:sz w:val="24"/>
          <w:szCs w:val="24"/>
        </w:rPr>
        <w:t>Swarbrooke</w:t>
      </w:r>
      <w:proofErr w:type="spellEnd"/>
      <w:r w:rsidRPr="00D04594">
        <w:rPr>
          <w:rFonts w:ascii="Arial" w:hAnsi="Arial" w:cs="Arial"/>
          <w:sz w:val="24"/>
          <w:szCs w:val="24"/>
        </w:rPr>
        <w:t>, J. (2016). The Development and Growth of Senior Tourism. In International Cases in Sustainable Travel &amp; Tourism (pp. 79-92). Routledge.</w:t>
      </w:r>
    </w:p>
    <w:p w14:paraId="3D58EBCA" w14:textId="77777777"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Sigala, M. (2014). Business Models and Systems for Large-Scale E-Distribution of Tourism Services. Information Technology &amp; Tourism, 14(1), 39-58.</w:t>
      </w:r>
    </w:p>
    <w:p w14:paraId="175A7DED" w14:textId="77777777" w:rsidR="00D04594" w:rsidRPr="00D04594" w:rsidRDefault="00D04594" w:rsidP="00D04594">
      <w:pPr>
        <w:spacing w:line="360" w:lineRule="auto"/>
        <w:rPr>
          <w:rFonts w:ascii="Arial" w:hAnsi="Arial" w:cs="Arial"/>
          <w:sz w:val="24"/>
          <w:szCs w:val="24"/>
        </w:rPr>
      </w:pPr>
      <w:proofErr w:type="spellStart"/>
      <w:r w:rsidRPr="00D04594">
        <w:rPr>
          <w:rFonts w:ascii="Arial" w:hAnsi="Arial" w:cs="Arial"/>
          <w:sz w:val="24"/>
          <w:szCs w:val="24"/>
        </w:rPr>
        <w:t>Bohdanowicz</w:t>
      </w:r>
      <w:proofErr w:type="spellEnd"/>
      <w:r w:rsidRPr="00D04594">
        <w:rPr>
          <w:rFonts w:ascii="Arial" w:hAnsi="Arial" w:cs="Arial"/>
          <w:sz w:val="24"/>
          <w:szCs w:val="24"/>
        </w:rPr>
        <w:t xml:space="preserve">, P., &amp; Martinac, I. (2015). The Hilton's </w:t>
      </w:r>
      <w:proofErr w:type="spellStart"/>
      <w:r w:rsidRPr="00D04594">
        <w:rPr>
          <w:rFonts w:ascii="Arial" w:hAnsi="Arial" w:cs="Arial"/>
          <w:sz w:val="24"/>
          <w:szCs w:val="24"/>
        </w:rPr>
        <w:t>LightStay</w:t>
      </w:r>
      <w:proofErr w:type="spellEnd"/>
      <w:r w:rsidRPr="00D04594">
        <w:rPr>
          <w:rFonts w:ascii="Arial" w:hAnsi="Arial" w:cs="Arial"/>
          <w:sz w:val="24"/>
          <w:szCs w:val="24"/>
        </w:rPr>
        <w:t xml:space="preserve"> Program. In International Cases in Sustainable Travel &amp; Tourism (pp. 79-92). Routledge.</w:t>
      </w:r>
    </w:p>
    <w:p w14:paraId="059DA2E6" w14:textId="77777777"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Jones, P., Hillier, D., &amp; Comfort, D. (2016). Marriott’s ‘Serve 360’. In International Cases in Sustainable Travel &amp; Tourism (pp. 79-92). Routledge.</w:t>
      </w:r>
    </w:p>
    <w:p w14:paraId="29C7472F" w14:textId="0FB40A76" w:rsidR="00D04594" w:rsidRPr="00D04594" w:rsidRDefault="00D04594" w:rsidP="00D04594">
      <w:pPr>
        <w:spacing w:line="360" w:lineRule="auto"/>
        <w:rPr>
          <w:rFonts w:ascii="Arial" w:hAnsi="Arial" w:cs="Arial"/>
          <w:sz w:val="24"/>
          <w:szCs w:val="24"/>
        </w:rPr>
      </w:pPr>
      <w:r w:rsidRPr="00D04594">
        <w:rPr>
          <w:rFonts w:ascii="Arial" w:hAnsi="Arial" w:cs="Arial"/>
          <w:sz w:val="24"/>
          <w:szCs w:val="24"/>
        </w:rPr>
        <w:t xml:space="preserve">Group Accor. (2023). Accor H1 2023 Results. Retrieved from </w:t>
      </w:r>
      <w:hyperlink r:id="rId10" w:history="1">
        <w:r w:rsidR="00186FA9" w:rsidRPr="00591CBD">
          <w:rPr>
            <w:rStyle w:val="Hyperlink"/>
            <w:rFonts w:ascii="Arial" w:hAnsi="Arial" w:cs="Arial"/>
            <w:sz w:val="24"/>
            <w:szCs w:val="24"/>
          </w:rPr>
          <w:t>https://group.accor.com/en/investors/half-year-results-2023</w:t>
        </w:r>
      </w:hyperlink>
      <w:r w:rsidR="00186FA9">
        <w:rPr>
          <w:rFonts w:ascii="Arial" w:hAnsi="Arial" w:cs="Arial"/>
          <w:sz w:val="24"/>
          <w:szCs w:val="24"/>
        </w:rPr>
        <w:t xml:space="preserve"> </w:t>
      </w:r>
      <w:r w:rsidRPr="00D04594">
        <w:rPr>
          <w:rFonts w:ascii="Arial" w:hAnsi="Arial" w:cs="Arial"/>
          <w:sz w:val="24"/>
          <w:szCs w:val="24"/>
        </w:rPr>
        <w:t>(Accessed: 9 November. 2023)</w:t>
      </w:r>
    </w:p>
    <w:p w14:paraId="725D4D75" w14:textId="77777777" w:rsidR="00C84CDA" w:rsidRDefault="00C84CDA"/>
    <w:sectPr w:rsidR="00C84CDA">
      <w:footerReference w:type="default" r:id="rId1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F334C0" w14:textId="77777777" w:rsidR="00C429AB" w:rsidRDefault="00C429AB">
      <w:pPr>
        <w:spacing w:after="0" w:line="240" w:lineRule="auto"/>
      </w:pPr>
      <w:r>
        <w:separator/>
      </w:r>
    </w:p>
  </w:endnote>
  <w:endnote w:type="continuationSeparator" w:id="0">
    <w:p w14:paraId="22B948A4" w14:textId="77777777" w:rsidR="00C429AB" w:rsidRDefault="00C429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D48398" w14:textId="77777777" w:rsidR="00E94D28" w:rsidRDefault="00E94D28">
    <w:pPr>
      <w:pStyle w:val="Footer"/>
      <w:jc w:val="right"/>
    </w:pPr>
    <w:r>
      <w:fldChar w:fldCharType="begin"/>
    </w:r>
    <w:r>
      <w:instrText xml:space="preserve"> PAGE </w:instrText>
    </w:r>
    <w:r>
      <w:fldChar w:fldCharType="separate"/>
    </w:r>
    <w:r>
      <w:t>2</w:t>
    </w:r>
    <w:r>
      <w:fldChar w:fldCharType="end"/>
    </w:r>
  </w:p>
  <w:p w14:paraId="5EC93B6E" w14:textId="77777777" w:rsidR="00E94D28" w:rsidRDefault="00E94D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DE217A" w14:textId="77777777" w:rsidR="00C429AB" w:rsidRDefault="00C429AB">
      <w:pPr>
        <w:spacing w:after="0" w:line="240" w:lineRule="auto"/>
      </w:pPr>
      <w:r>
        <w:separator/>
      </w:r>
    </w:p>
  </w:footnote>
  <w:footnote w:type="continuationSeparator" w:id="0">
    <w:p w14:paraId="3080D613" w14:textId="77777777" w:rsidR="00C429AB" w:rsidRDefault="00C429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D28"/>
    <w:rsid w:val="00062403"/>
    <w:rsid w:val="00066324"/>
    <w:rsid w:val="00066F14"/>
    <w:rsid w:val="000B0C81"/>
    <w:rsid w:val="000C7BA9"/>
    <w:rsid w:val="00146D96"/>
    <w:rsid w:val="001812D1"/>
    <w:rsid w:val="00186FA9"/>
    <w:rsid w:val="002113B3"/>
    <w:rsid w:val="00230BFF"/>
    <w:rsid w:val="002C7DF0"/>
    <w:rsid w:val="00321ED2"/>
    <w:rsid w:val="003730BE"/>
    <w:rsid w:val="00376410"/>
    <w:rsid w:val="003E583E"/>
    <w:rsid w:val="00472640"/>
    <w:rsid w:val="004A093B"/>
    <w:rsid w:val="004A2A77"/>
    <w:rsid w:val="004D4470"/>
    <w:rsid w:val="0051542A"/>
    <w:rsid w:val="00573171"/>
    <w:rsid w:val="00654061"/>
    <w:rsid w:val="00657BEB"/>
    <w:rsid w:val="006708A0"/>
    <w:rsid w:val="006F08A5"/>
    <w:rsid w:val="007345F0"/>
    <w:rsid w:val="009116BD"/>
    <w:rsid w:val="00A262EE"/>
    <w:rsid w:val="00AB2F56"/>
    <w:rsid w:val="00B64EDA"/>
    <w:rsid w:val="00C02EE4"/>
    <w:rsid w:val="00C17835"/>
    <w:rsid w:val="00C429AB"/>
    <w:rsid w:val="00C84CDA"/>
    <w:rsid w:val="00CA4D22"/>
    <w:rsid w:val="00D04594"/>
    <w:rsid w:val="00E53341"/>
    <w:rsid w:val="00E94D28"/>
    <w:rsid w:val="00F628C7"/>
    <w:rsid w:val="00FB742A"/>
    <w:rsid w:val="00FC342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D3B3B"/>
  <w15:chartTrackingRefBased/>
  <w15:docId w15:val="{600A58E0-BF46-40E2-9AE7-5078D0398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D28"/>
    <w:pPr>
      <w:suppressAutoHyphens/>
      <w:autoSpaceDN w:val="0"/>
      <w:spacing w:line="251" w:lineRule="auto"/>
    </w:pPr>
    <w:rPr>
      <w:rFonts w:ascii="Calibri" w:eastAsia="Calibri" w:hAnsi="Calibri" w:cs="Times New Roman"/>
      <w:kern w:val="3"/>
      <w:lang w:eastAsia="en-US"/>
      <w14:ligatures w14:val="none"/>
    </w:rPr>
  </w:style>
  <w:style w:type="paragraph" w:styleId="Heading1">
    <w:name w:val="heading 1"/>
    <w:basedOn w:val="Normal"/>
    <w:next w:val="Normal"/>
    <w:link w:val="Heading1Char"/>
    <w:uiPriority w:val="9"/>
    <w:qFormat/>
    <w:rsid w:val="00E94D28"/>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E94D28"/>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D28"/>
    <w:rPr>
      <w:rFonts w:ascii="Calibri Light" w:eastAsia="Times New Roman" w:hAnsi="Calibri Light" w:cs="Times New Roman"/>
      <w:color w:val="2F5496"/>
      <w:kern w:val="3"/>
      <w:sz w:val="32"/>
      <w:szCs w:val="32"/>
      <w:lang w:eastAsia="en-US"/>
      <w14:ligatures w14:val="none"/>
    </w:rPr>
  </w:style>
  <w:style w:type="character" w:customStyle="1" w:styleId="Heading2Char">
    <w:name w:val="Heading 2 Char"/>
    <w:basedOn w:val="DefaultParagraphFont"/>
    <w:link w:val="Heading2"/>
    <w:uiPriority w:val="9"/>
    <w:rsid w:val="00E94D28"/>
    <w:rPr>
      <w:rFonts w:ascii="Calibri Light" w:eastAsia="Times New Roman" w:hAnsi="Calibri Light" w:cs="Times New Roman"/>
      <w:color w:val="2F5496"/>
      <w:kern w:val="3"/>
      <w:sz w:val="26"/>
      <w:szCs w:val="26"/>
      <w:lang w:eastAsia="en-US"/>
      <w14:ligatures w14:val="none"/>
    </w:rPr>
  </w:style>
  <w:style w:type="paragraph" w:styleId="Title">
    <w:name w:val="Title"/>
    <w:basedOn w:val="Normal"/>
    <w:next w:val="Normal"/>
    <w:link w:val="TitleChar"/>
    <w:uiPriority w:val="10"/>
    <w:qFormat/>
    <w:rsid w:val="00E94D28"/>
    <w:pPr>
      <w:spacing w:after="0" w:line="240" w:lineRule="auto"/>
      <w:contextualSpacing/>
    </w:pPr>
    <w:rPr>
      <w:rFonts w:ascii="Calibri Light" w:eastAsia="Times New Roman" w:hAnsi="Calibri Light"/>
      <w:spacing w:val="-10"/>
      <w:sz w:val="56"/>
      <w:szCs w:val="56"/>
    </w:rPr>
  </w:style>
  <w:style w:type="character" w:customStyle="1" w:styleId="TitleChar">
    <w:name w:val="Title Char"/>
    <w:basedOn w:val="DefaultParagraphFont"/>
    <w:link w:val="Title"/>
    <w:uiPriority w:val="10"/>
    <w:rsid w:val="00E94D28"/>
    <w:rPr>
      <w:rFonts w:ascii="Calibri Light" w:eastAsia="Times New Roman" w:hAnsi="Calibri Light" w:cs="Times New Roman"/>
      <w:spacing w:val="-10"/>
      <w:kern w:val="3"/>
      <w:sz w:val="56"/>
      <w:szCs w:val="56"/>
      <w:lang w:eastAsia="en-US"/>
      <w14:ligatures w14:val="none"/>
    </w:rPr>
  </w:style>
  <w:style w:type="paragraph" w:styleId="Footer">
    <w:name w:val="footer"/>
    <w:basedOn w:val="Normal"/>
    <w:link w:val="FooterChar"/>
    <w:rsid w:val="00E94D28"/>
    <w:pPr>
      <w:tabs>
        <w:tab w:val="center" w:pos="4513"/>
        <w:tab w:val="right" w:pos="9026"/>
      </w:tabs>
      <w:spacing w:after="0" w:line="240" w:lineRule="auto"/>
    </w:pPr>
  </w:style>
  <w:style w:type="character" w:customStyle="1" w:styleId="FooterChar">
    <w:name w:val="Footer Char"/>
    <w:basedOn w:val="DefaultParagraphFont"/>
    <w:link w:val="Footer"/>
    <w:rsid w:val="00E94D28"/>
    <w:rPr>
      <w:rFonts w:ascii="Calibri" w:eastAsia="Calibri" w:hAnsi="Calibri" w:cs="Times New Roman"/>
      <w:kern w:val="3"/>
      <w:lang w:eastAsia="en-US"/>
      <w14:ligatures w14:val="none"/>
    </w:rPr>
  </w:style>
  <w:style w:type="paragraph" w:styleId="TOCHeading">
    <w:name w:val="TOC Heading"/>
    <w:basedOn w:val="Heading1"/>
    <w:next w:val="Normal"/>
    <w:rsid w:val="00E94D28"/>
    <w:rPr>
      <w:kern w:val="0"/>
      <w:lang w:val="en-US"/>
    </w:rPr>
  </w:style>
  <w:style w:type="paragraph" w:styleId="TOC2">
    <w:name w:val="toc 2"/>
    <w:basedOn w:val="Normal"/>
    <w:next w:val="Normal"/>
    <w:autoRedefine/>
    <w:rsid w:val="00E94D28"/>
    <w:pPr>
      <w:spacing w:after="100"/>
      <w:ind w:left="220"/>
    </w:pPr>
    <w:rPr>
      <w:rFonts w:ascii="Arial" w:eastAsia="Times New Roman" w:hAnsi="Arial"/>
      <w:kern w:val="0"/>
      <w:sz w:val="24"/>
      <w:lang w:val="en-US"/>
    </w:rPr>
  </w:style>
  <w:style w:type="paragraph" w:styleId="TOC1">
    <w:name w:val="toc 1"/>
    <w:basedOn w:val="Normal"/>
    <w:next w:val="Normal"/>
    <w:autoRedefine/>
    <w:rsid w:val="00E94D28"/>
    <w:pPr>
      <w:spacing w:after="100"/>
    </w:pPr>
    <w:rPr>
      <w:rFonts w:ascii="Arial" w:eastAsia="Times New Roman" w:hAnsi="Arial"/>
      <w:b/>
      <w:kern w:val="0"/>
      <w:sz w:val="24"/>
      <w:lang w:val="en-US"/>
    </w:rPr>
  </w:style>
  <w:style w:type="character" w:styleId="Hyperlink">
    <w:name w:val="Hyperlink"/>
    <w:basedOn w:val="DefaultParagraphFont"/>
    <w:rsid w:val="00E94D28"/>
    <w:rPr>
      <w:color w:val="0563C1"/>
      <w:u w:val="single"/>
    </w:rPr>
  </w:style>
  <w:style w:type="character" w:styleId="CommentReference">
    <w:name w:val="annotation reference"/>
    <w:basedOn w:val="DefaultParagraphFont"/>
    <w:uiPriority w:val="99"/>
    <w:semiHidden/>
    <w:unhideWhenUsed/>
    <w:rsid w:val="00E94D28"/>
    <w:rPr>
      <w:sz w:val="16"/>
      <w:szCs w:val="16"/>
    </w:rPr>
  </w:style>
  <w:style w:type="paragraph" w:styleId="CommentText">
    <w:name w:val="annotation text"/>
    <w:basedOn w:val="Normal"/>
    <w:link w:val="CommentTextChar"/>
    <w:uiPriority w:val="99"/>
    <w:unhideWhenUsed/>
    <w:rsid w:val="00E94D28"/>
    <w:pPr>
      <w:spacing w:line="240" w:lineRule="auto"/>
    </w:pPr>
    <w:rPr>
      <w:sz w:val="20"/>
      <w:szCs w:val="20"/>
    </w:rPr>
  </w:style>
  <w:style w:type="character" w:customStyle="1" w:styleId="CommentTextChar">
    <w:name w:val="Comment Text Char"/>
    <w:basedOn w:val="DefaultParagraphFont"/>
    <w:link w:val="CommentText"/>
    <w:uiPriority w:val="99"/>
    <w:rsid w:val="00E94D28"/>
    <w:rPr>
      <w:rFonts w:ascii="Calibri" w:eastAsia="Calibri" w:hAnsi="Calibri" w:cs="Times New Roman"/>
      <w:kern w:val="3"/>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94D28"/>
    <w:rPr>
      <w:b/>
      <w:bCs/>
    </w:rPr>
  </w:style>
  <w:style w:type="character" w:customStyle="1" w:styleId="CommentSubjectChar">
    <w:name w:val="Comment Subject Char"/>
    <w:basedOn w:val="CommentTextChar"/>
    <w:link w:val="CommentSubject"/>
    <w:uiPriority w:val="99"/>
    <w:semiHidden/>
    <w:rsid w:val="00E94D28"/>
    <w:rPr>
      <w:rFonts w:ascii="Calibri" w:eastAsia="Calibri" w:hAnsi="Calibri" w:cs="Times New Roman"/>
      <w:b/>
      <w:bCs/>
      <w:kern w:val="3"/>
      <w:sz w:val="20"/>
      <w:szCs w:val="20"/>
      <w:lang w:eastAsia="en-US"/>
      <w14:ligatures w14:val="none"/>
    </w:rPr>
  </w:style>
  <w:style w:type="character" w:styleId="UnresolvedMention">
    <w:name w:val="Unresolved Mention"/>
    <w:basedOn w:val="DefaultParagraphFont"/>
    <w:uiPriority w:val="99"/>
    <w:semiHidden/>
    <w:unhideWhenUsed/>
    <w:rsid w:val="00D045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capabilities/strategy-and-corporate-finance/our-insights/investors-want-to-hear-from-companies-about-the-value-of-sustainability"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hospitalitynet.org/opinion/4080102.htm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1147457/powering-up-britain-net-zero-growth-plan.pdf"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group.accor.com/en/investors/half-year-results-2023" TargetMode="External"/><Relationship Id="rId4" Type="http://schemas.openxmlformats.org/officeDocument/2006/relationships/footnotes" Target="footnotes.xml"/><Relationship Id="rId9" Type="http://schemas.openxmlformats.org/officeDocument/2006/relationships/hyperlink" Target="https://journals.sagepub.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13</Pages>
  <Words>3527</Words>
  <Characters>20106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Roberts</dc:creator>
  <cp:keywords/>
  <dc:description/>
  <cp:lastModifiedBy>saima aamir</cp:lastModifiedBy>
  <cp:revision>2</cp:revision>
  <dcterms:created xsi:type="dcterms:W3CDTF">2023-11-13T22:30:00Z</dcterms:created>
  <dcterms:modified xsi:type="dcterms:W3CDTF">2023-11-13T22:30:00Z</dcterms:modified>
</cp:coreProperties>
</file>