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682EFF2" w14:textId="77777777" w:rsidR="003B1457" w:rsidRPr="00664DAE" w:rsidRDefault="003B1457" w:rsidP="00664DAE">
      <w:pPr>
        <w:spacing w:line="480" w:lineRule="auto"/>
        <w:rPr>
          <w:rFonts w:ascii="Times" w:hAnsi="Times"/>
          <w:u w:val="single"/>
        </w:rPr>
      </w:pPr>
    </w:p>
    <w:p w14:paraId="544FF8E6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1B0C8498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4A478A6B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3596047C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5736EC2D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710F6019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75E6928B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2990DB41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353810B9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42E66751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1C166DAA" w14:textId="6A48A364" w:rsidR="0035607E" w:rsidRDefault="0035607E" w:rsidP="0035607E">
      <w:pPr>
        <w:spacing w:line="480" w:lineRule="auto"/>
        <w:jc w:val="center"/>
        <w:rPr>
          <w:rFonts w:ascii="Times" w:hAnsi="Times"/>
        </w:rPr>
      </w:pPr>
      <w:r>
        <w:rPr>
          <w:rFonts w:ascii="Times" w:hAnsi="Times"/>
        </w:rPr>
        <w:t xml:space="preserve">Character Dossier. </w:t>
      </w:r>
    </w:p>
    <w:p w14:paraId="22A68BA9" w14:textId="5A54AA03" w:rsidR="0035607E" w:rsidRDefault="0035607E" w:rsidP="0035607E">
      <w:pPr>
        <w:spacing w:line="480" w:lineRule="auto"/>
        <w:jc w:val="center"/>
        <w:rPr>
          <w:rFonts w:ascii="Times" w:hAnsi="Times"/>
        </w:rPr>
      </w:pPr>
      <w:r>
        <w:rPr>
          <w:rFonts w:ascii="Times" w:hAnsi="Times"/>
        </w:rPr>
        <w:t>Hannah Kozdoj – 1502320</w:t>
      </w:r>
    </w:p>
    <w:p w14:paraId="7FB11ABA" w14:textId="3A56B532" w:rsidR="0035607E" w:rsidRPr="0035607E" w:rsidRDefault="0035607E" w:rsidP="0035607E">
      <w:pPr>
        <w:spacing w:line="480" w:lineRule="auto"/>
        <w:jc w:val="center"/>
        <w:rPr>
          <w:rFonts w:ascii="Times" w:hAnsi="Times"/>
        </w:rPr>
      </w:pPr>
      <w:r>
        <w:rPr>
          <w:rFonts w:ascii="Times" w:hAnsi="Times"/>
        </w:rPr>
        <w:t xml:space="preserve">Word Count: </w:t>
      </w:r>
      <w:r w:rsidR="0086194D">
        <w:rPr>
          <w:rFonts w:ascii="Times" w:hAnsi="Times"/>
        </w:rPr>
        <w:t xml:space="preserve">939. </w:t>
      </w:r>
      <w:bookmarkStart w:id="0" w:name="_GoBack"/>
      <w:bookmarkEnd w:id="0"/>
    </w:p>
    <w:p w14:paraId="2379C111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10F06665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7194F386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7A4F5CC7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51A73D4C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17E761F5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22A5A336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477312BA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24A247AF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00A4BD73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2A1EBC49" w14:textId="77777777" w:rsidR="0016116A" w:rsidRDefault="0016116A" w:rsidP="00664DAE">
      <w:pPr>
        <w:spacing w:line="480" w:lineRule="auto"/>
        <w:rPr>
          <w:rFonts w:ascii="Times" w:hAnsi="Times"/>
          <w:u w:val="single"/>
        </w:rPr>
      </w:pPr>
    </w:p>
    <w:p w14:paraId="6C1AD64E" w14:textId="5053F429" w:rsidR="0090541D" w:rsidRDefault="004E393B" w:rsidP="00D71062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lastRenderedPageBreak/>
        <w:t xml:space="preserve">The </w:t>
      </w:r>
      <w:r w:rsidR="00CD2177">
        <w:rPr>
          <w:rFonts w:ascii="Times" w:hAnsi="Times"/>
        </w:rPr>
        <w:t xml:space="preserve">role my character will take on </w:t>
      </w:r>
      <w:r w:rsidR="0090541D">
        <w:rPr>
          <w:rFonts w:ascii="Times" w:hAnsi="Times"/>
        </w:rPr>
        <w:t xml:space="preserve">will </w:t>
      </w:r>
      <w:r w:rsidR="00ED0204">
        <w:rPr>
          <w:rFonts w:ascii="Times" w:hAnsi="Times"/>
        </w:rPr>
        <w:t xml:space="preserve">be a Satrap </w:t>
      </w:r>
      <w:r w:rsidR="0090541D">
        <w:rPr>
          <w:rFonts w:ascii="Times" w:hAnsi="Times"/>
        </w:rPr>
        <w:t>in</w:t>
      </w:r>
      <w:r>
        <w:rPr>
          <w:rFonts w:ascii="Times" w:hAnsi="Times"/>
        </w:rPr>
        <w:t xml:space="preserve"> Antioch -</w:t>
      </w:r>
      <w:r w:rsidR="00C37E47">
        <w:rPr>
          <w:rFonts w:ascii="Times" w:hAnsi="Times"/>
        </w:rPr>
        <w:t xml:space="preserve"> </w:t>
      </w:r>
      <w:r w:rsidR="005634F4">
        <w:rPr>
          <w:rFonts w:ascii="Times" w:hAnsi="Times"/>
        </w:rPr>
        <w:t xml:space="preserve">Hannius Kozdojius. </w:t>
      </w:r>
    </w:p>
    <w:p w14:paraId="4F40034B" w14:textId="59A40365" w:rsidR="00C7386F" w:rsidRDefault="004E393B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>Ethnically, my character</w:t>
      </w:r>
      <w:r w:rsidR="0090541D">
        <w:rPr>
          <w:rFonts w:ascii="Times" w:hAnsi="Times"/>
        </w:rPr>
        <w:t xml:space="preserve"> will be Greek</w:t>
      </w:r>
      <w:r>
        <w:rPr>
          <w:rFonts w:ascii="Times" w:hAnsi="Times"/>
        </w:rPr>
        <w:t>, the</w:t>
      </w:r>
      <w:r w:rsidR="00301063">
        <w:rPr>
          <w:rFonts w:ascii="Times" w:hAnsi="Times"/>
        </w:rPr>
        <w:t xml:space="preserve"> family originating</w:t>
      </w:r>
      <w:r w:rsidR="00560D51">
        <w:rPr>
          <w:rFonts w:ascii="Times" w:hAnsi="Times"/>
        </w:rPr>
        <w:t xml:space="preserve"> from Antigoneia</w:t>
      </w:r>
      <w:r w:rsidR="00301063">
        <w:rPr>
          <w:rFonts w:ascii="Times" w:hAnsi="Times"/>
        </w:rPr>
        <w:t>, as due to t</w:t>
      </w:r>
      <w:r w:rsidR="0090541D">
        <w:rPr>
          <w:rFonts w:ascii="Times" w:hAnsi="Times"/>
        </w:rPr>
        <w:t>he t</w:t>
      </w:r>
      <w:r w:rsidR="00301063">
        <w:rPr>
          <w:rFonts w:ascii="Times" w:hAnsi="Times"/>
        </w:rPr>
        <w:t>ime of the formation of Antioch they were moved over to become some of the first settlers.</w:t>
      </w:r>
      <w:r w:rsidR="00301063">
        <w:rPr>
          <w:rStyle w:val="FootnoteReference"/>
          <w:rFonts w:ascii="Times" w:hAnsi="Times"/>
        </w:rPr>
        <w:footnoteReference w:id="1"/>
      </w:r>
      <w:r w:rsidR="004A1985">
        <w:rPr>
          <w:rFonts w:ascii="Times" w:hAnsi="Times"/>
        </w:rPr>
        <w:t xml:space="preserve"> Importantly, being based in Antioch means that my character is in the satrapy for </w:t>
      </w:r>
      <w:r>
        <w:rPr>
          <w:rFonts w:ascii="Times" w:hAnsi="Times"/>
        </w:rPr>
        <w:t>the area in which the royals are based.</w:t>
      </w:r>
      <w:r>
        <w:rPr>
          <w:rStyle w:val="FootnoteReference"/>
          <w:rFonts w:ascii="Times" w:hAnsi="Times"/>
        </w:rPr>
        <w:footnoteReference w:id="2"/>
      </w:r>
      <w:r>
        <w:rPr>
          <w:rFonts w:ascii="Times" w:hAnsi="Times"/>
        </w:rPr>
        <w:t xml:space="preserve"> </w:t>
      </w:r>
      <w:r w:rsidR="00E05D83">
        <w:rPr>
          <w:rFonts w:ascii="Times" w:hAnsi="Times"/>
        </w:rPr>
        <w:t>Loyalty</w:t>
      </w:r>
      <w:r w:rsidR="00C7386F">
        <w:rPr>
          <w:rFonts w:ascii="Times" w:hAnsi="Times"/>
        </w:rPr>
        <w:t xml:space="preserve"> is something tha</w:t>
      </w:r>
      <w:r w:rsidR="00E05D83">
        <w:rPr>
          <w:rFonts w:ascii="Times" w:hAnsi="Times"/>
        </w:rPr>
        <w:t>t is incredibly important this ch</w:t>
      </w:r>
      <w:r w:rsidR="009C345D">
        <w:rPr>
          <w:rFonts w:ascii="Times" w:hAnsi="Times"/>
        </w:rPr>
        <w:t>a</w:t>
      </w:r>
      <w:r w:rsidR="00E05D83">
        <w:rPr>
          <w:rFonts w:ascii="Times" w:hAnsi="Times"/>
        </w:rPr>
        <w:t xml:space="preserve">racter, and satraps working </w:t>
      </w:r>
      <w:r w:rsidR="00CD034A">
        <w:rPr>
          <w:rFonts w:ascii="Times" w:hAnsi="Times"/>
        </w:rPr>
        <w:t>with royalty to ensure the Seleucid Empire continues to work well.</w:t>
      </w:r>
      <w:r w:rsidR="00CD034A">
        <w:rPr>
          <w:rStyle w:val="FootnoteReference"/>
          <w:rFonts w:ascii="Times" w:hAnsi="Times"/>
        </w:rPr>
        <w:footnoteReference w:id="3"/>
      </w:r>
      <w:r w:rsidR="007B3DD0">
        <w:rPr>
          <w:rFonts w:ascii="Times" w:hAnsi="Times"/>
        </w:rPr>
        <w:t xml:space="preserve"> As well as this, Antioch is also regarded as ‘the metropolis of Syria’</w:t>
      </w:r>
      <w:r w:rsidR="007B3DD0">
        <w:rPr>
          <w:rStyle w:val="FootnoteReference"/>
          <w:rFonts w:ascii="Times" w:hAnsi="Times"/>
        </w:rPr>
        <w:footnoteReference w:id="4"/>
      </w:r>
      <w:r w:rsidR="00B561E4">
        <w:rPr>
          <w:rFonts w:ascii="Times" w:hAnsi="Times"/>
        </w:rPr>
        <w:t xml:space="preserve">, meaning that my character would be in an environment in which he would be able to continually progress through official roles. </w:t>
      </w:r>
    </w:p>
    <w:p w14:paraId="6820D618" w14:textId="77777777" w:rsidR="009C345D" w:rsidRDefault="009C345D" w:rsidP="00664DAE">
      <w:pPr>
        <w:spacing w:line="480" w:lineRule="auto"/>
        <w:rPr>
          <w:rFonts w:ascii="Times" w:hAnsi="Times"/>
        </w:rPr>
      </w:pPr>
    </w:p>
    <w:p w14:paraId="757A5A87" w14:textId="2BE3A277" w:rsidR="00E05D83" w:rsidRDefault="00CD034A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This character being a satrap means there are certain roles and responsibilities that are undertaken. </w:t>
      </w:r>
      <w:r w:rsidR="00DB61A1">
        <w:rPr>
          <w:rFonts w:ascii="Times" w:hAnsi="Times"/>
        </w:rPr>
        <w:t>The title given to a satrap is evidence to ‘territorial governors in the near east’.</w:t>
      </w:r>
      <w:r w:rsidR="00DB61A1">
        <w:rPr>
          <w:rStyle w:val="FootnoteReference"/>
          <w:rFonts w:ascii="Times" w:hAnsi="Times"/>
        </w:rPr>
        <w:footnoteReference w:id="5"/>
      </w:r>
      <w:r w:rsidR="00DB61A1">
        <w:rPr>
          <w:rFonts w:ascii="Times" w:hAnsi="Times"/>
        </w:rPr>
        <w:t xml:space="preserve"> In the case of the term satrap being used by the Greeks, the translations would literally mean ‘the protector of the Kingdom’.</w:t>
      </w:r>
      <w:r w:rsidR="00DB61A1">
        <w:rPr>
          <w:rStyle w:val="FootnoteReference"/>
          <w:rFonts w:ascii="Times" w:hAnsi="Times"/>
        </w:rPr>
        <w:footnoteReference w:id="6"/>
      </w:r>
      <w:r w:rsidR="00BF4EC1">
        <w:rPr>
          <w:rFonts w:ascii="Times" w:hAnsi="Times"/>
        </w:rPr>
        <w:t xml:space="preserve"> </w:t>
      </w:r>
      <w:r w:rsidR="00FB5F5B">
        <w:rPr>
          <w:rFonts w:ascii="Times" w:hAnsi="Times"/>
        </w:rPr>
        <w:t xml:space="preserve">Although its derivatives are Persian, the use of this word in a Greek </w:t>
      </w:r>
      <w:r w:rsidR="0091394F">
        <w:rPr>
          <w:rFonts w:ascii="Times" w:hAnsi="Times"/>
        </w:rPr>
        <w:t>setting the term had no boundaries to just Persian officials.</w:t>
      </w:r>
      <w:r w:rsidR="0091394F">
        <w:rPr>
          <w:rStyle w:val="FootnoteReference"/>
          <w:rFonts w:ascii="Times" w:hAnsi="Times"/>
        </w:rPr>
        <w:footnoteReference w:id="7"/>
      </w:r>
      <w:r w:rsidR="00FB5F5B">
        <w:rPr>
          <w:rFonts w:ascii="Times" w:hAnsi="Times"/>
        </w:rPr>
        <w:t xml:space="preserve"> </w:t>
      </w:r>
      <w:r w:rsidR="00F05B71">
        <w:rPr>
          <w:rFonts w:ascii="Times" w:hAnsi="Times"/>
        </w:rPr>
        <w:t>The r</w:t>
      </w:r>
      <w:r w:rsidR="00B52378">
        <w:rPr>
          <w:rFonts w:ascii="Times" w:hAnsi="Times"/>
        </w:rPr>
        <w:t xml:space="preserve">ole of my character lies around the management </w:t>
      </w:r>
      <w:r w:rsidR="00920CCC">
        <w:rPr>
          <w:rFonts w:ascii="Times" w:hAnsi="Times"/>
        </w:rPr>
        <w:t>of revenues from a variety of different sources across the</w:t>
      </w:r>
      <w:r w:rsidR="00EB0F64">
        <w:rPr>
          <w:rFonts w:ascii="Times" w:hAnsi="Times"/>
        </w:rPr>
        <w:t xml:space="preserve"> </w:t>
      </w:r>
      <w:r w:rsidR="00920CCC">
        <w:rPr>
          <w:rFonts w:ascii="Times" w:hAnsi="Times"/>
        </w:rPr>
        <w:t>Empire.</w:t>
      </w:r>
      <w:r w:rsidR="00920CCC">
        <w:rPr>
          <w:rStyle w:val="FootnoteReference"/>
          <w:rFonts w:ascii="Times" w:hAnsi="Times"/>
        </w:rPr>
        <w:footnoteReference w:id="8"/>
      </w:r>
      <w:r w:rsidR="00920CCC">
        <w:rPr>
          <w:rFonts w:ascii="Times" w:hAnsi="Times"/>
        </w:rPr>
        <w:t xml:space="preserve"> With this being the case</w:t>
      </w:r>
      <w:r w:rsidR="00457F79">
        <w:rPr>
          <w:rFonts w:ascii="Times" w:hAnsi="Times"/>
        </w:rPr>
        <w:t xml:space="preserve">, an aim for my character is to make sure that the money </w:t>
      </w:r>
      <w:r w:rsidR="00020FD8">
        <w:rPr>
          <w:rFonts w:ascii="Times" w:hAnsi="Times"/>
        </w:rPr>
        <w:t xml:space="preserve">used </w:t>
      </w:r>
      <w:r w:rsidR="0008605F">
        <w:rPr>
          <w:rFonts w:ascii="Times" w:hAnsi="Times"/>
        </w:rPr>
        <w:t>would go towards projects of official interests</w:t>
      </w:r>
      <w:r w:rsidR="00D26A77">
        <w:rPr>
          <w:rFonts w:ascii="Times" w:hAnsi="Times"/>
        </w:rPr>
        <w:t>.</w:t>
      </w:r>
      <w:r w:rsidR="00D26A77">
        <w:rPr>
          <w:rStyle w:val="FootnoteReference"/>
          <w:rFonts w:ascii="Times" w:hAnsi="Times"/>
        </w:rPr>
        <w:footnoteReference w:id="9"/>
      </w:r>
      <w:r w:rsidR="0008605F">
        <w:rPr>
          <w:rFonts w:ascii="Times" w:hAnsi="Times"/>
        </w:rPr>
        <w:t xml:space="preserve"> </w:t>
      </w:r>
    </w:p>
    <w:p w14:paraId="0ED20499" w14:textId="77777777" w:rsidR="00773387" w:rsidRDefault="00773387" w:rsidP="00664DAE">
      <w:pPr>
        <w:spacing w:line="480" w:lineRule="auto"/>
        <w:rPr>
          <w:rFonts w:ascii="Times" w:hAnsi="Times"/>
        </w:rPr>
      </w:pPr>
    </w:p>
    <w:p w14:paraId="3025951F" w14:textId="78E54848" w:rsidR="00CB2F27" w:rsidRDefault="00CB2F27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>Being of an official capacity means that my character will have be better educated in order to make use of roles in government efficiently.</w:t>
      </w:r>
      <w:r w:rsidR="003F3572">
        <w:rPr>
          <w:rStyle w:val="FootnoteReference"/>
          <w:rFonts w:ascii="Times" w:hAnsi="Times"/>
        </w:rPr>
        <w:footnoteReference w:id="10"/>
      </w:r>
      <w:r>
        <w:rPr>
          <w:rFonts w:ascii="Times" w:hAnsi="Times"/>
        </w:rPr>
        <w:t xml:space="preserve"> </w:t>
      </w:r>
      <w:r w:rsidR="00A768A0">
        <w:rPr>
          <w:rFonts w:ascii="Times" w:hAnsi="Times"/>
        </w:rPr>
        <w:t>Especially, as will the Seleucid Empire, education was deemed to be necessary ‘to good practice’.</w:t>
      </w:r>
      <w:r w:rsidR="00A768A0">
        <w:rPr>
          <w:rStyle w:val="FootnoteReference"/>
          <w:rFonts w:ascii="Times" w:hAnsi="Times"/>
        </w:rPr>
        <w:footnoteReference w:id="11"/>
      </w:r>
      <w:r w:rsidR="00756E45">
        <w:rPr>
          <w:rFonts w:ascii="Times" w:hAnsi="Times"/>
        </w:rPr>
        <w:t xml:space="preserve"> </w:t>
      </w:r>
      <w:r w:rsidR="002F6067">
        <w:rPr>
          <w:rFonts w:ascii="Times" w:hAnsi="Times"/>
        </w:rPr>
        <w:t xml:space="preserve">Given my </w:t>
      </w:r>
      <w:r w:rsidR="00763690">
        <w:rPr>
          <w:rFonts w:ascii="Times" w:hAnsi="Times"/>
        </w:rPr>
        <w:t>character’s</w:t>
      </w:r>
      <w:r w:rsidR="002F6067">
        <w:rPr>
          <w:rFonts w:ascii="Times" w:hAnsi="Times"/>
        </w:rPr>
        <w:t xml:space="preserve"> role as city official, it’s the case that my family is of good fortune.</w:t>
      </w:r>
      <w:r w:rsidR="000D5091">
        <w:rPr>
          <w:rStyle w:val="FootnoteReference"/>
          <w:rFonts w:ascii="Times" w:hAnsi="Times"/>
        </w:rPr>
        <w:footnoteReference w:id="12"/>
      </w:r>
    </w:p>
    <w:p w14:paraId="5602E6F0" w14:textId="77777777" w:rsidR="00444947" w:rsidRDefault="00444947" w:rsidP="00664DAE">
      <w:pPr>
        <w:spacing w:line="480" w:lineRule="auto"/>
        <w:rPr>
          <w:rFonts w:ascii="Times" w:hAnsi="Times"/>
        </w:rPr>
      </w:pPr>
    </w:p>
    <w:p w14:paraId="655A1856" w14:textId="3F41D9EC" w:rsidR="00376742" w:rsidRDefault="00444947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There have been cases in which </w:t>
      </w:r>
      <w:r w:rsidR="0013249B">
        <w:rPr>
          <w:rFonts w:ascii="Times" w:hAnsi="Times"/>
        </w:rPr>
        <w:t>Satraps have been involved in</w:t>
      </w:r>
      <w:r w:rsidR="00C9070A">
        <w:rPr>
          <w:rFonts w:ascii="Times" w:hAnsi="Times"/>
        </w:rPr>
        <w:t>, especially with the removal of Satrapies from society.</w:t>
      </w:r>
      <w:r w:rsidR="00C9070A">
        <w:rPr>
          <w:rStyle w:val="FootnoteReference"/>
          <w:rFonts w:ascii="Times" w:hAnsi="Times"/>
        </w:rPr>
        <w:footnoteReference w:id="13"/>
      </w:r>
      <w:r w:rsidR="00C9070A">
        <w:rPr>
          <w:rFonts w:ascii="Times" w:hAnsi="Times"/>
        </w:rPr>
        <w:t xml:space="preserve"> With this being the case, a goal for my character would be to ensure that there is preparation in place should a revolt take place to ensure that the satrapy remains safe and secure. </w:t>
      </w:r>
      <w:r w:rsidR="00A53238">
        <w:rPr>
          <w:rFonts w:ascii="Times" w:hAnsi="Times"/>
        </w:rPr>
        <w:t>As well as externa</w:t>
      </w:r>
      <w:r w:rsidR="00376742">
        <w:rPr>
          <w:rFonts w:ascii="Times" w:hAnsi="Times"/>
        </w:rPr>
        <w:t>l</w:t>
      </w:r>
      <w:r w:rsidR="00A53238">
        <w:rPr>
          <w:rFonts w:ascii="Times" w:hAnsi="Times"/>
        </w:rPr>
        <w:t xml:space="preserve"> revolts, revolts within Satrapies </w:t>
      </w:r>
      <w:r w:rsidR="00376742">
        <w:rPr>
          <w:rFonts w:ascii="Times" w:hAnsi="Times"/>
        </w:rPr>
        <w:t>against the throne.</w:t>
      </w:r>
      <w:r w:rsidR="00376742">
        <w:rPr>
          <w:rStyle w:val="FootnoteReference"/>
          <w:rFonts w:ascii="Times" w:hAnsi="Times"/>
        </w:rPr>
        <w:footnoteReference w:id="14"/>
      </w:r>
      <w:r w:rsidR="00376742">
        <w:rPr>
          <w:rFonts w:ascii="Times" w:hAnsi="Times"/>
        </w:rPr>
        <w:t xml:space="preserve"> In order to ensure that this wouldn’</w:t>
      </w:r>
      <w:r w:rsidR="00773387">
        <w:rPr>
          <w:rFonts w:ascii="Times" w:hAnsi="Times"/>
        </w:rPr>
        <w:t>t happen</w:t>
      </w:r>
      <w:r w:rsidR="00DC677A">
        <w:rPr>
          <w:rFonts w:ascii="Times" w:hAnsi="Times"/>
        </w:rPr>
        <w:t>, the loyalty shown to the Royal family and good communications would contribute to peace amongst the satrapy towards the Royals</w:t>
      </w:r>
      <w:r w:rsidR="00237F87">
        <w:rPr>
          <w:rFonts w:ascii="Times" w:hAnsi="Times"/>
        </w:rPr>
        <w:t>, as well as being aware of the plans of other Satrapies, as seen from the actions of Molon, Satrap of Media,</w:t>
      </w:r>
      <w:r w:rsidR="00237F87">
        <w:rPr>
          <w:rStyle w:val="FootnoteReference"/>
          <w:rFonts w:ascii="Times" w:hAnsi="Times"/>
        </w:rPr>
        <w:footnoteReference w:id="15"/>
      </w:r>
      <w:r w:rsidR="00237F87">
        <w:rPr>
          <w:rFonts w:ascii="Times" w:hAnsi="Times"/>
        </w:rPr>
        <w:t xml:space="preserve"> there was not sufficient monitoring of Satrapies. </w:t>
      </w:r>
    </w:p>
    <w:p w14:paraId="6F8AE037" w14:textId="77777777" w:rsidR="00773387" w:rsidRDefault="00773387" w:rsidP="00664DAE">
      <w:pPr>
        <w:spacing w:line="480" w:lineRule="auto"/>
        <w:rPr>
          <w:rFonts w:ascii="Times" w:hAnsi="Times"/>
        </w:rPr>
      </w:pPr>
    </w:p>
    <w:p w14:paraId="7FB716C2" w14:textId="4C37E55E" w:rsidR="00D85277" w:rsidRDefault="00376742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Geographically, </w:t>
      </w:r>
      <w:r w:rsidR="00D85277">
        <w:rPr>
          <w:rFonts w:ascii="Times" w:hAnsi="Times"/>
        </w:rPr>
        <w:t xml:space="preserve">Satraps in Antioch would have been integral to the Empire and the control the Seleucid Empire had, because of the positioning of Antioch </w:t>
      </w:r>
      <w:r w:rsidR="00B25D60">
        <w:rPr>
          <w:rFonts w:ascii="Times" w:hAnsi="Times"/>
        </w:rPr>
        <w:t xml:space="preserve">– and neighbouring Antigoneia - </w:t>
      </w:r>
      <w:r w:rsidR="00D85277">
        <w:rPr>
          <w:rFonts w:ascii="Times" w:hAnsi="Times"/>
        </w:rPr>
        <w:t>in relation to Syria</w:t>
      </w:r>
      <w:r w:rsidR="00B25D60">
        <w:rPr>
          <w:rFonts w:ascii="Times" w:hAnsi="Times"/>
        </w:rPr>
        <w:t>.</w:t>
      </w:r>
      <w:r w:rsidR="00B25D60">
        <w:rPr>
          <w:rStyle w:val="FootnoteReference"/>
          <w:rFonts w:ascii="Times" w:hAnsi="Times"/>
        </w:rPr>
        <w:footnoteReference w:id="16"/>
      </w:r>
      <w:r w:rsidR="00B25D60">
        <w:rPr>
          <w:rFonts w:ascii="Times" w:hAnsi="Times"/>
        </w:rPr>
        <w:t xml:space="preserve"> T</w:t>
      </w:r>
      <w:r w:rsidR="00D85277">
        <w:rPr>
          <w:rFonts w:ascii="Times" w:hAnsi="Times"/>
        </w:rPr>
        <w:t>he</w:t>
      </w:r>
      <w:r w:rsidR="006562FF">
        <w:rPr>
          <w:rFonts w:ascii="Times" w:hAnsi="Times"/>
        </w:rPr>
        <w:t xml:space="preserve"> elevation of the city would have proved integral to being able to watch o</w:t>
      </w:r>
      <w:r w:rsidR="00B25D60">
        <w:rPr>
          <w:rFonts w:ascii="Times" w:hAnsi="Times"/>
        </w:rPr>
        <w:t xml:space="preserve">ver Babylon and Satrapies there, </w:t>
      </w:r>
      <w:r w:rsidR="00990659">
        <w:rPr>
          <w:rFonts w:ascii="Times" w:hAnsi="Times"/>
        </w:rPr>
        <w:t>as well as satrapies in Egypt.</w:t>
      </w:r>
      <w:r w:rsidR="009B4E63">
        <w:rPr>
          <w:rStyle w:val="FootnoteReference"/>
          <w:rFonts w:ascii="Times" w:hAnsi="Times"/>
        </w:rPr>
        <w:footnoteReference w:id="17"/>
      </w:r>
      <w:r w:rsidR="00DB0BA1">
        <w:rPr>
          <w:rFonts w:ascii="Times" w:hAnsi="Times"/>
        </w:rPr>
        <w:t xml:space="preserve"> </w:t>
      </w:r>
      <w:r w:rsidR="00F376AF">
        <w:rPr>
          <w:rFonts w:ascii="Times" w:hAnsi="Times"/>
        </w:rPr>
        <w:t>Part of this would include Antioch being a place in which it was possible to be in ‘control of their eastern possessions’,</w:t>
      </w:r>
      <w:r w:rsidR="00F376AF">
        <w:rPr>
          <w:rStyle w:val="FootnoteReference"/>
          <w:rFonts w:ascii="Times" w:hAnsi="Times"/>
        </w:rPr>
        <w:footnoteReference w:id="18"/>
      </w:r>
      <w:r w:rsidR="00F376AF">
        <w:rPr>
          <w:rFonts w:ascii="Times" w:hAnsi="Times"/>
        </w:rPr>
        <w:t xml:space="preserve"> and so a goal for my character will be to ensure that this there is careful watch over and make sure the that this is the case. </w:t>
      </w:r>
      <w:r w:rsidR="00DB0BA1">
        <w:rPr>
          <w:rFonts w:ascii="Times" w:hAnsi="Times"/>
        </w:rPr>
        <w:t xml:space="preserve"> </w:t>
      </w:r>
      <w:r w:rsidR="00F376AF">
        <w:rPr>
          <w:rFonts w:ascii="Times" w:hAnsi="Times"/>
        </w:rPr>
        <w:t xml:space="preserve">Leading </w:t>
      </w:r>
      <w:r w:rsidR="00DB0BA1">
        <w:rPr>
          <w:rFonts w:ascii="Times" w:hAnsi="Times"/>
        </w:rPr>
        <w:t>on from this, in terms of travel, Antioch would have been a key place for travel across the Empire.</w:t>
      </w:r>
      <w:r w:rsidR="00DB0BA1">
        <w:rPr>
          <w:rStyle w:val="FootnoteReference"/>
          <w:rFonts w:ascii="Times" w:hAnsi="Times"/>
        </w:rPr>
        <w:footnoteReference w:id="19"/>
      </w:r>
      <w:r w:rsidR="00773387">
        <w:rPr>
          <w:rFonts w:ascii="Times" w:hAnsi="Times"/>
        </w:rPr>
        <w:t xml:space="preserve"> </w:t>
      </w:r>
      <w:r w:rsidR="00D63D7D">
        <w:rPr>
          <w:rFonts w:ascii="Times" w:hAnsi="Times"/>
        </w:rPr>
        <w:t xml:space="preserve">This would mean that the number of people entering and leaving Antioch would be potentially higher than some other cities, as a Satrap </w:t>
      </w:r>
      <w:r w:rsidR="00D869B9">
        <w:rPr>
          <w:rFonts w:ascii="Times" w:hAnsi="Times"/>
        </w:rPr>
        <w:t>my character would ensure th</w:t>
      </w:r>
      <w:r w:rsidR="0086194D">
        <w:rPr>
          <w:rFonts w:ascii="Times" w:hAnsi="Times"/>
        </w:rPr>
        <w:t>at this is carefully monitored as ‘protector of the Kingdom’.</w:t>
      </w:r>
      <w:r w:rsidR="0086194D">
        <w:rPr>
          <w:rStyle w:val="FootnoteReference"/>
          <w:rFonts w:ascii="Times" w:hAnsi="Times"/>
        </w:rPr>
        <w:footnoteReference w:id="20"/>
      </w:r>
    </w:p>
    <w:p w14:paraId="66CD5CC9" w14:textId="77777777" w:rsidR="0089495B" w:rsidRDefault="0089495B" w:rsidP="00664DAE">
      <w:pPr>
        <w:spacing w:line="480" w:lineRule="auto"/>
        <w:rPr>
          <w:rFonts w:ascii="Times" w:hAnsi="Times"/>
        </w:rPr>
      </w:pPr>
    </w:p>
    <w:p w14:paraId="67F26D58" w14:textId="17BF543B" w:rsidR="0089495B" w:rsidRDefault="00842E70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My character would have good relations </w:t>
      </w:r>
      <w:r w:rsidR="00732BAF">
        <w:rPr>
          <w:rFonts w:ascii="Times" w:hAnsi="Times"/>
        </w:rPr>
        <w:t>with the army base in Apamea, the military commander is also part of my group, especially whe</w:t>
      </w:r>
      <w:r w:rsidR="000D1F9F">
        <w:rPr>
          <w:rFonts w:ascii="Times" w:hAnsi="Times"/>
        </w:rPr>
        <w:t>n preparing for impending wars by helping to transport and provision troops.</w:t>
      </w:r>
      <w:r w:rsidR="000D1F9F">
        <w:rPr>
          <w:rStyle w:val="FootnoteReference"/>
          <w:rFonts w:ascii="Times" w:hAnsi="Times"/>
        </w:rPr>
        <w:footnoteReference w:id="21"/>
      </w:r>
      <w:r w:rsidR="000D1F9F">
        <w:rPr>
          <w:rFonts w:ascii="Times" w:hAnsi="Times"/>
        </w:rPr>
        <w:t xml:space="preserve"> </w:t>
      </w:r>
      <w:r w:rsidR="0089495B">
        <w:rPr>
          <w:rFonts w:ascii="Times" w:hAnsi="Times"/>
        </w:rPr>
        <w:t>Also within my group is the Epistate of Antioch: due to a Satraps role regarding management of revenues</w:t>
      </w:r>
      <w:r w:rsidR="0089495B">
        <w:rPr>
          <w:rStyle w:val="FootnoteReference"/>
          <w:rFonts w:ascii="Times" w:hAnsi="Times"/>
        </w:rPr>
        <w:footnoteReference w:id="22"/>
      </w:r>
      <w:r w:rsidR="0089495B">
        <w:rPr>
          <w:rFonts w:ascii="Times" w:hAnsi="Times"/>
        </w:rPr>
        <w:t xml:space="preserve">, close relations with the Epistate would ensure that money from the Empire is manged correctly. </w:t>
      </w:r>
    </w:p>
    <w:p w14:paraId="36C47FA2" w14:textId="77777777" w:rsidR="00C7386F" w:rsidRDefault="00C7386F" w:rsidP="00664DAE">
      <w:pPr>
        <w:spacing w:line="480" w:lineRule="auto"/>
        <w:rPr>
          <w:rFonts w:ascii="Times" w:hAnsi="Times"/>
        </w:rPr>
      </w:pPr>
    </w:p>
    <w:p w14:paraId="403A3515" w14:textId="77777777" w:rsidR="00C7386F" w:rsidRPr="00D71062" w:rsidRDefault="00C7386F" w:rsidP="00664DAE">
      <w:pPr>
        <w:spacing w:line="480" w:lineRule="auto"/>
        <w:rPr>
          <w:rFonts w:ascii="Times" w:hAnsi="Times"/>
        </w:rPr>
      </w:pPr>
    </w:p>
    <w:p w14:paraId="336D394E" w14:textId="77777777" w:rsidR="0049723C" w:rsidRDefault="0049723C" w:rsidP="00664DAE">
      <w:pPr>
        <w:spacing w:line="480" w:lineRule="auto"/>
        <w:rPr>
          <w:rFonts w:ascii="Times" w:hAnsi="Times"/>
          <w:u w:val="single"/>
        </w:rPr>
      </w:pPr>
    </w:p>
    <w:p w14:paraId="2BCA17D3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0300C8B5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50206D11" w14:textId="77777777" w:rsidR="0035607E" w:rsidRDefault="0035607E" w:rsidP="00664DAE">
      <w:pPr>
        <w:spacing w:line="480" w:lineRule="auto"/>
        <w:rPr>
          <w:rFonts w:ascii="Times" w:hAnsi="Times"/>
          <w:u w:val="single"/>
        </w:rPr>
      </w:pPr>
    </w:p>
    <w:p w14:paraId="003C3FC7" w14:textId="758CAF54" w:rsidR="0049723C" w:rsidRDefault="0049723C" w:rsidP="00664DAE">
      <w:pPr>
        <w:spacing w:line="480" w:lineRule="auto"/>
        <w:rPr>
          <w:rFonts w:ascii="Times" w:hAnsi="Times"/>
          <w:u w:val="single"/>
        </w:rPr>
      </w:pPr>
      <w:r>
        <w:rPr>
          <w:rFonts w:ascii="Times" w:hAnsi="Times"/>
          <w:u w:val="single"/>
        </w:rPr>
        <w:t xml:space="preserve">Bibliography. </w:t>
      </w:r>
    </w:p>
    <w:p w14:paraId="226771FD" w14:textId="7A3D9F8E" w:rsidR="0049723C" w:rsidRDefault="0049723C" w:rsidP="00664DAE">
      <w:pPr>
        <w:spacing w:line="480" w:lineRule="auto"/>
        <w:rPr>
          <w:rFonts w:ascii="Times" w:hAnsi="Times"/>
          <w:u w:val="single"/>
        </w:rPr>
      </w:pPr>
      <w:r>
        <w:rPr>
          <w:rFonts w:ascii="Times" w:hAnsi="Times"/>
          <w:u w:val="single"/>
        </w:rPr>
        <w:t xml:space="preserve">Ancient Sources: </w:t>
      </w:r>
    </w:p>
    <w:p w14:paraId="5D2DCEB4" w14:textId="407DC153" w:rsidR="00800A9B" w:rsidRDefault="00800A9B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Diodorus Siculus. </w:t>
      </w:r>
      <w:r w:rsidR="00E17635">
        <w:rPr>
          <w:rFonts w:ascii="Times" w:hAnsi="Times"/>
          <w:i/>
        </w:rPr>
        <w:t>Library of History, Volume X: Books 19.66-20.</w:t>
      </w:r>
      <w:r w:rsidR="00D869B9">
        <w:rPr>
          <w:rFonts w:ascii="Times" w:hAnsi="Times"/>
          <w:i/>
        </w:rPr>
        <w:t xml:space="preserve"> </w:t>
      </w:r>
      <w:r w:rsidR="00D869B9">
        <w:rPr>
          <w:rFonts w:ascii="Times" w:hAnsi="Times"/>
        </w:rPr>
        <w:t xml:space="preserve">Russel. M. Geer. (trans.). 1954. </w:t>
      </w:r>
      <w:r w:rsidR="00E17635">
        <w:rPr>
          <w:rFonts w:ascii="Times" w:hAnsi="Times"/>
        </w:rPr>
        <w:t xml:space="preserve">Cambridge MA: Harvard University Press. </w:t>
      </w:r>
    </w:p>
    <w:p w14:paraId="637C0F20" w14:textId="37A69611" w:rsidR="00DB0BA1" w:rsidRPr="00DB0BA1" w:rsidRDefault="00DB0BA1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Libanius. </w:t>
      </w:r>
      <w:r>
        <w:rPr>
          <w:rFonts w:ascii="Times" w:hAnsi="Times"/>
          <w:i/>
        </w:rPr>
        <w:t xml:space="preserve">Antioch as a centre of Hellenic Culture as observed by Libanius. (Oration 11). </w:t>
      </w:r>
      <w:r w:rsidR="00D869B9">
        <w:rPr>
          <w:rFonts w:ascii="Times" w:hAnsi="Times"/>
        </w:rPr>
        <w:t>A. F. Norman (trans.).</w:t>
      </w:r>
      <w:r w:rsidR="00D869B9">
        <w:rPr>
          <w:rFonts w:ascii="Times" w:hAnsi="Times"/>
        </w:rPr>
        <w:t xml:space="preserve"> </w:t>
      </w:r>
      <w:r>
        <w:rPr>
          <w:rFonts w:ascii="Times" w:hAnsi="Times"/>
        </w:rPr>
        <w:t xml:space="preserve">2000. Liverpool: Liverpool University Press. </w:t>
      </w:r>
    </w:p>
    <w:p w14:paraId="415FBB96" w14:textId="797EA32A" w:rsidR="00800A9B" w:rsidRPr="00153760" w:rsidRDefault="00800A9B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Polybius. </w:t>
      </w:r>
      <w:r>
        <w:rPr>
          <w:rFonts w:ascii="Times" w:hAnsi="Times"/>
          <w:i/>
        </w:rPr>
        <w:t>Histories.</w:t>
      </w:r>
      <w:r w:rsidR="00D869B9" w:rsidRPr="00D869B9">
        <w:rPr>
          <w:rFonts w:ascii="Times" w:hAnsi="Times"/>
        </w:rPr>
        <w:t xml:space="preserve"> </w:t>
      </w:r>
      <w:r w:rsidR="00D869B9">
        <w:rPr>
          <w:rFonts w:ascii="Times" w:hAnsi="Times"/>
        </w:rPr>
        <w:t>Evelyn S. Shuck burgh. (trans.). 1889.</w:t>
      </w:r>
      <w:r>
        <w:rPr>
          <w:rFonts w:ascii="Times" w:hAnsi="Times"/>
          <w:i/>
        </w:rPr>
        <w:t xml:space="preserve"> </w:t>
      </w:r>
      <w:r>
        <w:rPr>
          <w:rFonts w:ascii="Times" w:hAnsi="Times"/>
        </w:rPr>
        <w:t xml:space="preserve">London: Macmillan. Reprint Bloomington. </w:t>
      </w:r>
    </w:p>
    <w:p w14:paraId="10AC4E6C" w14:textId="10497090" w:rsidR="00800A9B" w:rsidRPr="000C6129" w:rsidRDefault="00756E45" w:rsidP="00183A86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>Strabo</w:t>
      </w:r>
      <w:r w:rsidR="00800A9B">
        <w:rPr>
          <w:rFonts w:ascii="Times" w:hAnsi="Times"/>
          <w:i/>
        </w:rPr>
        <w:t>.</w:t>
      </w:r>
      <w:r w:rsidR="00800A9B">
        <w:rPr>
          <w:rFonts w:ascii="Times" w:hAnsi="Times"/>
        </w:rPr>
        <w:t xml:space="preserve"> </w:t>
      </w:r>
      <w:r w:rsidR="00800A9B" w:rsidRPr="00183A86">
        <w:rPr>
          <w:rFonts w:ascii="Times" w:eastAsia="Times New Roman" w:hAnsi="Times" w:cs="Lucida Grande"/>
          <w:i/>
          <w:color w:val="000000"/>
          <w:lang w:eastAsia="en-GB"/>
        </w:rPr>
        <w:t xml:space="preserve">The Geography of Strabo. Literally translated, with notes, in three volumes. </w:t>
      </w:r>
      <w:r w:rsidR="00D869B9">
        <w:rPr>
          <w:rFonts w:ascii="Times" w:hAnsi="Times"/>
        </w:rPr>
        <w:t>H. C. Hamilton. Esq. W. Falconer.</w:t>
      </w:r>
      <w:r w:rsidR="00D869B9">
        <w:rPr>
          <w:rFonts w:ascii="Times" w:hAnsi="Times"/>
          <w:i/>
        </w:rPr>
        <w:t xml:space="preserve"> </w:t>
      </w:r>
      <w:r w:rsidR="00D869B9">
        <w:rPr>
          <w:rFonts w:ascii="Times" w:hAnsi="Times"/>
        </w:rPr>
        <w:t>(trans.). 1903.</w:t>
      </w:r>
      <w:r w:rsidR="00D869B9">
        <w:rPr>
          <w:rFonts w:ascii="Times" w:hAnsi="Times"/>
          <w:i/>
        </w:rPr>
        <w:t xml:space="preserve"> </w:t>
      </w:r>
      <w:r w:rsidR="00800A9B" w:rsidRPr="000C6129">
        <w:rPr>
          <w:rFonts w:ascii="Times" w:eastAsia="Times New Roman" w:hAnsi="Times" w:cs="Lucida Grande"/>
          <w:color w:val="000000"/>
          <w:lang w:eastAsia="en-GB"/>
        </w:rPr>
        <w:t>London. George Bell &amp; Sons.</w:t>
      </w:r>
      <w:r w:rsidR="00800A9B">
        <w:rPr>
          <w:rFonts w:ascii="Times" w:eastAsia="Times New Roman" w:hAnsi="Times" w:cs="Lucida Grande"/>
          <w:i/>
          <w:color w:val="000000"/>
          <w:lang w:eastAsia="en-GB"/>
        </w:rPr>
        <w:t xml:space="preserve"> </w:t>
      </w:r>
    </w:p>
    <w:p w14:paraId="1031B672" w14:textId="77777777" w:rsidR="00242E7A" w:rsidRPr="00B95D23" w:rsidRDefault="00242E7A" w:rsidP="00664DAE">
      <w:pPr>
        <w:spacing w:line="480" w:lineRule="auto"/>
        <w:rPr>
          <w:rFonts w:ascii="Times" w:hAnsi="Times"/>
        </w:rPr>
      </w:pPr>
    </w:p>
    <w:p w14:paraId="312F2F7D" w14:textId="6BF14E23" w:rsidR="0049723C" w:rsidRDefault="0049723C" w:rsidP="00664DAE">
      <w:pPr>
        <w:spacing w:line="480" w:lineRule="auto"/>
        <w:rPr>
          <w:rFonts w:ascii="Times" w:hAnsi="Times"/>
          <w:u w:val="single"/>
        </w:rPr>
      </w:pPr>
      <w:r>
        <w:rPr>
          <w:rFonts w:ascii="Times" w:hAnsi="Times"/>
          <w:u w:val="single"/>
        </w:rPr>
        <w:t xml:space="preserve">Modern Scholarship. </w:t>
      </w:r>
    </w:p>
    <w:p w14:paraId="71B1F771" w14:textId="1BED5F6E" w:rsidR="008763DA" w:rsidRPr="002F1937" w:rsidRDefault="008763DA" w:rsidP="00664DAE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Bryce, T. </w:t>
      </w:r>
      <w:r w:rsidR="002F1937">
        <w:rPr>
          <w:rFonts w:ascii="Times" w:hAnsi="Times"/>
        </w:rPr>
        <w:t xml:space="preserve">2014. </w:t>
      </w:r>
      <w:r w:rsidR="002F1937">
        <w:rPr>
          <w:rFonts w:ascii="Times" w:hAnsi="Times"/>
          <w:i/>
        </w:rPr>
        <w:t xml:space="preserve">Ancient Syria. A Three Thousand Year History. </w:t>
      </w:r>
      <w:r w:rsidR="002F1937">
        <w:rPr>
          <w:rFonts w:ascii="Times" w:hAnsi="Times"/>
        </w:rPr>
        <w:t xml:space="preserve">Oxford: Oxford University Press. </w:t>
      </w:r>
    </w:p>
    <w:p w14:paraId="0BF8DC45" w14:textId="77777777" w:rsidR="00800A9B" w:rsidRPr="00F30053" w:rsidRDefault="00800A9B" w:rsidP="00D54210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Cohen, G. M. 2006. </w:t>
      </w:r>
      <w:r>
        <w:rPr>
          <w:rFonts w:ascii="Times" w:hAnsi="Times"/>
          <w:i/>
        </w:rPr>
        <w:t xml:space="preserve">The Hellenistic Settlements in Syria, the Red Sea Basin, and North Africa. </w:t>
      </w:r>
      <w:r>
        <w:rPr>
          <w:rFonts w:ascii="Times" w:hAnsi="Times"/>
        </w:rPr>
        <w:t>Berkeley: University of California Press.</w:t>
      </w:r>
    </w:p>
    <w:p w14:paraId="6527000E" w14:textId="77777777" w:rsidR="00800A9B" w:rsidRDefault="00800A9B" w:rsidP="00D54210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Grainger, J. D. 1990. </w:t>
      </w:r>
      <w:r>
        <w:rPr>
          <w:rFonts w:ascii="Times" w:hAnsi="Times"/>
          <w:i/>
        </w:rPr>
        <w:t xml:space="preserve">Seleukos Nikator. Constructing a Hellenistic Kingdom. </w:t>
      </w:r>
      <w:r>
        <w:rPr>
          <w:rFonts w:ascii="Times" w:hAnsi="Times"/>
        </w:rPr>
        <w:t xml:space="preserve">London: Routledge. </w:t>
      </w:r>
    </w:p>
    <w:p w14:paraId="243A13BF" w14:textId="77777777" w:rsidR="00800A9B" w:rsidRDefault="00800A9B" w:rsidP="00D54210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Grainger, J. D. 1997. </w:t>
      </w:r>
      <w:r>
        <w:rPr>
          <w:rFonts w:ascii="Times" w:hAnsi="Times"/>
          <w:i/>
        </w:rPr>
        <w:t xml:space="preserve">The Seleukid Prosopography and Gazetteer. </w:t>
      </w:r>
      <w:r>
        <w:rPr>
          <w:rFonts w:ascii="Times" w:hAnsi="Times"/>
        </w:rPr>
        <w:t xml:space="preserve">London: Brill. </w:t>
      </w:r>
    </w:p>
    <w:p w14:paraId="6314471F" w14:textId="77777777" w:rsidR="00800A9B" w:rsidRDefault="00800A9B" w:rsidP="00D54210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Howatson, M. C. (eds.). 2011. </w:t>
      </w:r>
      <w:r>
        <w:rPr>
          <w:rFonts w:ascii="Times" w:hAnsi="Times"/>
          <w:i/>
        </w:rPr>
        <w:t xml:space="preserve">The Oxford Companion to Classical Literature. </w:t>
      </w:r>
      <w:r>
        <w:rPr>
          <w:rFonts w:ascii="Times" w:hAnsi="Times"/>
        </w:rPr>
        <w:t xml:space="preserve">Oxford: Oxford University Press. </w:t>
      </w:r>
    </w:p>
    <w:p w14:paraId="1BF96E12" w14:textId="77777777" w:rsidR="00800A9B" w:rsidRDefault="00800A9B" w:rsidP="00D54210">
      <w:pPr>
        <w:spacing w:line="480" w:lineRule="auto"/>
        <w:rPr>
          <w:rFonts w:ascii="Times" w:hAnsi="Times"/>
        </w:rPr>
      </w:pPr>
      <w:r>
        <w:rPr>
          <w:rFonts w:ascii="Times" w:hAnsi="Times"/>
        </w:rPr>
        <w:t xml:space="preserve">Ramsey, G. C. 2009, ‘Ruling the Seleucid Empire. Seleucid Officials and Official Experience’, Doctor of Philosophy in Classics, University of Exeter, Exeter. </w:t>
      </w:r>
    </w:p>
    <w:p w14:paraId="789D22F7" w14:textId="77777777" w:rsidR="00D54210" w:rsidRPr="00664DAE" w:rsidRDefault="00D54210" w:rsidP="00664DAE">
      <w:pPr>
        <w:spacing w:line="480" w:lineRule="auto"/>
        <w:rPr>
          <w:rFonts w:ascii="Times" w:hAnsi="Times"/>
          <w:u w:val="single"/>
        </w:rPr>
      </w:pPr>
    </w:p>
    <w:sectPr w:rsidR="00D54210" w:rsidRPr="00664DAE" w:rsidSect="00546930">
      <w:headerReference w:type="default" r:id="rId7"/>
      <w:footerReference w:type="even" r:id="rId8"/>
      <w:foot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BB79A81" w14:textId="77777777" w:rsidR="00555815" w:rsidRDefault="00555815" w:rsidP="003B1457">
      <w:r>
        <w:separator/>
      </w:r>
    </w:p>
  </w:endnote>
  <w:endnote w:type="continuationSeparator" w:id="0">
    <w:p w14:paraId="11783739" w14:textId="77777777" w:rsidR="00555815" w:rsidRDefault="00555815" w:rsidP="003B14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4E21B82" w14:textId="77777777" w:rsidR="000056CC" w:rsidRDefault="000056CC" w:rsidP="003F7C1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3D6DCD2" w14:textId="77777777" w:rsidR="000056CC" w:rsidRDefault="000056CC" w:rsidP="000056CC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C9C7C91" w14:textId="77777777" w:rsidR="000056CC" w:rsidRDefault="000056CC" w:rsidP="003F7C1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55815">
      <w:rPr>
        <w:rStyle w:val="PageNumber"/>
        <w:noProof/>
      </w:rPr>
      <w:t>1</w:t>
    </w:r>
    <w:r>
      <w:rPr>
        <w:rStyle w:val="PageNumber"/>
      </w:rPr>
      <w:fldChar w:fldCharType="end"/>
    </w:r>
  </w:p>
  <w:p w14:paraId="0FE1984D" w14:textId="77777777" w:rsidR="000056CC" w:rsidRDefault="000056CC" w:rsidP="000056C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3B239E6" w14:textId="77777777" w:rsidR="00555815" w:rsidRDefault="00555815" w:rsidP="003B1457">
      <w:r>
        <w:separator/>
      </w:r>
    </w:p>
  </w:footnote>
  <w:footnote w:type="continuationSeparator" w:id="0">
    <w:p w14:paraId="51F49245" w14:textId="77777777" w:rsidR="00555815" w:rsidRDefault="00555815" w:rsidP="003B1457">
      <w:r>
        <w:continuationSeparator/>
      </w:r>
    </w:p>
  </w:footnote>
  <w:footnote w:id="1">
    <w:p w14:paraId="4D252553" w14:textId="0026B540" w:rsidR="00301063" w:rsidRPr="00EF53A3" w:rsidRDefault="00301063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</w:t>
      </w:r>
      <w:r w:rsidR="00560D51" w:rsidRPr="00EF53A3">
        <w:rPr>
          <w:rFonts w:ascii="Times" w:hAnsi="Times"/>
          <w:i/>
        </w:rPr>
        <w:t xml:space="preserve">Strab. </w:t>
      </w:r>
      <w:r w:rsidR="00560D51" w:rsidRPr="00EF53A3">
        <w:rPr>
          <w:rFonts w:ascii="Times" w:hAnsi="Times"/>
        </w:rPr>
        <w:t xml:space="preserve">16. 2. 5; </w:t>
      </w:r>
      <w:r w:rsidRPr="00EF53A3">
        <w:rPr>
          <w:rFonts w:ascii="Times" w:hAnsi="Times"/>
        </w:rPr>
        <w:t>Cohen 2006: 81.</w:t>
      </w:r>
      <w:r w:rsidR="006F16E1">
        <w:rPr>
          <w:rFonts w:ascii="Times" w:hAnsi="Times"/>
        </w:rPr>
        <w:t xml:space="preserve"> Grainger 1990: 127:</w:t>
      </w:r>
      <w:r w:rsidR="00287148" w:rsidRPr="00EF53A3">
        <w:rPr>
          <w:rFonts w:ascii="Times" w:hAnsi="Times"/>
        </w:rPr>
        <w:t xml:space="preserve"> Grainger also states in relation to this, </w:t>
      </w:r>
      <w:r w:rsidR="00C37E47" w:rsidRPr="00EF53A3">
        <w:rPr>
          <w:rFonts w:ascii="Times" w:hAnsi="Times"/>
        </w:rPr>
        <w:t xml:space="preserve">‘…Antioch, which was the replacement for Antigoneia’. </w:t>
      </w:r>
      <w:r w:rsidR="00EB0F64" w:rsidRPr="00EF53A3">
        <w:rPr>
          <w:rFonts w:ascii="Times" w:hAnsi="Times"/>
        </w:rPr>
        <w:t xml:space="preserve">These strong links to Antioch further emphasise my </w:t>
      </w:r>
      <w:r w:rsidR="00E37BE8" w:rsidRPr="00EF53A3">
        <w:rPr>
          <w:rFonts w:ascii="Times" w:hAnsi="Times"/>
        </w:rPr>
        <w:t>character’s</w:t>
      </w:r>
      <w:r w:rsidR="00EB0F64" w:rsidRPr="00EF53A3">
        <w:rPr>
          <w:rFonts w:ascii="Times" w:hAnsi="Times"/>
        </w:rPr>
        <w:t xml:space="preserve"> desire to remain loyal to the Royal family that overlooks the</w:t>
      </w:r>
      <w:r w:rsidR="006F16E1">
        <w:rPr>
          <w:rFonts w:ascii="Times" w:hAnsi="Times"/>
        </w:rPr>
        <w:t xml:space="preserve"> city; Cohen 2006: 80: Antioch was founded in 300 BC by Seleukos Nikator. </w:t>
      </w:r>
    </w:p>
  </w:footnote>
  <w:footnote w:id="2">
    <w:p w14:paraId="5F55310E" w14:textId="0DFD851C" w:rsidR="004E393B" w:rsidRPr="00EF53A3" w:rsidRDefault="004E393B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</w:t>
      </w:r>
      <w:r w:rsidR="00DF6BBE" w:rsidRPr="00EF53A3">
        <w:rPr>
          <w:rFonts w:ascii="Times" w:hAnsi="Times"/>
          <w:i/>
        </w:rPr>
        <w:t xml:space="preserve">Strab. </w:t>
      </w:r>
      <w:r w:rsidR="00DF6BBE" w:rsidRPr="00EF53A3">
        <w:rPr>
          <w:rFonts w:ascii="Times" w:hAnsi="Times"/>
        </w:rPr>
        <w:t xml:space="preserve">16. 2. 5; </w:t>
      </w:r>
      <w:r w:rsidRPr="00EF53A3">
        <w:rPr>
          <w:rFonts w:ascii="Times" w:hAnsi="Times"/>
        </w:rPr>
        <w:t xml:space="preserve">Cohen 2006: 83. </w:t>
      </w:r>
    </w:p>
  </w:footnote>
  <w:footnote w:id="3">
    <w:p w14:paraId="5195BFD7" w14:textId="0585FD0A" w:rsidR="00CD034A" w:rsidRPr="00EF53A3" w:rsidRDefault="00CD034A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</w:t>
      </w:r>
      <w:r w:rsidR="00414F28" w:rsidRPr="00EF53A3">
        <w:rPr>
          <w:rFonts w:ascii="Times" w:hAnsi="Times"/>
        </w:rPr>
        <w:t xml:space="preserve">Ramsey 2009: 20. </w:t>
      </w:r>
    </w:p>
  </w:footnote>
  <w:footnote w:id="4">
    <w:p w14:paraId="06C87686" w14:textId="537729D8" w:rsidR="007B3DD0" w:rsidRPr="00EF53A3" w:rsidRDefault="007B3DD0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</w:t>
      </w:r>
      <w:r w:rsidRPr="00EF53A3">
        <w:rPr>
          <w:rFonts w:ascii="Times" w:hAnsi="Times"/>
          <w:i/>
        </w:rPr>
        <w:t xml:space="preserve">Strab. </w:t>
      </w:r>
      <w:r w:rsidRPr="00EF53A3">
        <w:rPr>
          <w:rFonts w:ascii="Times" w:hAnsi="Times"/>
        </w:rPr>
        <w:t xml:space="preserve">16. 2. 5; Cohen 2006: 83. </w:t>
      </w:r>
    </w:p>
  </w:footnote>
  <w:footnote w:id="5">
    <w:p w14:paraId="17A21A12" w14:textId="57C1D87D" w:rsidR="00DB61A1" w:rsidRPr="00EF53A3" w:rsidRDefault="00DB61A1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Ramsey 2009: 59. </w:t>
      </w:r>
    </w:p>
  </w:footnote>
  <w:footnote w:id="6">
    <w:p w14:paraId="6CB71870" w14:textId="1146EA74" w:rsidR="00DB61A1" w:rsidRPr="00EF53A3" w:rsidRDefault="00DB61A1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Ramsey 2009: 59. </w:t>
      </w:r>
    </w:p>
  </w:footnote>
  <w:footnote w:id="7">
    <w:p w14:paraId="7289EAE5" w14:textId="5CFCFBF7" w:rsidR="0091394F" w:rsidRPr="00EF53A3" w:rsidRDefault="0091394F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Ramsey 2009: 59. </w:t>
      </w:r>
    </w:p>
  </w:footnote>
  <w:footnote w:id="8">
    <w:p w14:paraId="1FB7A7AC" w14:textId="6C1BFDF3" w:rsidR="00920CCC" w:rsidRPr="00EF53A3" w:rsidRDefault="00920CCC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Ramsey 2009: 33. </w:t>
      </w:r>
    </w:p>
  </w:footnote>
  <w:footnote w:id="9">
    <w:p w14:paraId="4CBF2D6B" w14:textId="06C7781D" w:rsidR="00D26A77" w:rsidRPr="00EF53A3" w:rsidRDefault="00D26A77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</w:t>
      </w:r>
      <w:r w:rsidR="00BC71C1" w:rsidRPr="00EF53A3">
        <w:rPr>
          <w:rFonts w:ascii="Times" w:hAnsi="Times"/>
        </w:rPr>
        <w:t xml:space="preserve">This links back to </w:t>
      </w:r>
      <w:r w:rsidR="00D95491" w:rsidRPr="00EF53A3">
        <w:rPr>
          <w:rFonts w:ascii="Times" w:hAnsi="Times"/>
        </w:rPr>
        <w:t xml:space="preserve">my character wanting to maintain loyalty to the Royal family in order to keep the interests of the Empire at the forefront. </w:t>
      </w:r>
    </w:p>
  </w:footnote>
  <w:footnote w:id="10">
    <w:p w14:paraId="456C7AFA" w14:textId="163645C8" w:rsidR="003F3572" w:rsidRPr="00EF53A3" w:rsidRDefault="003F3572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Ramsey 2009: 75. </w:t>
      </w:r>
    </w:p>
  </w:footnote>
  <w:footnote w:id="11">
    <w:p w14:paraId="3F7EABA4" w14:textId="40490577" w:rsidR="00A768A0" w:rsidRPr="00EF53A3" w:rsidRDefault="00A768A0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Ramsey 2009: </w:t>
      </w:r>
      <w:r w:rsidR="00712FAA" w:rsidRPr="00EF53A3">
        <w:rPr>
          <w:rFonts w:ascii="Times" w:hAnsi="Times"/>
        </w:rPr>
        <w:t xml:space="preserve">13. </w:t>
      </w:r>
    </w:p>
  </w:footnote>
  <w:footnote w:id="12">
    <w:p w14:paraId="6AEB3709" w14:textId="773E8C0C" w:rsidR="000D5091" w:rsidRPr="00206950" w:rsidRDefault="000D5091">
      <w:pPr>
        <w:pStyle w:val="FootnoteText"/>
        <w:rPr>
          <w:rFonts w:ascii="Times" w:hAnsi="Times"/>
        </w:rPr>
      </w:pPr>
      <w:r w:rsidRPr="00206950">
        <w:rPr>
          <w:rStyle w:val="FootnoteReference"/>
          <w:rFonts w:ascii="Times" w:hAnsi="Times"/>
        </w:rPr>
        <w:footnoteRef/>
      </w:r>
      <w:r w:rsidRPr="00206950">
        <w:rPr>
          <w:rFonts w:ascii="Times" w:hAnsi="Times"/>
        </w:rPr>
        <w:t xml:space="preserve"> </w:t>
      </w:r>
      <w:r w:rsidR="00206950">
        <w:rPr>
          <w:rFonts w:ascii="Times" w:hAnsi="Times"/>
          <w:i/>
        </w:rPr>
        <w:t xml:space="preserve">Libanius. </w:t>
      </w:r>
      <w:r w:rsidR="00206950">
        <w:rPr>
          <w:rFonts w:ascii="Times" w:hAnsi="Times"/>
        </w:rPr>
        <w:t xml:space="preserve">Or. 11. 9: ‘…if I </w:t>
      </w:r>
      <w:r w:rsidR="00AF26F6">
        <w:rPr>
          <w:rFonts w:ascii="Times" w:hAnsi="Times"/>
        </w:rPr>
        <w:t>had</w:t>
      </w:r>
      <w:r w:rsidR="00206950">
        <w:rPr>
          <w:rFonts w:ascii="Times" w:hAnsi="Times"/>
        </w:rPr>
        <w:t xml:space="preserve"> sufficient wealth to fulfil the office…fortune has deprived me of such service’. </w:t>
      </w:r>
    </w:p>
  </w:footnote>
  <w:footnote w:id="13">
    <w:p w14:paraId="25BE0409" w14:textId="0AD22379" w:rsidR="00C9070A" w:rsidRPr="00EF53A3" w:rsidRDefault="00C9070A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Ramsey 2009: 243. </w:t>
      </w:r>
    </w:p>
  </w:footnote>
  <w:footnote w:id="14">
    <w:p w14:paraId="3D04AF9E" w14:textId="5EEF10B0" w:rsidR="00376742" w:rsidRPr="00EF53A3" w:rsidRDefault="00376742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</w:t>
      </w:r>
      <w:r w:rsidRPr="00EF53A3">
        <w:rPr>
          <w:rFonts w:ascii="Times" w:hAnsi="Times"/>
          <w:i/>
        </w:rPr>
        <w:t xml:space="preserve">Plb. </w:t>
      </w:r>
      <w:r w:rsidRPr="00EF53A3">
        <w:rPr>
          <w:rFonts w:ascii="Times" w:hAnsi="Times"/>
        </w:rPr>
        <w:t xml:space="preserve">5. 41. </w:t>
      </w:r>
      <w:r w:rsidR="00EF53A3" w:rsidRPr="00EF53A3">
        <w:rPr>
          <w:rFonts w:ascii="Times" w:hAnsi="Times"/>
          <w:i/>
        </w:rPr>
        <w:t xml:space="preserve">Strab. </w:t>
      </w:r>
      <w:r w:rsidR="006F16E1">
        <w:rPr>
          <w:rFonts w:ascii="Times" w:hAnsi="Times"/>
        </w:rPr>
        <w:t>16. 2. 5; Cohen 2006: 83:</w:t>
      </w:r>
      <w:r w:rsidR="00EF53A3" w:rsidRPr="00EF53A3">
        <w:rPr>
          <w:rFonts w:ascii="Times" w:hAnsi="Times"/>
        </w:rPr>
        <w:t xml:space="preserve"> </w:t>
      </w:r>
      <w:r w:rsidR="006F16E1" w:rsidRPr="00EF53A3">
        <w:rPr>
          <w:rFonts w:ascii="Times" w:hAnsi="Times"/>
        </w:rPr>
        <w:t>also,</w:t>
      </w:r>
      <w:r w:rsidR="00EF53A3" w:rsidRPr="00EF53A3">
        <w:rPr>
          <w:rFonts w:ascii="Times" w:hAnsi="Times"/>
        </w:rPr>
        <w:t xml:space="preserve"> evidence showing that riots too</w:t>
      </w:r>
      <w:r w:rsidR="00EF53A3">
        <w:rPr>
          <w:rFonts w:ascii="Times" w:hAnsi="Times"/>
        </w:rPr>
        <w:t xml:space="preserve">k place in 147 BC, and so for measures to be put in place to ensure riots do not happen during this time </w:t>
      </w:r>
      <w:r w:rsidR="00753EC6">
        <w:rPr>
          <w:rFonts w:ascii="Times" w:hAnsi="Times"/>
        </w:rPr>
        <w:t xml:space="preserve">would be historically accurate; Ramsey 2009: 60. </w:t>
      </w:r>
    </w:p>
  </w:footnote>
  <w:footnote w:id="15">
    <w:p w14:paraId="5C521B8F" w14:textId="7610D54A" w:rsidR="00237F87" w:rsidRPr="00237F87" w:rsidRDefault="00237F87">
      <w:pPr>
        <w:pStyle w:val="FootnoteText"/>
        <w:rPr>
          <w:rFonts w:ascii="Times" w:hAnsi="Times"/>
        </w:rPr>
      </w:pPr>
      <w:r w:rsidRPr="00237F87">
        <w:rPr>
          <w:rStyle w:val="FootnoteReference"/>
          <w:rFonts w:ascii="Times" w:hAnsi="Times"/>
        </w:rPr>
        <w:footnoteRef/>
      </w:r>
      <w:r w:rsidRPr="00237F87">
        <w:rPr>
          <w:rFonts w:ascii="Times" w:hAnsi="Times"/>
        </w:rPr>
        <w:t xml:space="preserve"> </w:t>
      </w:r>
      <w:r w:rsidR="00D869B9">
        <w:rPr>
          <w:rFonts w:ascii="Times" w:hAnsi="Times"/>
        </w:rPr>
        <w:t xml:space="preserve">Bryce 2014: 181; Ramsey 2009: 55. </w:t>
      </w:r>
    </w:p>
  </w:footnote>
  <w:footnote w:id="16">
    <w:p w14:paraId="5FF0F6AA" w14:textId="3C3B304B" w:rsidR="00B25D60" w:rsidRPr="00EF53A3" w:rsidRDefault="00B25D60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</w:t>
      </w:r>
      <w:r w:rsidRPr="00EF53A3">
        <w:rPr>
          <w:rFonts w:ascii="Times" w:hAnsi="Times"/>
          <w:i/>
        </w:rPr>
        <w:t xml:space="preserve">Diod. Sic. </w:t>
      </w:r>
      <w:r w:rsidRPr="00EF53A3">
        <w:rPr>
          <w:rFonts w:ascii="Times" w:hAnsi="Times"/>
        </w:rPr>
        <w:t>20. 47. 5; Cohen 2006: 83. Cohen 2006: 83</w:t>
      </w:r>
      <w:r w:rsidR="006F16E1">
        <w:rPr>
          <w:rFonts w:ascii="Times" w:hAnsi="Times"/>
        </w:rPr>
        <w:t>:</w:t>
      </w:r>
      <w:r w:rsidRPr="00EF53A3">
        <w:rPr>
          <w:rFonts w:ascii="Times" w:hAnsi="Times"/>
        </w:rPr>
        <w:t xml:space="preserve"> argues that this would have extended down through to Antioch. </w:t>
      </w:r>
    </w:p>
  </w:footnote>
  <w:footnote w:id="17">
    <w:p w14:paraId="4BB04799" w14:textId="45B89386" w:rsidR="009B4E63" w:rsidRPr="00EF53A3" w:rsidRDefault="009B4E63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</w:t>
      </w:r>
      <w:r w:rsidRPr="00EF53A3">
        <w:rPr>
          <w:rFonts w:ascii="Times" w:hAnsi="Times"/>
          <w:i/>
        </w:rPr>
        <w:t xml:space="preserve">Diod. Sic. </w:t>
      </w:r>
      <w:r w:rsidRPr="00EF53A3">
        <w:rPr>
          <w:rFonts w:ascii="Times" w:hAnsi="Times"/>
        </w:rPr>
        <w:t xml:space="preserve">20. 47. 5; Cohen 2006: 83; </w:t>
      </w:r>
      <w:r w:rsidR="00E15C83" w:rsidRPr="00EF53A3">
        <w:rPr>
          <w:rFonts w:ascii="Times" w:hAnsi="Times"/>
        </w:rPr>
        <w:t>Cohen 2006: 83</w:t>
      </w:r>
      <w:r w:rsidR="006F16E1">
        <w:rPr>
          <w:rFonts w:ascii="Times" w:hAnsi="Times"/>
        </w:rPr>
        <w:t>:</w:t>
      </w:r>
      <w:r w:rsidR="00E15C83" w:rsidRPr="00EF53A3">
        <w:rPr>
          <w:rFonts w:ascii="Times" w:hAnsi="Times"/>
        </w:rPr>
        <w:t xml:space="preserve"> references Antioch as being the base of the Royal family and so Antioch being in a position where other territories could be monitored would provide a sanctuary to the Royal family, meaning that the Satrapy in Antioch would be of particular significance.  </w:t>
      </w:r>
    </w:p>
  </w:footnote>
  <w:footnote w:id="18">
    <w:p w14:paraId="4DF3437C" w14:textId="7AD124CF" w:rsidR="00F376AF" w:rsidRPr="00F376AF" w:rsidRDefault="00F376AF">
      <w:pPr>
        <w:pStyle w:val="FootnoteText"/>
        <w:rPr>
          <w:rFonts w:ascii="Times" w:hAnsi="Times"/>
        </w:rPr>
      </w:pPr>
      <w:r w:rsidRPr="00F376AF">
        <w:rPr>
          <w:rStyle w:val="FootnoteReference"/>
          <w:rFonts w:ascii="Times" w:hAnsi="Times"/>
        </w:rPr>
        <w:footnoteRef/>
      </w:r>
      <w:r w:rsidRPr="00F376AF">
        <w:rPr>
          <w:rFonts w:ascii="Times" w:hAnsi="Times"/>
        </w:rPr>
        <w:t xml:space="preserve"> Cohen 2006: 83.</w:t>
      </w:r>
    </w:p>
  </w:footnote>
  <w:footnote w:id="19">
    <w:p w14:paraId="612ADA75" w14:textId="79AF56EF" w:rsidR="00DB0BA1" w:rsidRPr="006B43DE" w:rsidRDefault="00DB0BA1">
      <w:pPr>
        <w:pStyle w:val="FootnoteText"/>
        <w:rPr>
          <w:rFonts w:ascii="Times" w:hAnsi="Times"/>
        </w:rPr>
      </w:pPr>
      <w:r w:rsidRPr="00EF53A3">
        <w:rPr>
          <w:rStyle w:val="FootnoteReference"/>
          <w:rFonts w:ascii="Times" w:hAnsi="Times"/>
        </w:rPr>
        <w:footnoteRef/>
      </w:r>
      <w:r w:rsidRPr="00EF53A3">
        <w:rPr>
          <w:rFonts w:ascii="Times" w:hAnsi="Times"/>
        </w:rPr>
        <w:t xml:space="preserve"> </w:t>
      </w:r>
      <w:r w:rsidRPr="00EF53A3">
        <w:rPr>
          <w:rFonts w:ascii="Times" w:hAnsi="Times"/>
          <w:i/>
        </w:rPr>
        <w:t xml:space="preserve">Libanius. </w:t>
      </w:r>
      <w:r w:rsidR="006B43DE" w:rsidRPr="00EF53A3">
        <w:rPr>
          <w:rFonts w:ascii="Times" w:hAnsi="Times"/>
          <w:i/>
        </w:rPr>
        <w:t xml:space="preserve">Or. </w:t>
      </w:r>
      <w:r w:rsidR="006B43DE" w:rsidRPr="00EF53A3">
        <w:rPr>
          <w:rFonts w:ascii="Times" w:hAnsi="Times"/>
        </w:rPr>
        <w:t>11. 100; Cohen 2006: 83.</w:t>
      </w:r>
      <w:r w:rsidR="006B43DE">
        <w:rPr>
          <w:rFonts w:ascii="Times" w:hAnsi="Times"/>
        </w:rPr>
        <w:t xml:space="preserve"> </w:t>
      </w:r>
    </w:p>
  </w:footnote>
  <w:footnote w:id="20">
    <w:p w14:paraId="17671DFE" w14:textId="762D139F" w:rsidR="0086194D" w:rsidRPr="0086194D" w:rsidRDefault="0086194D">
      <w:pPr>
        <w:pStyle w:val="FootnoteText"/>
        <w:rPr>
          <w:rFonts w:ascii="Times" w:hAnsi="Times"/>
        </w:rPr>
      </w:pPr>
      <w:r w:rsidRPr="0086194D">
        <w:rPr>
          <w:rStyle w:val="FootnoteReference"/>
          <w:rFonts w:ascii="Times" w:hAnsi="Times"/>
        </w:rPr>
        <w:footnoteRef/>
      </w:r>
      <w:r w:rsidRPr="0086194D">
        <w:rPr>
          <w:rFonts w:ascii="Times" w:hAnsi="Times"/>
        </w:rPr>
        <w:t xml:space="preserve"> Ramsey 2009: 59.</w:t>
      </w:r>
    </w:p>
  </w:footnote>
  <w:footnote w:id="21">
    <w:p w14:paraId="0E8377CB" w14:textId="2F710795" w:rsidR="000D1F9F" w:rsidRPr="000D1F9F" w:rsidRDefault="000D1F9F">
      <w:pPr>
        <w:pStyle w:val="FootnoteText"/>
        <w:rPr>
          <w:rFonts w:ascii="Times" w:hAnsi="Times"/>
        </w:rPr>
      </w:pPr>
      <w:r w:rsidRPr="000D1F9F">
        <w:rPr>
          <w:rStyle w:val="FootnoteReference"/>
          <w:rFonts w:ascii="Times" w:hAnsi="Times"/>
        </w:rPr>
        <w:footnoteRef/>
      </w:r>
      <w:r w:rsidRPr="000D1F9F">
        <w:rPr>
          <w:rFonts w:ascii="Times" w:hAnsi="Times"/>
        </w:rPr>
        <w:t xml:space="preserve"> Ramsey 2009: 59.</w:t>
      </w:r>
    </w:p>
  </w:footnote>
  <w:footnote w:id="22">
    <w:p w14:paraId="649CA491" w14:textId="0B3DDBB6" w:rsidR="0089495B" w:rsidRDefault="0089495B">
      <w:pPr>
        <w:pStyle w:val="FootnoteText"/>
      </w:pPr>
      <w:r w:rsidRPr="00AA02EB">
        <w:rPr>
          <w:rStyle w:val="FootnoteReference"/>
          <w:rFonts w:ascii="Times" w:hAnsi="Times"/>
        </w:rPr>
        <w:footnoteRef/>
      </w:r>
      <w:r>
        <w:t xml:space="preserve"> </w:t>
      </w:r>
      <w:r w:rsidRPr="0089495B">
        <w:rPr>
          <w:rFonts w:ascii="Times" w:hAnsi="Times"/>
        </w:rPr>
        <w:t>Ramsey 2009: 33.</w:t>
      </w:r>
      <w:r>
        <w:t xml:space="preserve"> </w:t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6EA34EE" w14:textId="77777777" w:rsidR="003B1457" w:rsidRPr="003B1457" w:rsidRDefault="003B1457">
    <w:pPr>
      <w:pStyle w:val="Header"/>
      <w:rPr>
        <w:rFonts w:ascii="Times" w:hAnsi="Times"/>
      </w:rPr>
    </w:pPr>
    <w:r>
      <w:rPr>
        <w:rFonts w:ascii="Times" w:hAnsi="Times"/>
      </w:rPr>
      <w:t>Hannah Kozdoj - 1502320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5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B1457"/>
    <w:rsid w:val="000056CC"/>
    <w:rsid w:val="00020FD8"/>
    <w:rsid w:val="00022EDE"/>
    <w:rsid w:val="00037B7C"/>
    <w:rsid w:val="0008605F"/>
    <w:rsid w:val="000B11BE"/>
    <w:rsid w:val="000B2883"/>
    <w:rsid w:val="000C6129"/>
    <w:rsid w:val="000D1F9F"/>
    <w:rsid w:val="000D5091"/>
    <w:rsid w:val="0013249B"/>
    <w:rsid w:val="00153760"/>
    <w:rsid w:val="0016116A"/>
    <w:rsid w:val="00170B33"/>
    <w:rsid w:val="00183A86"/>
    <w:rsid w:val="001B044D"/>
    <w:rsid w:val="00206950"/>
    <w:rsid w:val="002164E1"/>
    <w:rsid w:val="00237F87"/>
    <w:rsid w:val="00242E7A"/>
    <w:rsid w:val="00287148"/>
    <w:rsid w:val="002F1937"/>
    <w:rsid w:val="002F6067"/>
    <w:rsid w:val="00301063"/>
    <w:rsid w:val="0035607E"/>
    <w:rsid w:val="00376742"/>
    <w:rsid w:val="00396330"/>
    <w:rsid w:val="003B1457"/>
    <w:rsid w:val="003F3572"/>
    <w:rsid w:val="00412B22"/>
    <w:rsid w:val="00414F28"/>
    <w:rsid w:val="004434CD"/>
    <w:rsid w:val="00444947"/>
    <w:rsid w:val="00457F79"/>
    <w:rsid w:val="00481A42"/>
    <w:rsid w:val="0049723C"/>
    <w:rsid w:val="004A1985"/>
    <w:rsid w:val="004A6C79"/>
    <w:rsid w:val="004C7DCF"/>
    <w:rsid w:val="004E393B"/>
    <w:rsid w:val="00505332"/>
    <w:rsid w:val="00546930"/>
    <w:rsid w:val="00555815"/>
    <w:rsid w:val="00560D51"/>
    <w:rsid w:val="005634F4"/>
    <w:rsid w:val="006240F8"/>
    <w:rsid w:val="006562FF"/>
    <w:rsid w:val="00664DAE"/>
    <w:rsid w:val="006A2198"/>
    <w:rsid w:val="006B43DE"/>
    <w:rsid w:val="006F16E1"/>
    <w:rsid w:val="00712FAA"/>
    <w:rsid w:val="00721CE8"/>
    <w:rsid w:val="00732BAF"/>
    <w:rsid w:val="00753EC6"/>
    <w:rsid w:val="00756E45"/>
    <w:rsid w:val="00763690"/>
    <w:rsid w:val="00773387"/>
    <w:rsid w:val="007826A8"/>
    <w:rsid w:val="007B3DD0"/>
    <w:rsid w:val="00800A9B"/>
    <w:rsid w:val="00842E70"/>
    <w:rsid w:val="0086194D"/>
    <w:rsid w:val="008763DA"/>
    <w:rsid w:val="008770B1"/>
    <w:rsid w:val="0089495B"/>
    <w:rsid w:val="008B4C11"/>
    <w:rsid w:val="008E7869"/>
    <w:rsid w:val="0090541D"/>
    <w:rsid w:val="0091394F"/>
    <w:rsid w:val="00920CCC"/>
    <w:rsid w:val="00943203"/>
    <w:rsid w:val="00960D69"/>
    <w:rsid w:val="00990659"/>
    <w:rsid w:val="0099620A"/>
    <w:rsid w:val="009B4E63"/>
    <w:rsid w:val="009C345D"/>
    <w:rsid w:val="009D62B3"/>
    <w:rsid w:val="009E1B05"/>
    <w:rsid w:val="00A06424"/>
    <w:rsid w:val="00A4325A"/>
    <w:rsid w:val="00A53238"/>
    <w:rsid w:val="00A5698D"/>
    <w:rsid w:val="00A768A0"/>
    <w:rsid w:val="00AA02EB"/>
    <w:rsid w:val="00AD2475"/>
    <w:rsid w:val="00AF26F6"/>
    <w:rsid w:val="00B25D60"/>
    <w:rsid w:val="00B52378"/>
    <w:rsid w:val="00B561E4"/>
    <w:rsid w:val="00B76B20"/>
    <w:rsid w:val="00B95D23"/>
    <w:rsid w:val="00BB5FBC"/>
    <w:rsid w:val="00BC1F3F"/>
    <w:rsid w:val="00BC71C1"/>
    <w:rsid w:val="00BE4D20"/>
    <w:rsid w:val="00BF4EC1"/>
    <w:rsid w:val="00C37E47"/>
    <w:rsid w:val="00C65730"/>
    <w:rsid w:val="00C7386F"/>
    <w:rsid w:val="00C9070A"/>
    <w:rsid w:val="00CB2F27"/>
    <w:rsid w:val="00CD034A"/>
    <w:rsid w:val="00CD2177"/>
    <w:rsid w:val="00D07050"/>
    <w:rsid w:val="00D26A77"/>
    <w:rsid w:val="00D508F4"/>
    <w:rsid w:val="00D54210"/>
    <w:rsid w:val="00D63D7D"/>
    <w:rsid w:val="00D66CBF"/>
    <w:rsid w:val="00D71062"/>
    <w:rsid w:val="00D85277"/>
    <w:rsid w:val="00D869B9"/>
    <w:rsid w:val="00D95491"/>
    <w:rsid w:val="00DB0BA1"/>
    <w:rsid w:val="00DB61A1"/>
    <w:rsid w:val="00DC677A"/>
    <w:rsid w:val="00DF6BBE"/>
    <w:rsid w:val="00E05D83"/>
    <w:rsid w:val="00E15C83"/>
    <w:rsid w:val="00E17635"/>
    <w:rsid w:val="00E32622"/>
    <w:rsid w:val="00E35C8D"/>
    <w:rsid w:val="00E37BE8"/>
    <w:rsid w:val="00EB0F64"/>
    <w:rsid w:val="00ED0204"/>
    <w:rsid w:val="00EF53A3"/>
    <w:rsid w:val="00F05B71"/>
    <w:rsid w:val="00F30053"/>
    <w:rsid w:val="00F362BF"/>
    <w:rsid w:val="00F376AF"/>
    <w:rsid w:val="00FB5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AFF13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14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B1457"/>
  </w:style>
  <w:style w:type="paragraph" w:styleId="Footer">
    <w:name w:val="footer"/>
    <w:basedOn w:val="Normal"/>
    <w:link w:val="FooterChar"/>
    <w:uiPriority w:val="99"/>
    <w:unhideWhenUsed/>
    <w:rsid w:val="003B14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B1457"/>
  </w:style>
  <w:style w:type="character" w:styleId="Hyperlink">
    <w:name w:val="Hyperlink"/>
    <w:basedOn w:val="DefaultParagraphFont"/>
    <w:uiPriority w:val="99"/>
    <w:semiHidden/>
    <w:unhideWhenUsed/>
    <w:rsid w:val="006240F8"/>
    <w:rPr>
      <w:color w:val="0000FF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0056CC"/>
  </w:style>
  <w:style w:type="paragraph" w:styleId="FootnoteText">
    <w:name w:val="footnote text"/>
    <w:basedOn w:val="Normal"/>
    <w:link w:val="FootnoteTextChar"/>
    <w:uiPriority w:val="99"/>
    <w:unhideWhenUsed/>
    <w:rsid w:val="00301063"/>
  </w:style>
  <w:style w:type="character" w:customStyle="1" w:styleId="FootnoteTextChar">
    <w:name w:val="Footnote Text Char"/>
    <w:basedOn w:val="DefaultParagraphFont"/>
    <w:link w:val="FootnoteText"/>
    <w:uiPriority w:val="99"/>
    <w:rsid w:val="00301063"/>
  </w:style>
  <w:style w:type="character" w:styleId="FootnoteReference">
    <w:name w:val="footnote reference"/>
    <w:basedOn w:val="DefaultParagraphFont"/>
    <w:uiPriority w:val="99"/>
    <w:unhideWhenUsed/>
    <w:rsid w:val="0030106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430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9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/>
</file>

<file path=customXml/itemProps1.xml><?xml version="1.0" encoding="utf-8"?>
<ds:datastoreItem xmlns:ds="http://schemas.openxmlformats.org/officeDocument/2006/customXml" ds:itemID="{87FB2A66-4414-4F41-B7AB-5A72E717D9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254</TotalTime>
  <Pages>5</Pages>
  <Words>828</Words>
  <Characters>4411</Characters>
  <Application>Microsoft Macintosh Word</Application>
  <DocSecurity>0</DocSecurity>
  <Lines>152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5199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Kozdoj</dc:creator>
  <cp:keywords/>
  <dc:description/>
  <cp:lastModifiedBy>Hannah Kozdoj</cp:lastModifiedBy>
  <cp:revision>51</cp:revision>
  <dcterms:created xsi:type="dcterms:W3CDTF">2018-02-08T09:18:00Z</dcterms:created>
  <dcterms:modified xsi:type="dcterms:W3CDTF">2018-02-13T12:17:00Z</dcterms:modified>
</cp:coreProperties>
</file>