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F5A88E8" wp14:paraId="7EC37B12" wp14:textId="17745EEA">
      <w:pPr>
        <w:spacing w:line="240" w:lineRule="auto"/>
        <w:jc w:val="center"/>
        <w:rPr>
          <w:rFonts w:ascii="Arial Nova" w:hAnsi="Arial Nova" w:eastAsia="Arial Nova" w:cs="Arial Nova"/>
          <w:b w:val="1"/>
          <w:bCs w:val="1"/>
          <w:sz w:val="44"/>
          <w:szCs w:val="44"/>
          <w:u w:val="single"/>
        </w:rPr>
      </w:pPr>
      <w:r w:rsidRPr="1F5A88E8" w:rsidR="54889BD7">
        <w:rPr>
          <w:rFonts w:ascii="Arial Nova" w:hAnsi="Arial Nova" w:eastAsia="Arial Nova" w:cs="Arial Nova"/>
          <w:b w:val="1"/>
          <w:bCs w:val="1"/>
          <w:sz w:val="44"/>
          <w:szCs w:val="44"/>
          <w:u w:val="single"/>
        </w:rPr>
        <w:t>Plan</w:t>
      </w:r>
    </w:p>
    <w:p xmlns:wp14="http://schemas.microsoft.com/office/word/2010/wordml" w:rsidP="1F5A88E8" wp14:paraId="4AEC0DA7" wp14:textId="367A2CF5">
      <w:pPr>
        <w:spacing w:line="240" w:lineRule="auto"/>
        <w:jc w:val="center"/>
        <w:rPr>
          <w:rFonts w:ascii="Arial Nova" w:hAnsi="Arial Nova" w:eastAsia="Arial Nova" w:cs="Arial Nova"/>
          <w:b w:val="1"/>
          <w:bCs w:val="1"/>
          <w:sz w:val="44"/>
          <w:szCs w:val="44"/>
          <w:u w:val="single"/>
        </w:rPr>
      </w:pPr>
    </w:p>
    <w:p xmlns:wp14="http://schemas.microsoft.com/office/word/2010/wordml" w:rsidP="1F5A88E8" wp14:paraId="0EE691CE" wp14:textId="146798CA">
      <w:pPr>
        <w:pStyle w:val="Normal"/>
        <w:spacing w:line="240" w:lineRule="auto"/>
        <w:jc w:val="center"/>
      </w:pPr>
      <w:r w:rsidR="54889BD7">
        <w:drawing>
          <wp:inline xmlns:wp14="http://schemas.microsoft.com/office/word/2010/wordprocessingDrawing" wp14:editId="69E81B0B" wp14:anchorId="3042CB47">
            <wp:extent cx="4153480" cy="4410691"/>
            <wp:effectExtent l="0" t="0" r="0" b="0"/>
            <wp:docPr id="192019347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20193479" name="Picture 1920193479"/>
                    <pic:cNvPicPr/>
                  </pic:nvPicPr>
                  <pic:blipFill>
                    <a:blip xmlns:r="http://schemas.openxmlformats.org/officeDocument/2006/relationships" r:embed="rId184383875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53480" cy="44106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F5A88E8" wp14:paraId="0213417E" wp14:textId="1240E551">
      <w:pPr>
        <w:spacing w:line="240" w:lineRule="auto"/>
        <w:jc w:val="center"/>
        <w:rPr>
          <w:rFonts w:ascii="Arial Nova" w:hAnsi="Arial Nova" w:eastAsia="Arial Nova" w:cs="Arial Nova"/>
          <w:b w:val="1"/>
          <w:bCs w:val="1"/>
          <w:sz w:val="44"/>
          <w:szCs w:val="44"/>
          <w:u w:val="single"/>
        </w:rPr>
      </w:pPr>
    </w:p>
    <w:p xmlns:wp14="http://schemas.microsoft.com/office/word/2010/wordml" w:rsidP="1F5A88E8" wp14:paraId="79D01FCF" wp14:textId="2E0876FF">
      <w:pPr>
        <w:spacing w:line="240" w:lineRule="auto"/>
        <w:jc w:val="center"/>
        <w:rPr>
          <w:rFonts w:ascii="Arial Nova" w:hAnsi="Arial Nova" w:eastAsia="Arial Nova" w:cs="Arial Nova"/>
          <w:b w:val="1"/>
          <w:bCs w:val="1"/>
          <w:sz w:val="44"/>
          <w:szCs w:val="44"/>
          <w:u w:val="single"/>
        </w:rPr>
      </w:pPr>
    </w:p>
    <w:p xmlns:wp14="http://schemas.microsoft.com/office/word/2010/wordml" w:rsidP="1F5A88E8" wp14:paraId="7DD19065" wp14:textId="6CF746DF">
      <w:pPr>
        <w:spacing w:line="240" w:lineRule="auto"/>
        <w:jc w:val="center"/>
        <w:rPr>
          <w:rFonts w:ascii="Arial Nova" w:hAnsi="Arial Nova" w:eastAsia="Arial Nova" w:cs="Arial Nova"/>
          <w:b w:val="1"/>
          <w:bCs w:val="1"/>
          <w:sz w:val="44"/>
          <w:szCs w:val="44"/>
          <w:u w:val="single"/>
        </w:rPr>
      </w:pPr>
    </w:p>
    <w:p xmlns:wp14="http://schemas.microsoft.com/office/word/2010/wordml" w:rsidP="1F5A88E8" wp14:paraId="7F2AC53B" wp14:textId="3B7E8F09">
      <w:pPr>
        <w:spacing w:line="240" w:lineRule="auto"/>
        <w:jc w:val="center"/>
        <w:rPr>
          <w:rFonts w:ascii="Arial Nova" w:hAnsi="Arial Nova" w:eastAsia="Arial Nova" w:cs="Arial Nova"/>
          <w:b w:val="1"/>
          <w:bCs w:val="1"/>
          <w:sz w:val="44"/>
          <w:szCs w:val="44"/>
          <w:u w:val="single"/>
        </w:rPr>
      </w:pPr>
    </w:p>
    <w:p xmlns:wp14="http://schemas.microsoft.com/office/word/2010/wordml" w:rsidP="1F5A88E8" wp14:paraId="1B4DAC0B" wp14:textId="67DCAB29">
      <w:pPr>
        <w:spacing w:line="240" w:lineRule="auto"/>
        <w:jc w:val="center"/>
        <w:rPr>
          <w:rFonts w:ascii="Arial Nova" w:hAnsi="Arial Nova" w:eastAsia="Arial Nova" w:cs="Arial Nova"/>
          <w:b w:val="1"/>
          <w:bCs w:val="1"/>
          <w:sz w:val="44"/>
          <w:szCs w:val="44"/>
          <w:u w:val="single"/>
        </w:rPr>
      </w:pPr>
    </w:p>
    <w:p xmlns:wp14="http://schemas.microsoft.com/office/word/2010/wordml" w:rsidP="1F5A88E8" wp14:paraId="66488B14" wp14:textId="5C30980E">
      <w:pPr>
        <w:spacing w:line="240" w:lineRule="auto"/>
        <w:jc w:val="center"/>
        <w:rPr>
          <w:rFonts w:ascii="Arial Nova" w:hAnsi="Arial Nova" w:eastAsia="Arial Nova" w:cs="Arial Nova"/>
          <w:b w:val="1"/>
          <w:bCs w:val="1"/>
          <w:sz w:val="44"/>
          <w:szCs w:val="44"/>
          <w:u w:val="single"/>
        </w:rPr>
      </w:pPr>
    </w:p>
    <w:p xmlns:wp14="http://schemas.microsoft.com/office/word/2010/wordml" w:rsidP="1F5A88E8" wp14:paraId="1B5F4541" wp14:textId="1090C010">
      <w:pPr>
        <w:pStyle w:val="Normal"/>
        <w:spacing w:line="240" w:lineRule="auto"/>
        <w:jc w:val="center"/>
        <w:rPr>
          <w:rFonts w:ascii="Arial Nova" w:hAnsi="Arial Nova" w:eastAsia="Arial Nova" w:cs="Arial Nova"/>
          <w:b w:val="1"/>
          <w:bCs w:val="1"/>
          <w:sz w:val="44"/>
          <w:szCs w:val="44"/>
          <w:u w:val="single"/>
        </w:rPr>
      </w:pPr>
    </w:p>
    <w:p xmlns:wp14="http://schemas.microsoft.com/office/word/2010/wordml" w:rsidP="1F5A88E8" wp14:paraId="2C078E63" wp14:textId="2D46DE71">
      <w:pPr>
        <w:pStyle w:val="Normal"/>
        <w:spacing w:line="240" w:lineRule="auto"/>
        <w:jc w:val="center"/>
        <w:rPr>
          <w:rFonts w:ascii="Arial Nova" w:hAnsi="Arial Nova" w:eastAsia="Arial Nova" w:cs="Arial Nova"/>
          <w:b w:val="1"/>
          <w:bCs w:val="1"/>
          <w:sz w:val="40"/>
          <w:szCs w:val="40"/>
          <w:u w:val="single"/>
        </w:rPr>
      </w:pPr>
      <w:r w:rsidRPr="1F5A88E8" w:rsidR="15BF9298">
        <w:rPr>
          <w:rFonts w:ascii="Arial Nova" w:hAnsi="Arial Nova" w:eastAsia="Arial Nova" w:cs="Arial Nova"/>
          <w:b w:val="1"/>
          <w:bCs w:val="1"/>
          <w:sz w:val="44"/>
          <w:szCs w:val="44"/>
          <w:u w:val="single"/>
        </w:rPr>
        <w:t>How Child Relocation Laws Work in the UK</w:t>
      </w:r>
    </w:p>
    <w:p w:rsidR="15BF9298" w:rsidP="1F5A88E8" w:rsidRDefault="15BF9298" w14:paraId="5B760727" w14:textId="768A0DDB">
      <w:pPr>
        <w:spacing w:line="240" w:lineRule="auto"/>
        <w:jc w:val="center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F5A88E8" w:rsidR="15BF929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Calan Wilkins</w:t>
      </w:r>
    </w:p>
    <w:p w:rsidR="6798A548" w:rsidP="1F5A88E8" w:rsidRDefault="6798A548" w14:paraId="6DC04124" w14:textId="45D82E97">
      <w:pPr>
        <w:spacing w:line="24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F5A88E8" w:rsidR="6798A54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Child relocation is when one parent or guardian wishes </w:t>
      </w:r>
      <w:r w:rsidRPr="1F5A88E8" w:rsidR="407F44F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to move with a child, usually abroad, without the other parent or guardian</w:t>
      </w:r>
      <w:r w:rsidRPr="1F5A88E8" w:rsidR="01B243A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If both </w:t>
      </w:r>
      <w:r w:rsidRPr="1F5A88E8" w:rsidR="2910E92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agree to the move, no issues arise, however if one party does not agree, laws come into play.</w:t>
      </w:r>
    </w:p>
    <w:p w:rsidR="22D196C8" w:rsidP="1F5A88E8" w:rsidRDefault="22D196C8" w14:paraId="3DFEE195" w14:textId="140C1DB9">
      <w:pPr>
        <w:spacing w:line="240" w:lineRule="auto"/>
        <w:jc w:val="left"/>
        <w:rPr>
          <w:rFonts w:ascii="Arial Nova" w:hAnsi="Arial Nova" w:eastAsia="Arial Nova" w:cs="Arial Nova"/>
          <w:b w:val="1"/>
          <w:bCs w:val="1"/>
          <w:sz w:val="22"/>
          <w:szCs w:val="22"/>
          <w:u w:val="none"/>
        </w:rPr>
      </w:pPr>
      <w:r w:rsidRPr="1F5A88E8" w:rsidR="22D196C8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The Law</w:t>
      </w:r>
    </w:p>
    <w:p w:rsidR="3018898E" w:rsidP="1F5A88E8" w:rsidRDefault="3018898E" w14:paraId="694DC565" w14:textId="15F3735D">
      <w:pPr>
        <w:spacing w:line="24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F5A88E8" w:rsidR="3018898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Under the Children Act 1989, </w:t>
      </w:r>
      <w:r w:rsidRPr="1F5A88E8" w:rsidR="22C65AB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 parent cannot take a child</w:t>
      </w:r>
      <w:r w:rsidRPr="1F5A88E8" w:rsidR="6EC1995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live internationally without either both parents’ permission, </w:t>
      </w:r>
      <w:bookmarkStart w:name="_Int_O8A8ePx3" w:id="1185403809"/>
      <w:r w:rsidRPr="1F5A88E8" w:rsidR="6EC1995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or</w:t>
      </w:r>
      <w:bookmarkEnd w:id="1185403809"/>
      <w:r w:rsidRPr="1F5A88E8" w:rsidR="6EC1995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granted by the court.</w:t>
      </w:r>
    </w:p>
    <w:p w:rsidR="78E1B51B" w:rsidP="1F5A88E8" w:rsidRDefault="78E1B51B" w14:paraId="013540F2" w14:textId="1AA6EA03">
      <w:pPr>
        <w:spacing w:line="240" w:lineRule="auto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F5A88E8" w:rsidR="78E1B51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 order for</w:t>
      </w:r>
      <w:r w:rsidRPr="1F5A88E8" w:rsidR="78E1B51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relocation </w:t>
      </w:r>
      <w:r w:rsidRPr="1F5A88E8" w:rsidR="5545F65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to take place</w:t>
      </w:r>
      <w:r w:rsidRPr="1F5A88E8" w:rsidR="621DA1B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 both parents must agree. If they do not, it is up for the court to decide.</w:t>
      </w:r>
    </w:p>
    <w:p w:rsidR="3A2F8231" w:rsidP="1F5A88E8" w:rsidRDefault="3A2F8231" w14:paraId="6EFE3525" w14:textId="1BA129D8">
      <w:pPr>
        <w:spacing w:line="240" w:lineRule="auto"/>
        <w:jc w:val="left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1F5A88E8" w:rsidR="3A2F823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 the court’s view, the child’s welfare is paramount – the decision will be based on what is in the child’s best interests</w:t>
      </w:r>
      <w:r w:rsidRPr="1F5A88E8" w:rsidR="4D377DE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</w:p>
    <w:p w:rsidR="4F3C785E" w:rsidP="1F5A88E8" w:rsidRDefault="4F3C785E" w14:paraId="46BC217C" w14:textId="52BECE44">
      <w:pPr>
        <w:spacing w:line="240" w:lineRule="auto"/>
        <w:jc w:val="left"/>
        <w:rPr>
          <w:rFonts w:ascii="Arial Nova" w:hAnsi="Arial Nova" w:eastAsia="Arial Nova" w:cs="Arial Nova"/>
          <w:b w:val="1"/>
          <w:bCs w:val="1"/>
          <w:sz w:val="28"/>
          <w:szCs w:val="28"/>
          <w:u w:val="none"/>
        </w:rPr>
      </w:pPr>
      <w:r w:rsidRPr="1F5A88E8" w:rsidR="4F3C785E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Payne v Payne Principle</w:t>
      </w:r>
    </w:p>
    <w:p w:rsidR="4612A0F8" w:rsidP="1F5A88E8" w:rsidRDefault="4612A0F8" w14:paraId="7289FFBD" w14:textId="14C40A14">
      <w:pPr>
        <w:spacing w:line="240" w:lineRule="auto"/>
        <w:jc w:val="left"/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</w:pPr>
      <w:r w:rsidRPr="1F5A88E8" w:rsidR="4612A0F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Deriving from the case of ‘Payne v Payne’ (2001), </w:t>
      </w:r>
      <w:r w:rsidRPr="1F5A88E8" w:rsidR="61CC2F7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 Payne v Payne principle </w:t>
      </w:r>
      <w:r w:rsidRPr="1F5A88E8" w:rsidR="61CC2F7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establishes</w:t>
      </w:r>
      <w:r w:rsidRPr="1F5A88E8" w:rsidR="61CC2F7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guidance for relocation cases</w:t>
      </w:r>
      <w:r w:rsidRPr="1F5A88E8" w:rsidR="7DD8B4B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 Courts look at:</w:t>
      </w:r>
    </w:p>
    <w:p w:rsidR="33480BD2" w:rsidP="1F5A88E8" w:rsidRDefault="33480BD2" w14:paraId="0D9A0B53" w14:textId="5663D40E">
      <w:pPr>
        <w:pStyle w:val="ListParagraph"/>
        <w:numPr>
          <w:ilvl w:val="0"/>
          <w:numId w:val="1"/>
        </w:numPr>
        <w:spacing w:line="24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F5A88E8" w:rsidR="33480BD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How the move would affect the relationship with the distant parent or guardian,</w:t>
      </w:r>
    </w:p>
    <w:p w:rsidR="33480BD2" w:rsidP="1F5A88E8" w:rsidRDefault="33480BD2" w14:paraId="001F6ECD" w14:textId="67F97B31">
      <w:pPr>
        <w:pStyle w:val="ListParagraph"/>
        <w:numPr>
          <w:ilvl w:val="0"/>
          <w:numId w:val="1"/>
        </w:numPr>
        <w:spacing w:line="24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F5A88E8" w:rsidR="33480BD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Whether the plans are genuine and have substance,</w:t>
      </w:r>
    </w:p>
    <w:p w:rsidR="33480BD2" w:rsidP="1F5A88E8" w:rsidRDefault="33480BD2" w14:paraId="69B61FD7" w14:textId="07FC97CE">
      <w:pPr>
        <w:pStyle w:val="ListParagraph"/>
        <w:numPr>
          <w:ilvl w:val="0"/>
          <w:numId w:val="1"/>
        </w:numPr>
        <w:spacing w:line="24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F5A88E8" w:rsidR="33480BD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How the applicant would be affected if the move is refused.</w:t>
      </w:r>
    </w:p>
    <w:p w:rsidR="4F3C785E" w:rsidP="1F5A88E8" w:rsidRDefault="4F3C785E" w14:paraId="0F97CA72" w14:textId="095A7E8E">
      <w:pPr>
        <w:spacing w:line="240" w:lineRule="auto"/>
        <w:jc w:val="left"/>
        <w:rPr>
          <w:rFonts w:ascii="Arial Nova" w:hAnsi="Arial Nova" w:eastAsia="Arial Nova" w:cs="Arial Nova"/>
          <w:b w:val="1"/>
          <w:bCs w:val="1"/>
          <w:sz w:val="28"/>
          <w:szCs w:val="28"/>
          <w:u w:val="none"/>
        </w:rPr>
      </w:pPr>
      <w:r w:rsidRPr="1F5A88E8" w:rsidR="4F3C785E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What the Courts Consider</w:t>
      </w:r>
    </w:p>
    <w:p w:rsidR="6733243B" w:rsidP="1F5A88E8" w:rsidRDefault="6733243B" w14:paraId="639B1086" w14:textId="7DE2E2EA">
      <w:pPr>
        <w:spacing w:line="240" w:lineRule="auto"/>
        <w:jc w:val="left"/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</w:pPr>
      <w:r w:rsidRPr="1F5A88E8" w:rsidR="6733243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When looking at the child’s best interests, the courts will consider:</w:t>
      </w:r>
    </w:p>
    <w:p w:rsidR="6733243B" w:rsidP="1F5A88E8" w:rsidRDefault="6733243B" w14:paraId="2E3D8058" w14:textId="44E506E2">
      <w:pPr>
        <w:pStyle w:val="ListParagraph"/>
        <w:numPr>
          <w:ilvl w:val="0"/>
          <w:numId w:val="2"/>
        </w:numPr>
        <w:spacing w:line="24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F5A88E8" w:rsidR="6733243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Why relocation is wanted,</w:t>
      </w:r>
    </w:p>
    <w:p w:rsidR="6733243B" w:rsidP="1F5A88E8" w:rsidRDefault="6733243B" w14:paraId="5F3A37BE" w14:textId="3B3B7B32">
      <w:pPr>
        <w:pStyle w:val="ListParagraph"/>
        <w:numPr>
          <w:ilvl w:val="0"/>
          <w:numId w:val="2"/>
        </w:numPr>
        <w:spacing w:line="24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F5A88E8" w:rsidR="6733243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How practical the move is,</w:t>
      </w:r>
    </w:p>
    <w:p w:rsidR="6733243B" w:rsidP="1F5A88E8" w:rsidRDefault="6733243B" w14:paraId="6F16EB77" w14:textId="2C431C76">
      <w:pPr>
        <w:pStyle w:val="ListParagraph"/>
        <w:numPr>
          <w:ilvl w:val="0"/>
          <w:numId w:val="2"/>
        </w:numPr>
        <w:spacing w:line="24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F5A88E8" w:rsidR="6733243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How it will affect the child </w:t>
      </w:r>
      <w:r w:rsidRPr="1F5A88E8" w:rsidR="6733243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 the long run</w:t>
      </w:r>
      <w:r w:rsidRPr="1F5A88E8" w:rsidR="6733243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,</w:t>
      </w:r>
    </w:p>
    <w:p w:rsidR="6733243B" w:rsidP="1F5A88E8" w:rsidRDefault="6733243B" w14:paraId="58ECC61D" w14:textId="151BD152">
      <w:pPr>
        <w:pStyle w:val="ListParagraph"/>
        <w:numPr>
          <w:ilvl w:val="0"/>
          <w:numId w:val="2"/>
        </w:numPr>
        <w:spacing w:line="24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F5A88E8" w:rsidR="6733243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Plans on how contact will be kept with the distant parent or guardian.</w:t>
      </w:r>
    </w:p>
    <w:p w:rsidR="0518C286" w:rsidP="1F5A88E8" w:rsidRDefault="0518C286" w14:paraId="61514C21" w14:textId="099A1C20">
      <w:pPr>
        <w:spacing w:line="240" w:lineRule="auto"/>
        <w:jc w:val="left"/>
        <w:rPr>
          <w:rFonts w:ascii="Arial Nova" w:hAnsi="Arial Nova" w:eastAsia="Arial Nova" w:cs="Arial Nova"/>
          <w:b w:val="1"/>
          <w:bCs w:val="1"/>
          <w:sz w:val="28"/>
          <w:szCs w:val="28"/>
          <w:u w:val="none"/>
        </w:rPr>
      </w:pPr>
      <w:r w:rsidRPr="1F5A88E8" w:rsidR="0518C286">
        <w:rPr>
          <w:rFonts w:ascii="Arial Nova" w:hAnsi="Arial Nova" w:eastAsia="Arial Nova" w:cs="Arial Nova"/>
          <w:b w:val="1"/>
          <w:bCs w:val="1"/>
          <w:sz w:val="24"/>
          <w:szCs w:val="24"/>
          <w:u w:val="none"/>
        </w:rPr>
        <w:t>Internal Relocation</w:t>
      </w:r>
    </w:p>
    <w:p w:rsidR="2375307C" w:rsidP="1F5A88E8" w:rsidRDefault="2375307C" w14:paraId="0F254410" w14:textId="3E3C00A4">
      <w:pPr>
        <w:spacing w:line="24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F5A88E8" w:rsidR="2375307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Internal relocation is much more relaxed and</w:t>
      </w:r>
      <w:r w:rsidRPr="1F5A88E8" w:rsidR="63248F6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is</w:t>
      </w:r>
      <w:r w:rsidRPr="1F5A88E8" w:rsidR="2375307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easier to </w:t>
      </w:r>
      <w:r w:rsidRPr="1F5A88E8" w:rsidR="746F3D8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do</w:t>
      </w:r>
      <w:r w:rsidRPr="1F5A88E8" w:rsidR="26A3F48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as </w:t>
      </w:r>
      <w:r w:rsidRPr="1F5A88E8" w:rsidR="26A3F48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maintaining</w:t>
      </w:r>
      <w:r w:rsidRPr="1F5A88E8" w:rsidR="26A3F48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contact is </w:t>
      </w:r>
      <w:r w:rsidRPr="1F5A88E8" w:rsidR="2031C6F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less complex.</w:t>
      </w:r>
    </w:p>
    <w:p w:rsidR="2375307C" w:rsidP="1F5A88E8" w:rsidRDefault="2375307C" w14:paraId="78D89F4A" w14:textId="1602C5C9">
      <w:pPr>
        <w:spacing w:line="240" w:lineRule="auto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F5A88E8" w:rsidR="2375307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Typically, </w:t>
      </w:r>
      <w:r w:rsidRPr="1F5A88E8" w:rsidR="2E8AAAF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permission is not needed for relocation within the UK, unless the child’s routine or relationship with the other parent or guardian would be affected</w:t>
      </w:r>
      <w:r w:rsidRPr="1F5A88E8" w:rsidR="6881792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O8A8ePx3" int2:invalidationBookmarkName="" int2:hashCode="F1g1bbIXWffFoN" int2:id="WwA1zXiC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750dc8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e64a0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7D723F"/>
    <w:rsid w:val="01B243AF"/>
    <w:rsid w:val="0518C286"/>
    <w:rsid w:val="053A3AC3"/>
    <w:rsid w:val="0779BDD2"/>
    <w:rsid w:val="08C46869"/>
    <w:rsid w:val="0D7D723F"/>
    <w:rsid w:val="0EF0AEBD"/>
    <w:rsid w:val="0FF651EA"/>
    <w:rsid w:val="112672D8"/>
    <w:rsid w:val="119EB3C8"/>
    <w:rsid w:val="15BF9298"/>
    <w:rsid w:val="1CE2D400"/>
    <w:rsid w:val="1F5A88E8"/>
    <w:rsid w:val="2030852A"/>
    <w:rsid w:val="2031C6FE"/>
    <w:rsid w:val="22C65AB5"/>
    <w:rsid w:val="22D196C8"/>
    <w:rsid w:val="2375307C"/>
    <w:rsid w:val="25D0C69F"/>
    <w:rsid w:val="26A3F48D"/>
    <w:rsid w:val="2910E92B"/>
    <w:rsid w:val="2B83EBDE"/>
    <w:rsid w:val="2B9D071F"/>
    <w:rsid w:val="2DB9E993"/>
    <w:rsid w:val="2E8AAAFE"/>
    <w:rsid w:val="2F6C1562"/>
    <w:rsid w:val="3018898E"/>
    <w:rsid w:val="30CB6059"/>
    <w:rsid w:val="33480BD2"/>
    <w:rsid w:val="36FC6879"/>
    <w:rsid w:val="37C9BD1D"/>
    <w:rsid w:val="385F0460"/>
    <w:rsid w:val="3A2F8231"/>
    <w:rsid w:val="407F44FA"/>
    <w:rsid w:val="40E5CE02"/>
    <w:rsid w:val="4291F967"/>
    <w:rsid w:val="42CCA78A"/>
    <w:rsid w:val="44C00ECC"/>
    <w:rsid w:val="4612A0F8"/>
    <w:rsid w:val="469C0C1F"/>
    <w:rsid w:val="46A5C245"/>
    <w:rsid w:val="474A804E"/>
    <w:rsid w:val="493A29A2"/>
    <w:rsid w:val="4A058547"/>
    <w:rsid w:val="4C7593F3"/>
    <w:rsid w:val="4D23E0EB"/>
    <w:rsid w:val="4D377DEF"/>
    <w:rsid w:val="4D40AA30"/>
    <w:rsid w:val="4EAB0372"/>
    <w:rsid w:val="4F3C785E"/>
    <w:rsid w:val="539DE666"/>
    <w:rsid w:val="54889BD7"/>
    <w:rsid w:val="5545F655"/>
    <w:rsid w:val="5702C82D"/>
    <w:rsid w:val="571C7DC0"/>
    <w:rsid w:val="61CC2F72"/>
    <w:rsid w:val="621DA1B6"/>
    <w:rsid w:val="63248F63"/>
    <w:rsid w:val="643DD45A"/>
    <w:rsid w:val="64C4CB58"/>
    <w:rsid w:val="6733243B"/>
    <w:rsid w:val="6798A548"/>
    <w:rsid w:val="68817925"/>
    <w:rsid w:val="68C5237A"/>
    <w:rsid w:val="6EC19957"/>
    <w:rsid w:val="72BE349C"/>
    <w:rsid w:val="736CE8A6"/>
    <w:rsid w:val="745079DE"/>
    <w:rsid w:val="746F3D89"/>
    <w:rsid w:val="76A37D68"/>
    <w:rsid w:val="78E1B51B"/>
    <w:rsid w:val="7DD8B4BF"/>
    <w:rsid w:val="7E4F31E3"/>
    <w:rsid w:val="7FEEBE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7D723F"/>
  <w15:chartTrackingRefBased/>
  <w15:docId w15:val="{9A3BACD1-1664-4E50-80EC-0416157C6AD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F5A88E8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1F5A88E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F5A88E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F5A88E8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F5A88E8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F5A88E8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F5A88E8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F5A88E8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F5A88E8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F5A88E8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1F5A88E8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1F5A88E8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1F5A88E8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1F5A88E8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1F5A88E8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843838754" /><Relationship Type="http://schemas.microsoft.com/office/2020/10/relationships/intelligence" Target="intelligence2.xml" Id="R3bab7ecd83944816" /><Relationship Type="http://schemas.openxmlformats.org/officeDocument/2006/relationships/numbering" Target="numbering.xml" Id="R44e27de9bd64451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2025-11-24T16:37:26.4044668Z</dcterms:created>
  <dcterms:modified xsi:type="dcterms:W3CDTF">2025-11-24T23:04:13.9970517Z</dcterms:modified>
  <dc:creator>Calan Wilkins (2400656)</dc:creator>
  <lastModifiedBy>Calan Wilkins (2400656)</lastModifiedBy>
</coreProperties>
</file>