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309B0" w14:textId="77777777" w:rsidR="00C901AE" w:rsidRDefault="00C901AE" w:rsidP="00C901A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15A75738" w14:textId="77777777" w:rsidR="00C901AE" w:rsidRPr="00A76BC3" w:rsidRDefault="00C901AE" w:rsidP="00C901A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How have the different values and cultural norms within diverse communities impacted upon policing? You should </w:t>
      </w:r>
      <w:r>
        <w:rPr>
          <w:rFonts w:ascii="Arial" w:eastAsia="Times New Roman" w:hAnsi="Arial" w:cs="Arial"/>
          <w:u w:val="single"/>
          <w:lang w:eastAsia="en-GB"/>
        </w:rPr>
        <w:t>evaluate</w:t>
      </w:r>
      <w:r>
        <w:rPr>
          <w:rFonts w:ascii="Arial" w:eastAsia="Times New Roman" w:hAnsi="Arial" w:cs="Arial"/>
          <w:lang w:eastAsia="en-GB"/>
        </w:rPr>
        <w:t xml:space="preserve"> how multi-culturalism has affected professional policies and standards (e.g. PACE, Code of Ethics) as well as policing practice (e.g. neighbourhood policing).</w:t>
      </w:r>
    </w:p>
    <w:p w14:paraId="4FC9AE40" w14:textId="77777777" w:rsidR="00C901AE" w:rsidRPr="00E84AE1"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192FE80F" w14:textId="7E8EC397" w:rsidR="00C901AE" w:rsidRDefault="00C901AE">
      <w:pPr>
        <w:rPr>
          <w:rFonts w:ascii="Arial" w:eastAsia="Times New Roman" w:hAnsi="Arial" w:cs="Arial"/>
          <w:b/>
          <w:bCs/>
          <w:lang w:eastAsia="en-GB"/>
        </w:rPr>
      </w:pPr>
    </w:p>
    <w:p w14:paraId="45F28159" w14:textId="1561539B" w:rsidR="00C901AE" w:rsidRPr="00C901AE" w:rsidRDefault="00C901AE">
      <w:pPr>
        <w:rPr>
          <w:rFonts w:ascii="Arial" w:eastAsia="Times New Roman" w:hAnsi="Arial" w:cs="Arial"/>
          <w:b/>
          <w:bCs/>
          <w:u w:val="single"/>
          <w:lang w:eastAsia="en-GB"/>
        </w:rPr>
      </w:pPr>
      <w:r w:rsidRPr="00C901AE">
        <w:rPr>
          <w:rFonts w:ascii="Arial" w:eastAsia="Times New Roman" w:hAnsi="Arial" w:cs="Arial"/>
          <w:b/>
          <w:bCs/>
          <w:u w:val="single"/>
          <w:lang w:eastAsia="en-GB"/>
        </w:rPr>
        <w:t>Answer:</w:t>
      </w:r>
    </w:p>
    <w:p w14:paraId="094B70C5" w14:textId="77777777" w:rsidR="00C901AE" w:rsidRDefault="00C901AE" w:rsidP="00C901AE">
      <w:r>
        <w:t xml:space="preserve">This essay will reveal how multi-culturalism effects have affected policing and what policing has done to develop a solution to this problem. According to (Maryfield, 2018).  ‘Implicit racial bias can cause individuals to unknowingly act in discriminatory.’ This is important as (Holroyd, 2019) explains that the main point in intuitional racism in the police force is due to police officers making implicit racial bias or also known as unconscious bias. </w:t>
      </w:r>
    </w:p>
    <w:p w14:paraId="4CDA1041" w14:textId="77777777" w:rsidR="00C901AE" w:rsidRDefault="00C901AE" w:rsidP="00C901AE">
      <w:r>
        <w:t xml:space="preserve">According to Taylor, D. (2006) they explain that the Brixton riots of 1981 were fuelled by racist discrimination aimed at the ethnic community by the majority of white police officers excessively using the stop and search to find cannabis. This resulted in the Brixton riots causing the death of 13 casualties. </w:t>
      </w:r>
    </w:p>
    <w:p w14:paraId="64AE5B03" w14:textId="5A92DBD3" w:rsidR="00C901AE" w:rsidRDefault="00C901AE" w:rsidP="00C901AE">
      <w:r>
        <w:t>Unknown. (2021), This BBC article highlights the devastation of the</w:t>
      </w:r>
      <w:r w:rsidR="00DE0916">
        <w:t xml:space="preserve"> Brixton</w:t>
      </w:r>
      <w:r>
        <w:t xml:space="preserve"> riots through the first-hand experience of Alex Wheatle. Alex Wheatle stated, </w:t>
      </w:r>
      <w:r w:rsidR="00DE0916">
        <w:t>‘</w:t>
      </w:r>
      <w:r>
        <w:t xml:space="preserve">I had brushes with the police and suffered racist intimidation, so all those bad feelings and experiences I had against the police came out on that weekend.’ Despite this, upon looking into this source with more depth it is clear that A.Wehatle is a biased source as he was a part of the riots as an ethnic male. As well as the BBC has only looked at one side of the issue, they have not explored the side of the police in this article. </w:t>
      </w:r>
    </w:p>
    <w:p w14:paraId="1707C11B" w14:textId="2BE0144A" w:rsidR="00C901AE" w:rsidRDefault="00C901AE" w:rsidP="00C901AE">
      <w:r>
        <w:t xml:space="preserve">This problem was recognised, and the police force implemented several solutions to tackle institutional racism. In 1984 The Police and Criminal Evidence Act; (PACE 1984) came into </w:t>
      </w:r>
      <w:r w:rsidR="00DB379B">
        <w:t>legislation</w:t>
      </w:r>
      <w:r>
        <w:t xml:space="preserve">. According to (Home Office, 2013) PACE 1984 is a series of codes of practice that outline police powers and protect the rights of the public. (Bryant and Bryant, 2021, p.180) confirms that Section 1 of PACE 1984 outlines that </w:t>
      </w:r>
      <w:r w:rsidR="00DB379B">
        <w:t>police officers</w:t>
      </w:r>
      <w:r>
        <w:t xml:space="preserve"> need reasonable grounds that the person an officer will search may be in their possession a prohibited article, such as firework or sharply pointed objects, a stolen article, or intelligence around that person or area at the time of the search. </w:t>
      </w:r>
    </w:p>
    <w:p w14:paraId="1F87DF35" w14:textId="1111554F" w:rsidR="00C901AE" w:rsidRDefault="00C901AE" w:rsidP="00C901AE">
      <w:r>
        <w:t>According to</w:t>
      </w:r>
      <w:r w:rsidR="00CB7D86" w:rsidRPr="00CB7D86">
        <w:t xml:space="preserve"> (Great Britain. Home Office, 2003)</w:t>
      </w:r>
      <w:r>
        <w:t xml:space="preserve"> the reason for the codes of practice was to unify certain police powers under one rule book to outline the rights is the public and hold the police accountable for their decisions. </w:t>
      </w:r>
    </w:p>
    <w:p w14:paraId="3A8AC926" w14:textId="01A1439F" w:rsidR="00C901AE" w:rsidRDefault="00C901AE" w:rsidP="00C901AE">
      <w:r>
        <w:t xml:space="preserve">(Anon, n.d.) is a source that explains the requirements in the PACE 1984 is transparency from the police force while using S1 PACE 1984 stop and search power. The police </w:t>
      </w:r>
      <w:r w:rsidR="00DE0916">
        <w:t>must</w:t>
      </w:r>
      <w:r>
        <w:t xml:space="preserve"> record the ethnicity of the member of the public who is searched and then this is put into an annual report and published by the home office. This source explores how transparency from the police force by using the stop and search power is a solution to tackle institutional racism as it is showing the public openness to change. </w:t>
      </w:r>
    </w:p>
    <w:p w14:paraId="14B8C8F0" w14:textId="1C37C643" w:rsidR="00C901AE" w:rsidRDefault="00C901AE" w:rsidP="00C901AE">
      <w:r>
        <w:t xml:space="preserve">Another solution that the police force uses to tackle institutional racism is creating the Code of Ethics. According to (the College of Policing, 2014) the code of ethics is certain codes that had been created for guidance on how a police officer should act in their duty. For example, (College of Policing, 2014) refers to police officers as being respectful and honest. This source also explains that there are consequences for police officers and staff who abuse and neglect these codes. (College of Policing, 2014) states ‘If the public doesn't have the confidence to trust the police to be fair, acting ethically and in their best interests, they are less likely to assist the police in upholding the law.’ (Bryant and Bryant, 2021, p.73) agrees with this statement and evidence that having the code of ethics </w:t>
      </w:r>
      <w:r w:rsidR="00DB379B">
        <w:t xml:space="preserve">attempts to </w:t>
      </w:r>
      <w:r>
        <w:t xml:space="preserve">ensure trust in the public that police are exercising their powers ethically which would avoid events such as The Brixton Riots. </w:t>
      </w:r>
    </w:p>
    <w:p w14:paraId="6F6F8B49" w14:textId="0B6A9BD4" w:rsidR="00C901AE" w:rsidRDefault="00C901AE" w:rsidP="00C901AE">
      <w:r>
        <w:t xml:space="preserve">According to </w:t>
      </w:r>
      <w:r w:rsidR="008E15E1" w:rsidRPr="008E15E1">
        <w:t>(Jain, Horwitz and Sloane, 2003)</w:t>
      </w:r>
      <w:r w:rsidR="008E15E1">
        <w:t xml:space="preserve"> </w:t>
      </w:r>
      <w:r>
        <w:t>another solution that the majority of police forces use in England and Wales is positive action. Positive action is used in the police force during the recruitment or support for the progression stage. (Positive Action, n.d.) explains that the police force is underrepresented, and positive action allows the police to offer extra resources to the Black, Asian and Minority Ethic applicants to assist with their journey to being successful in the recruitment stage. (Positive Action, n.d.) This allows the forces to gain more of the public trust and attempt to tackle this image of institutional racism within the police, (Black History Month 2022, n.d.).  This is because the public will see a police force that represents the</w:t>
      </w:r>
      <w:r w:rsidR="00DB379B" w:rsidRPr="00DB379B">
        <w:t xml:space="preserve"> </w:t>
      </w:r>
      <w:r w:rsidR="00DB379B">
        <w:t>Black, Asian and Minority Ethic</w:t>
      </w:r>
      <w:r w:rsidR="00DB379B">
        <w:t xml:space="preserve"> </w:t>
      </w:r>
      <w:r>
        <w:t xml:space="preserve">community, it will allow the </w:t>
      </w:r>
      <w:r w:rsidR="00DE0916">
        <w:t>Black, Asian and Minority Ethic applicants</w:t>
      </w:r>
      <w:r>
        <w:t xml:space="preserve"> community to feel comfortable with the police force due to implicit bias and will add a diversity of skills that minority communities bring to the police such as other languages and culture education, this would benefit community policing. </w:t>
      </w:r>
    </w:p>
    <w:p w14:paraId="0D82BFD2" w14:textId="40431CDC" w:rsidR="00C901AE" w:rsidRDefault="00C901AE" w:rsidP="00C901AE">
      <w:r>
        <w:t xml:space="preserve">However, this article (Basu, 2022) says regardless of the steps taken such as positive action in police recruitment, </w:t>
      </w:r>
      <w:r w:rsidR="00DE0916">
        <w:t xml:space="preserve">Black, </w:t>
      </w:r>
      <w:r w:rsidR="000C0555">
        <w:t>Asian,</w:t>
      </w:r>
      <w:r w:rsidR="00DE0916">
        <w:t xml:space="preserve"> and Minority </w:t>
      </w:r>
      <w:r w:rsidR="00DF64A0">
        <w:t>Ethnic</w:t>
      </w:r>
      <w:r>
        <w:t xml:space="preserve"> communities particularly young male black African/ Caribbean remains overpoliced and under-protected by British police forces. </w:t>
      </w:r>
    </w:p>
    <w:p w14:paraId="51D11CF3" w14:textId="1A7D10C5" w:rsidR="00C901AE" w:rsidRDefault="00C901AE" w:rsidP="00C901AE">
      <w:r>
        <w:t xml:space="preserve">In conclusion, </w:t>
      </w:r>
      <w:r w:rsidR="00DE0916">
        <w:t xml:space="preserve">All UK </w:t>
      </w:r>
      <w:r>
        <w:t xml:space="preserve"> </w:t>
      </w:r>
      <w:r w:rsidR="00DE0916">
        <w:t>P</w:t>
      </w:r>
      <w:r>
        <w:t xml:space="preserve">olice </w:t>
      </w:r>
      <w:r w:rsidR="00DE0916">
        <w:t>F</w:t>
      </w:r>
      <w:r>
        <w:t>orce</w:t>
      </w:r>
      <w:r w:rsidR="00DE0916">
        <w:t>s</w:t>
      </w:r>
      <w:r>
        <w:t xml:space="preserve"> has taken steps to gain the public trust and not be </w:t>
      </w:r>
      <w:r w:rsidR="00DE0916">
        <w:t>labelled</w:t>
      </w:r>
      <w:r>
        <w:t xml:space="preserve"> as institutionally racist however regardless of the steps taken such as PACE 1984, Code of Ethics, and Positive action at recruitment for</w:t>
      </w:r>
      <w:r w:rsidR="00DE0916">
        <w:t xml:space="preserve"> Black, Asian and Minority Ethic</w:t>
      </w:r>
      <w:r>
        <w:t xml:space="preserve"> police officers and others not mentioned in this essay, however, certain sources still believe that the police force is institutional racist due black African/ Caribbean communities remaining overpoliced and under-protected by British police forces throughout England and Wales.</w:t>
      </w:r>
    </w:p>
    <w:p w14:paraId="19E5338D" w14:textId="08F768E4" w:rsidR="00C901AE" w:rsidRDefault="00C901AE" w:rsidP="00C901AE"/>
    <w:p w14:paraId="167F9CF1" w14:textId="5F5F3360" w:rsidR="00C901AE" w:rsidRDefault="00C901AE" w:rsidP="00C901AE">
      <w:pPr>
        <w:rPr>
          <w:i/>
          <w:iCs/>
        </w:rPr>
      </w:pPr>
      <w:r w:rsidRPr="00C901AE">
        <w:rPr>
          <w:b/>
          <w:bCs/>
          <w:i/>
          <w:iCs/>
        </w:rPr>
        <w:t>Word count:</w:t>
      </w:r>
      <w:r w:rsidRPr="00C901AE">
        <w:rPr>
          <w:i/>
          <w:iCs/>
        </w:rPr>
        <w:t xml:space="preserve"> 9</w:t>
      </w:r>
      <w:r w:rsidR="000C0555">
        <w:rPr>
          <w:i/>
          <w:iCs/>
        </w:rPr>
        <w:t>24</w:t>
      </w:r>
    </w:p>
    <w:p w14:paraId="21798FAD" w14:textId="4F89B1BE" w:rsidR="00C901AE" w:rsidRDefault="00C901AE" w:rsidP="00C901AE">
      <w:pPr>
        <w:rPr>
          <w:i/>
          <w:iCs/>
        </w:rPr>
      </w:pPr>
    </w:p>
    <w:p w14:paraId="7074B451" w14:textId="3739CA4C" w:rsidR="00C901AE" w:rsidRDefault="00C901AE" w:rsidP="00C901AE"/>
    <w:p w14:paraId="3F128898" w14:textId="450F17E5" w:rsidR="00C901AE" w:rsidRDefault="00C901AE" w:rsidP="00C901AE"/>
    <w:p w14:paraId="40092FF3" w14:textId="77777777" w:rsidR="00C901AE" w:rsidRPr="006C3C20"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Pr="006C3C20">
        <w:rPr>
          <w:rFonts w:ascii="Arial" w:eastAsia="Times New Roman" w:hAnsi="Arial" w:cs="Arial"/>
          <w:lang w:eastAsia="en-GB"/>
        </w:rPr>
        <w:t xml:space="preserve"> </w:t>
      </w:r>
    </w:p>
    <w:p w14:paraId="3B816521" w14:textId="77777777" w:rsidR="00C901AE" w:rsidRPr="00503777"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What makes vulnerable young people and adults more at risk of exploitation by criminal gangs? </w:t>
      </w:r>
      <w:r>
        <w:rPr>
          <w:rFonts w:ascii="Arial" w:eastAsia="Times New Roman" w:hAnsi="Arial" w:cs="Arial"/>
          <w:u w:val="single"/>
          <w:lang w:eastAsia="en-GB"/>
        </w:rPr>
        <w:t>E</w:t>
      </w:r>
      <w:r w:rsidRPr="00072198">
        <w:rPr>
          <w:rFonts w:ascii="Arial" w:eastAsia="Times New Roman" w:hAnsi="Arial" w:cs="Arial"/>
          <w:u w:val="single"/>
          <w:lang w:eastAsia="en-GB"/>
        </w:rPr>
        <w:t>xamine</w:t>
      </w:r>
      <w:r>
        <w:rPr>
          <w:rFonts w:ascii="Arial" w:eastAsia="Times New Roman" w:hAnsi="Arial" w:cs="Arial"/>
          <w:lang w:eastAsia="en-GB"/>
        </w:rPr>
        <w:t xml:space="preserve"> both the psychological and socio-economic characteristics of victims of exploitation.</w:t>
      </w:r>
    </w:p>
    <w:p w14:paraId="6E117362" w14:textId="77777777" w:rsidR="00C901AE" w:rsidRPr="00351DD5"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 but you may make reference to relevant case studies.</w:t>
      </w:r>
    </w:p>
    <w:p w14:paraId="2E8472FC" w14:textId="272A8349" w:rsidR="00C901AE" w:rsidRDefault="00C901AE" w:rsidP="00C901AE">
      <w:pPr>
        <w:spacing w:after="0" w:line="276" w:lineRule="auto"/>
        <w:ind w:left="567" w:right="531"/>
        <w:rPr>
          <w:rFonts w:ascii="Arial" w:eastAsia="Times New Roman" w:hAnsi="Arial" w:cs="Arial"/>
          <w:lang w:eastAsia="en-GB"/>
        </w:rPr>
      </w:pPr>
    </w:p>
    <w:p w14:paraId="24FB4710" w14:textId="56E1E57C" w:rsidR="00C901AE" w:rsidRDefault="00C901AE" w:rsidP="00C901AE">
      <w:pPr>
        <w:spacing w:after="0" w:line="276" w:lineRule="auto"/>
        <w:ind w:left="567" w:right="531"/>
        <w:rPr>
          <w:rFonts w:ascii="Arial" w:eastAsia="Times New Roman" w:hAnsi="Arial" w:cs="Arial"/>
          <w:lang w:eastAsia="en-GB"/>
        </w:rPr>
      </w:pPr>
    </w:p>
    <w:p w14:paraId="332DBA7D" w14:textId="507FEB6A" w:rsidR="00C901AE" w:rsidRPr="00C901AE" w:rsidRDefault="00C901AE" w:rsidP="00C901AE">
      <w:pPr>
        <w:spacing w:after="0" w:line="276" w:lineRule="auto"/>
        <w:ind w:right="531"/>
        <w:rPr>
          <w:rFonts w:ascii="Arial" w:eastAsia="Times New Roman" w:hAnsi="Arial" w:cs="Arial"/>
          <w:b/>
          <w:bCs/>
          <w:lang w:eastAsia="en-GB"/>
        </w:rPr>
      </w:pPr>
      <w:r w:rsidRPr="00C901AE">
        <w:rPr>
          <w:rFonts w:ascii="Arial" w:eastAsia="Times New Roman" w:hAnsi="Arial" w:cs="Arial"/>
          <w:b/>
          <w:bCs/>
          <w:lang w:eastAsia="en-GB"/>
        </w:rPr>
        <w:t>Answer:</w:t>
      </w:r>
    </w:p>
    <w:p w14:paraId="18405E79" w14:textId="77777777" w:rsidR="00DE0916" w:rsidRDefault="00DE0916" w:rsidP="00C901AE">
      <w:pPr>
        <w:autoSpaceDN w:val="0"/>
        <w:spacing w:line="252" w:lineRule="auto"/>
        <w:rPr>
          <w:rFonts w:ascii="Arial" w:eastAsia="Times New Roman" w:hAnsi="Arial" w:cs="Arial"/>
          <w:lang w:eastAsia="en-GB"/>
        </w:rPr>
      </w:pPr>
    </w:p>
    <w:p w14:paraId="0D854BAA" w14:textId="6A854853" w:rsidR="00C901AE" w:rsidRDefault="00C901AE" w:rsidP="00C901AE">
      <w:pPr>
        <w:autoSpaceDN w:val="0"/>
        <w:spacing w:line="252" w:lineRule="auto"/>
      </w:pPr>
      <w:r>
        <w:t xml:space="preserve"> According to (NSPCC, 2016) explains that criminal exploitation is where children, young people and vulnerable adults are coerced and manipulated into committing crimes for the gain of others such as a gang. </w:t>
      </w:r>
      <w:r w:rsidR="00DE0916">
        <w:t xml:space="preserve"> (GOV.UK, 2022) states the definition of vulnerability is </w:t>
      </w:r>
      <w:r w:rsidR="00DF64A0">
        <w:t>‘Being</w:t>
      </w:r>
      <w:r w:rsidR="00DE0916">
        <w:t xml:space="preserve"> vulnerable is defined as in need of special care, support, or protection because of age, disability, risk of abuse or neglect.’ </w:t>
      </w:r>
      <w:r>
        <w:t xml:space="preserve">This source (NSPCC, 2016) also explains that </w:t>
      </w:r>
      <w:r w:rsidR="00DF64A0">
        <w:t>they are different type of gangs</w:t>
      </w:r>
      <w:r>
        <w:t xml:space="preserve"> such as, organised criminal gangs (OCG); “A group of individuals for whom involvement in crime is for personal gain (financial or otherwise). For most crime is their 'occupation.” As stated in (NSPCC, 2016). These gangs can be involved in county lines, this source (Home Office, 2018) explains that county lines </w:t>
      </w:r>
      <w:r w:rsidR="00DF64A0">
        <w:t>are</w:t>
      </w:r>
      <w:r>
        <w:t xml:space="preserve"> a major issue in society with the </w:t>
      </w:r>
      <w:r w:rsidR="00DF64A0">
        <w:t>involvement</w:t>
      </w:r>
      <w:r>
        <w:t xml:space="preserve"> of drugs, criminal and sexual </w:t>
      </w:r>
      <w:r w:rsidR="00DF64A0">
        <w:t>exploitation,</w:t>
      </w:r>
      <w:r>
        <w:t xml:space="preserve"> and violence. </w:t>
      </w:r>
    </w:p>
    <w:p w14:paraId="4B1318C1" w14:textId="79026108" w:rsidR="00C901AE" w:rsidRDefault="00C901AE" w:rsidP="00C901AE">
      <w:pPr>
        <w:autoSpaceDN w:val="0"/>
        <w:spacing w:line="252" w:lineRule="auto"/>
      </w:pPr>
      <w:r>
        <w:t xml:space="preserve">(Home Office, 2018) explains that children and are very impressionable leaving them open for Child criminal exploitation to be used in county lines. (Home Office, 2018) also explains that Child </w:t>
      </w:r>
      <w:r w:rsidR="00DF64A0">
        <w:t>C</w:t>
      </w:r>
      <w:r>
        <w:t xml:space="preserve">riminal Exploration and criminality exploitation is used commonly hand in hand with county lines, this source defines CCE as ‘occurs where an individual or group takes advantage of an imbalance of power to coerce, control, manipulate or deceive a child or young person under the age of 18.’ </w:t>
      </w:r>
    </w:p>
    <w:p w14:paraId="1DA57E96" w14:textId="16EF9A43" w:rsidR="00C901AE" w:rsidRDefault="00C901AE" w:rsidP="00C901AE">
      <w:pPr>
        <w:autoSpaceDN w:val="0"/>
        <w:spacing w:line="252" w:lineRule="auto"/>
      </w:pPr>
      <w:r>
        <w:t>(Arborplaceinc.org, n.d.) explains that the above list is so effective when it comes to CCE due to the physiological make</w:t>
      </w:r>
      <w:r w:rsidR="00DF64A0">
        <w:t xml:space="preserve"> up</w:t>
      </w:r>
      <w:r>
        <w:t xml:space="preserve"> of young adults and children.  As young adults  go through emotionally</w:t>
      </w:r>
      <w:r w:rsidR="00DF64A0">
        <w:t>,</w:t>
      </w:r>
      <w:r>
        <w:t xml:space="preserve"> demanding</w:t>
      </w:r>
      <w:r w:rsidR="00DF64A0">
        <w:t xml:space="preserve"> and</w:t>
      </w:r>
      <w:r>
        <w:t xml:space="preserve"> challenging time throughout their secondary school years</w:t>
      </w:r>
      <w:r w:rsidR="00DF64A0">
        <w:t>.</w:t>
      </w:r>
      <w:r>
        <w:t xml:space="preserve"> </w:t>
      </w:r>
      <w:r w:rsidR="00DF64A0">
        <w:t>T</w:t>
      </w:r>
      <w:r>
        <w:t xml:space="preserve">hey are vulnerable as they </w:t>
      </w:r>
      <w:r w:rsidR="008F4166">
        <w:t>are deciding</w:t>
      </w:r>
      <w:r>
        <w:t xml:space="preserve"> who they want to be become and are highly impressionable due to neurological </w:t>
      </w:r>
      <w:r w:rsidR="00DF64A0">
        <w:t>development’s</w:t>
      </w:r>
      <w:r>
        <w:t xml:space="preserve"> that are still taking place that impact their susceptibility to risk taking and peer influence. </w:t>
      </w:r>
    </w:p>
    <w:p w14:paraId="5D1AAEB4" w14:textId="0818574F" w:rsidR="00C901AE" w:rsidRDefault="00C901AE" w:rsidP="00C901AE">
      <w:pPr>
        <w:autoSpaceDN w:val="0"/>
        <w:spacing w:line="252" w:lineRule="auto"/>
      </w:pPr>
      <w:r>
        <w:t xml:space="preserve"> (Home Office, 2018) explains there are signs that are indicator of CCE. According to (Home Office, 2018) the physiological signs of vulnerable young person at risk of CCE are </w:t>
      </w:r>
      <w:r w:rsidR="00DF64A0" w:rsidRPr="00DF64A0">
        <w:t>continually</w:t>
      </w:r>
      <w:r>
        <w:t xml:space="preserve"> going missing</w:t>
      </w:r>
      <w:r w:rsidR="00DF64A0">
        <w:t>;</w:t>
      </w:r>
      <w:r>
        <w:t xml:space="preserve"> that may be from home or school</w:t>
      </w:r>
      <w:r w:rsidR="00DF64A0">
        <w:t>,</w:t>
      </w:r>
      <w:r>
        <w:t xml:space="preserve"> excessive phone call or texts or excessive use of mobile phone, unexplained large amounts of money or gifts</w:t>
      </w:r>
      <w:r w:rsidR="008F4166">
        <w:t xml:space="preserve"> this is usually because of the suspect will bribe vulnerable children with material items that they wouldn’t usually be able to get or would be out of reach for them such as new trainers or designer bags. Other </w:t>
      </w:r>
      <w:r w:rsidR="003E4DD8">
        <w:t>characterises</w:t>
      </w:r>
      <w:r w:rsidR="008F4166">
        <w:t xml:space="preserve"> would be </w:t>
      </w:r>
      <w:r w:rsidR="003E4DD8">
        <w:t>P</w:t>
      </w:r>
      <w:r>
        <w:t xml:space="preserve">hysical assault or unexplained injuries, self- harm or significant changes, association with gangs or relationship with older or controlling individuals. For adults some of the Physiological signs that occur according to (cornwallpolice.ca, n.d.) are dementia, brain injuries, a tendency to wonder, aggression, inability to communicate or usual social responses. This source is an academic government source that has been published in order to educate the signs </w:t>
      </w:r>
      <w:r w:rsidR="00857D6F">
        <w:t>and</w:t>
      </w:r>
      <w:r>
        <w:t xml:space="preserve"> warning of CCE and county lines techniques that </w:t>
      </w:r>
      <w:r w:rsidR="008F4166">
        <w:t>are used</w:t>
      </w:r>
      <w:r>
        <w:t xml:space="preserve"> by OCG gangs. I have fact checked this source against (NSPCC, n.d.)  which is also an academic </w:t>
      </w:r>
      <w:r w:rsidR="008F4166">
        <w:t>source,</w:t>
      </w:r>
      <w:r>
        <w:t xml:space="preserve"> and it is reliable. </w:t>
      </w:r>
    </w:p>
    <w:p w14:paraId="7D16B937" w14:textId="1C0D8A0E" w:rsidR="00C901AE" w:rsidRDefault="00C901AE" w:rsidP="00C901AE">
      <w:pPr>
        <w:autoSpaceDN w:val="0"/>
        <w:spacing w:line="252" w:lineRule="auto"/>
      </w:pPr>
      <w:r>
        <w:t>According to (Gezie et al., 2018</w:t>
      </w:r>
      <w:r w:rsidR="008F4166">
        <w:t>) there</w:t>
      </w:r>
      <w:r>
        <w:t xml:space="preserve"> are certain socio- ecomic signs that will make a young person or adult at risk of criminal exploitation such as, their age; are they young enough to be </w:t>
      </w:r>
      <w:r w:rsidR="00857D6F">
        <w:t>impressionable.</w:t>
      </w:r>
      <w:r>
        <w:t xml:space="preserve"> Gender, this will be used to tailor exploitation to the person for example ‘A materialistic woman can be influenced by </w:t>
      </w:r>
      <w:r w:rsidR="008F4166">
        <w:t>gifts</w:t>
      </w:r>
      <w:r>
        <w:t xml:space="preserve">. Their residence, if they are unemployed or homeless if they are a tenet of a </w:t>
      </w:r>
      <w:r w:rsidR="008F4166">
        <w:t>property,</w:t>
      </w:r>
      <w:r>
        <w:t xml:space="preserve"> they could be at risk of cuckooing which is explained below.  If they are unemployed, they are at risk of being controlled by using money or gifts. As well as their education </w:t>
      </w:r>
      <w:r w:rsidR="008F4166">
        <w:t>level, they</w:t>
      </w:r>
      <w:r>
        <w:t xml:space="preserve"> potentially </w:t>
      </w:r>
      <w:r w:rsidR="00857D6F">
        <w:t>could be</w:t>
      </w:r>
      <w:r>
        <w:t xml:space="preserve"> effortlessly fooled into criminality. </w:t>
      </w:r>
    </w:p>
    <w:p w14:paraId="1F9DF4E4" w14:textId="74BEC530" w:rsidR="00C901AE" w:rsidRDefault="00C901AE" w:rsidP="00C901AE">
      <w:pPr>
        <w:autoSpaceDN w:val="0"/>
        <w:spacing w:line="252" w:lineRule="auto"/>
      </w:pPr>
      <w:r>
        <w:t xml:space="preserve">(Council, 2022) explains what the term ‘cuckooing.’ Cuckooing is a term used when an OCG or gang would take over a vulnerable adult’s accommodation </w:t>
      </w:r>
      <w:r w:rsidR="00857D6F">
        <w:t>and</w:t>
      </w:r>
      <w:r>
        <w:t xml:space="preserve"> privately used it for facility criminal behaviour such as, drug rings or sexual trafficking etc… The OCG or gang would also take over the victim’s property as somewhere for them to live or to finically abuse the victim. OCG would normally choose to exploit and target vulnerable adult to their socio-economic characteristics, such as drug or alcohol abuse, learning difficulties or mental health issues. OCG or gangs would often use threat to force and control the victim. </w:t>
      </w:r>
    </w:p>
    <w:p w14:paraId="09C8824F" w14:textId="4C60BFB2" w:rsidR="00C901AE" w:rsidRDefault="00C901AE" w:rsidP="00C901AE">
      <w:pPr>
        <w:autoSpaceDN w:val="0"/>
        <w:spacing w:line="252" w:lineRule="auto"/>
      </w:pPr>
      <w:r>
        <w:t xml:space="preserve">An example of case where </w:t>
      </w:r>
      <w:r w:rsidR="003E4DD8">
        <w:t>a SWP Response T</w:t>
      </w:r>
      <w:r>
        <w:t xml:space="preserve">eam was involved in recently </w:t>
      </w:r>
      <w:r w:rsidR="00857D6F">
        <w:t xml:space="preserve">involving </w:t>
      </w:r>
      <w:r>
        <w:t xml:space="preserve">a vulnerable woman </w:t>
      </w:r>
      <w:r w:rsidR="00857D6F">
        <w:t xml:space="preserve">that </w:t>
      </w:r>
      <w:r>
        <w:t xml:space="preserve">was subjected to criminality exploitation. This was due to her being used for sexual abusive service for the members of an OCG due to her being homeless. She was subjected to extreme violence and abuse. As a result of a debt for drugs that she had owed </w:t>
      </w:r>
      <w:r w:rsidR="00857D6F">
        <w:t xml:space="preserve">however </w:t>
      </w:r>
      <w:r>
        <w:t xml:space="preserve"> </w:t>
      </w:r>
      <w:r w:rsidR="00857D6F">
        <w:t>due</w:t>
      </w:r>
      <w:r>
        <w:t xml:space="preserve"> of her being unemployed, homeless, and suffering from mental health she was easily influenced by more drugs and money to prostitute herself in order to pay off a drugs debt</w:t>
      </w:r>
      <w:r w:rsidR="00857D6F">
        <w:t xml:space="preserve">. </w:t>
      </w:r>
    </w:p>
    <w:p w14:paraId="4DE1D236" w14:textId="77777777" w:rsidR="000A64CF" w:rsidRDefault="00C901AE" w:rsidP="008F4166">
      <w:pPr>
        <w:spacing w:after="0" w:line="276" w:lineRule="auto"/>
        <w:ind w:right="531"/>
      </w:pPr>
      <w:r>
        <w:t xml:space="preserve"> Organisations that may use criminality exploitation as a tactic and the methods used such as cuckooing. As well as a case study used from my </w:t>
      </w:r>
    </w:p>
    <w:p w14:paraId="1C3C5D18" w14:textId="34EEF2B5" w:rsidR="008F4166" w:rsidRDefault="00C901AE" w:rsidP="008F4166">
      <w:pPr>
        <w:spacing w:after="0" w:line="276" w:lineRule="auto"/>
        <w:ind w:right="531"/>
      </w:pPr>
      <w:r>
        <w:t>experience with dealing with cases with vulnerable adults.  As a results of these tactics and issues they can have</w:t>
      </w:r>
      <w:r w:rsidR="00857D6F">
        <w:t xml:space="preserve"> impactful</w:t>
      </w:r>
      <w:r>
        <w:t xml:space="preserve"> emotional effect on victims </w:t>
      </w:r>
      <w:r w:rsidR="008F4166">
        <w:t xml:space="preserve">who have </w:t>
      </w:r>
      <w:r w:rsidR="008F4166" w:rsidRPr="008F4166">
        <w:t xml:space="preserve">psychological and socio-economic characteristics </w:t>
      </w:r>
      <w:r w:rsidR="008F4166">
        <w:t xml:space="preserve">such as being are highly impressionable, gender, or childhood trauma, This effects </w:t>
      </w:r>
      <w:r>
        <w:t xml:space="preserve"> how they deal with the mental trauma it crea</w:t>
      </w:r>
      <w:r w:rsidR="008F4166">
        <w:t>tes. This is resulted in creating young vulnerab</w:t>
      </w:r>
      <w:r w:rsidR="00857D6F">
        <w:t>le</w:t>
      </w:r>
      <w:r w:rsidR="008F4166">
        <w:t xml:space="preserve"> pe</w:t>
      </w:r>
      <w:r w:rsidR="00857D6F">
        <w:t>rsons</w:t>
      </w:r>
      <w:r w:rsidR="008F4166">
        <w:t xml:space="preserve"> and adults who are more at risk of being subjected to criminal activity. </w:t>
      </w:r>
    </w:p>
    <w:p w14:paraId="1B538657" w14:textId="52CC2EAB" w:rsidR="00C901AE" w:rsidRDefault="00C901AE" w:rsidP="00C901AE">
      <w:pPr>
        <w:spacing w:after="0" w:line="276" w:lineRule="auto"/>
        <w:ind w:right="531"/>
      </w:pPr>
    </w:p>
    <w:p w14:paraId="3B7B19DF" w14:textId="7C9C4F35" w:rsidR="00DE0916" w:rsidRDefault="00DE0916" w:rsidP="00C901AE">
      <w:pPr>
        <w:spacing w:after="0" w:line="276" w:lineRule="auto"/>
        <w:ind w:right="531"/>
      </w:pPr>
    </w:p>
    <w:p w14:paraId="1397A43C" w14:textId="54E0A4FF" w:rsidR="00DE0916" w:rsidRDefault="00DE0916" w:rsidP="00C901AE">
      <w:pPr>
        <w:spacing w:after="0" w:line="276" w:lineRule="auto"/>
        <w:ind w:right="531"/>
      </w:pPr>
    </w:p>
    <w:p w14:paraId="0A36F240" w14:textId="78F8491A" w:rsidR="00C901AE" w:rsidRDefault="00C901AE" w:rsidP="00C901AE">
      <w:pPr>
        <w:spacing w:after="0" w:line="276" w:lineRule="auto"/>
        <w:ind w:right="531"/>
      </w:pPr>
    </w:p>
    <w:p w14:paraId="68197210" w14:textId="62C2DF50" w:rsidR="00C901AE" w:rsidRDefault="00C901AE" w:rsidP="00C901AE">
      <w:pPr>
        <w:spacing w:after="0" w:line="276" w:lineRule="auto"/>
        <w:ind w:right="531"/>
        <w:rPr>
          <w:i/>
          <w:iCs/>
        </w:rPr>
      </w:pPr>
      <w:r w:rsidRPr="00C901AE">
        <w:rPr>
          <w:b/>
          <w:bCs/>
          <w:i/>
          <w:iCs/>
        </w:rPr>
        <w:t>Word count:</w:t>
      </w:r>
      <w:r w:rsidRPr="00C901AE">
        <w:rPr>
          <w:i/>
          <w:iCs/>
        </w:rPr>
        <w:t xml:space="preserve"> 9</w:t>
      </w:r>
      <w:r w:rsidR="00857D6F">
        <w:rPr>
          <w:i/>
          <w:iCs/>
        </w:rPr>
        <w:t>04</w:t>
      </w:r>
    </w:p>
    <w:p w14:paraId="0D7A9953" w14:textId="3358C6F1" w:rsidR="00C901AE" w:rsidRDefault="00C901AE" w:rsidP="00C901AE">
      <w:pPr>
        <w:spacing w:after="0" w:line="276" w:lineRule="auto"/>
        <w:ind w:right="531"/>
        <w:rPr>
          <w:i/>
          <w:iCs/>
        </w:rPr>
      </w:pPr>
    </w:p>
    <w:p w14:paraId="6FD4D175" w14:textId="52746166" w:rsidR="00C901AE" w:rsidRDefault="00C901AE" w:rsidP="00C901AE">
      <w:pPr>
        <w:spacing w:after="0" w:line="276" w:lineRule="auto"/>
        <w:ind w:right="531"/>
        <w:rPr>
          <w:i/>
          <w:iCs/>
        </w:rPr>
      </w:pPr>
    </w:p>
    <w:p w14:paraId="55C97579" w14:textId="2CAC809E" w:rsidR="00C901AE" w:rsidRDefault="00C901AE" w:rsidP="00C901AE">
      <w:pPr>
        <w:spacing w:after="0" w:line="276" w:lineRule="auto"/>
        <w:ind w:right="531"/>
        <w:rPr>
          <w:i/>
          <w:iCs/>
        </w:rPr>
      </w:pPr>
    </w:p>
    <w:p w14:paraId="70CF092F" w14:textId="51A03D78" w:rsidR="00C901AE" w:rsidRDefault="00C901AE" w:rsidP="00C901AE">
      <w:pPr>
        <w:spacing w:after="0" w:line="276" w:lineRule="auto"/>
        <w:ind w:right="531"/>
        <w:rPr>
          <w:i/>
          <w:iCs/>
        </w:rPr>
      </w:pPr>
    </w:p>
    <w:p w14:paraId="4D61775E" w14:textId="77777777" w:rsidR="00C901AE" w:rsidRDefault="00C901AE" w:rsidP="00C901AE">
      <w:pPr>
        <w:spacing w:after="0" w:line="276" w:lineRule="auto"/>
        <w:ind w:left="567" w:right="531"/>
        <w:rPr>
          <w:rFonts w:ascii="Arial" w:eastAsia="Times New Roman" w:hAnsi="Arial" w:cs="Arial"/>
          <w:b/>
          <w:bCs/>
          <w:lang w:eastAsia="en-GB"/>
        </w:rPr>
      </w:pPr>
    </w:p>
    <w:p w14:paraId="725FB2E9" w14:textId="77777777" w:rsidR="00C901AE" w:rsidRDefault="00C901AE" w:rsidP="00C901AE">
      <w:pPr>
        <w:spacing w:after="0" w:line="276" w:lineRule="auto"/>
        <w:ind w:left="567" w:right="531"/>
        <w:rPr>
          <w:rFonts w:ascii="Arial" w:eastAsia="Times New Roman" w:hAnsi="Arial" w:cs="Arial"/>
          <w:b/>
          <w:bCs/>
          <w:lang w:eastAsia="en-GB"/>
        </w:rPr>
      </w:pPr>
    </w:p>
    <w:p w14:paraId="6090DA9F" w14:textId="2F2D27E1" w:rsidR="00C901AE" w:rsidRPr="006C3C20" w:rsidRDefault="00C901AE" w:rsidP="00C901AE">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30200178" w14:textId="77777777" w:rsidR="00C901AE" w:rsidRDefault="00C901AE" w:rsidP="00C901AE">
      <w:pPr>
        <w:spacing w:after="0" w:line="276" w:lineRule="auto"/>
        <w:ind w:left="567" w:right="531"/>
        <w:rPr>
          <w:rFonts w:ascii="Arial" w:eastAsia="Times New Roman" w:hAnsi="Arial" w:cs="Arial"/>
          <w:lang w:eastAsia="en-GB"/>
        </w:rPr>
      </w:pPr>
      <w:r w:rsidRPr="00730A53">
        <w:rPr>
          <w:rFonts w:ascii="Arial" w:eastAsia="Times New Roman" w:hAnsi="Arial" w:cs="Arial"/>
          <w:u w:val="single"/>
          <w:lang w:eastAsia="en-GB"/>
        </w:rPr>
        <w:t>How effective</w:t>
      </w:r>
      <w:r>
        <w:rPr>
          <w:rFonts w:ascii="Arial" w:eastAsia="Times New Roman" w:hAnsi="Arial" w:cs="Arial"/>
          <w:lang w:eastAsia="en-GB"/>
        </w:rPr>
        <w:t xml:space="preserve"> is MAPPA as a means of managing offenders?</w:t>
      </w:r>
    </w:p>
    <w:p w14:paraId="56E52E29" w14:textId="77777777" w:rsidR="00C901AE" w:rsidRPr="00E84AE1"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0B6305EE" w14:textId="04288543" w:rsidR="00C901AE" w:rsidRDefault="00C901AE" w:rsidP="00C901AE">
      <w:pPr>
        <w:spacing w:after="0" w:line="276" w:lineRule="auto"/>
        <w:ind w:right="531"/>
        <w:rPr>
          <w:rFonts w:ascii="Arial" w:eastAsia="Times New Roman" w:hAnsi="Arial" w:cs="Arial"/>
          <w:b/>
          <w:bCs/>
          <w:lang w:eastAsia="en-GB"/>
        </w:rPr>
      </w:pPr>
    </w:p>
    <w:p w14:paraId="218D1436" w14:textId="3C4D3049" w:rsidR="00C901AE" w:rsidRDefault="00C901AE" w:rsidP="00C901AE">
      <w:pPr>
        <w:spacing w:after="0" w:line="276" w:lineRule="auto"/>
        <w:ind w:right="531"/>
        <w:rPr>
          <w:rFonts w:ascii="Arial" w:eastAsia="Times New Roman" w:hAnsi="Arial" w:cs="Arial"/>
          <w:b/>
          <w:bCs/>
          <w:lang w:eastAsia="en-GB"/>
        </w:rPr>
      </w:pPr>
    </w:p>
    <w:p w14:paraId="3E23D9FC" w14:textId="77777777" w:rsidR="00C901AE" w:rsidRDefault="00C901AE" w:rsidP="00C901AE">
      <w:pPr>
        <w:spacing w:after="0" w:line="276" w:lineRule="auto"/>
        <w:ind w:right="531"/>
        <w:rPr>
          <w:rFonts w:ascii="Arial" w:eastAsia="Times New Roman" w:hAnsi="Arial" w:cs="Arial"/>
          <w:b/>
          <w:bCs/>
          <w:lang w:eastAsia="en-GB"/>
        </w:rPr>
      </w:pPr>
    </w:p>
    <w:p w14:paraId="27103E2F" w14:textId="77777777" w:rsidR="00C901AE" w:rsidRDefault="00C901AE" w:rsidP="00C901AE">
      <w:pPr>
        <w:spacing w:after="0" w:line="276" w:lineRule="auto"/>
        <w:ind w:right="531"/>
        <w:rPr>
          <w:rFonts w:ascii="Arial" w:eastAsia="Times New Roman" w:hAnsi="Arial" w:cs="Arial"/>
          <w:b/>
          <w:bCs/>
          <w:lang w:eastAsia="en-GB"/>
        </w:rPr>
      </w:pPr>
    </w:p>
    <w:p w14:paraId="78424419" w14:textId="006E6B1F" w:rsidR="00C901AE" w:rsidRPr="00C901AE" w:rsidRDefault="00C901AE" w:rsidP="00C901AE">
      <w:pPr>
        <w:spacing w:after="0" w:line="276" w:lineRule="auto"/>
        <w:ind w:right="531"/>
        <w:rPr>
          <w:rFonts w:ascii="Arial" w:eastAsia="Times New Roman" w:hAnsi="Arial" w:cs="Arial"/>
          <w:b/>
          <w:bCs/>
          <w:u w:val="single"/>
          <w:lang w:eastAsia="en-GB"/>
        </w:rPr>
      </w:pPr>
      <w:r w:rsidRPr="00C901AE">
        <w:rPr>
          <w:rFonts w:ascii="Arial" w:eastAsia="Times New Roman" w:hAnsi="Arial" w:cs="Arial"/>
          <w:b/>
          <w:bCs/>
          <w:u w:val="single"/>
          <w:lang w:eastAsia="en-GB"/>
        </w:rPr>
        <w:t>Answer:</w:t>
      </w:r>
      <w:r w:rsidRPr="00C901AE">
        <w:rPr>
          <w:rFonts w:ascii="Arial" w:eastAsia="Times New Roman" w:hAnsi="Arial" w:cs="Arial"/>
          <w:b/>
          <w:bCs/>
          <w:u w:val="single"/>
          <w:lang w:eastAsia="en-GB"/>
        </w:rPr>
        <w:br/>
      </w:r>
    </w:p>
    <w:p w14:paraId="09C4A1C3" w14:textId="3DAD094C" w:rsidR="00C901AE" w:rsidRDefault="00C901AE" w:rsidP="00C901AE">
      <w:r>
        <w:t xml:space="preserve">According to (College of Policing, 2017) MAPPA is an acronym for ‘Multi–agency public protection arrangements’ it is an authorised professional practice used by The National Probation Service and it is in place to manage sexual, violent, and other serious offenders. </w:t>
      </w:r>
    </w:p>
    <w:p w14:paraId="2128E651" w14:textId="77777777" w:rsidR="00C901AE" w:rsidRDefault="00C901AE" w:rsidP="00C901AE">
      <w:r>
        <w:t xml:space="preserve">In this article (amnesty.org.uk, n.d.) MAPPA is reinforced by certain legislation such as Articles 2 and 3 of the European Convention on Human Rights (ECHR). Which is a treaty between 47 states who have a membership with the Council of Europe. It sets several Human Rights, however Article 2 the right to life and the right to not be subjected to murder by another, and Article 3 Prohibition of cruel and torture, inhuman and degrading treatment. MAPPA is underlined and protected by this legislation as explained in (College of Policing, 2017). This information also explains that any action done affects an offender's human rights should be justified and lawful. </w:t>
      </w:r>
    </w:p>
    <w:p w14:paraId="4D6F9E4B" w14:textId="7FDD9DED" w:rsidR="00C901AE" w:rsidRDefault="008E15E1" w:rsidP="00C901AE">
      <w:r w:rsidRPr="008E15E1">
        <w:t xml:space="preserve">(Baker and Sutherland, 2009) </w:t>
      </w:r>
      <w:r w:rsidR="00C901AE">
        <w:t xml:space="preserve">explains </w:t>
      </w:r>
      <w:r w:rsidR="000A64CF">
        <w:t>the</w:t>
      </w:r>
      <w:r w:rsidR="00C901AE">
        <w:t xml:space="preserve"> responsible authorities (RA’s) which </w:t>
      </w:r>
      <w:r w:rsidR="000A64CF">
        <w:t>the police and His Majesty’s Prison &amp; Probation Service are</w:t>
      </w:r>
      <w:r w:rsidR="00C901AE">
        <w:t xml:space="preserve"> responsible for using MAPPA to manage offenders over the age of 18 or offenders that are subjected to statutory supervision while being a part of the community. (College of Policing, 2017) explains that they must ensure that any risk posed by an offender is assessed appropriately. The RA is also responsible for offender management this would have to include appropriate information sharing to identify the risk accurately. </w:t>
      </w:r>
    </w:p>
    <w:p w14:paraId="1D1EBFAF" w14:textId="77777777" w:rsidR="00C901AE" w:rsidRDefault="00C901AE" w:rsidP="00C901AE">
      <w:r>
        <w:t xml:space="preserve">(College of Policing, 2017) outlines categories that offenders must fall into. Category one is subjected to any registered sexual offender under the Sexual Offence Act 2003, Part 2 as outlined (Gov. UK, 2003). </w:t>
      </w:r>
    </w:p>
    <w:p w14:paraId="2879363A" w14:textId="75891051" w:rsidR="00492586" w:rsidRDefault="00C901AE" w:rsidP="00C901AE">
      <w:r>
        <w:t xml:space="preserve">Category 2 is an offender who has been convicted of an offence under the Criminal Justice act 2003, Schedule 15 (Gov.uk, 2012). </w:t>
      </w:r>
      <w:r w:rsidR="000A64CF">
        <w:t>However,</w:t>
      </w:r>
      <w:r>
        <w:t xml:space="preserve"> must have been sentenced to more than 12 months in custody and transferred to the hospital under Mental Health Act 1983 or an offender that has been detained in the hospital under the Mental Health Act 1983 according to (Mental Health Act, 1983)</w:t>
      </w:r>
    </w:p>
    <w:p w14:paraId="3FAC573E" w14:textId="2DC57B27" w:rsidR="00C901AE" w:rsidRDefault="00C901AE" w:rsidP="00C901AE">
      <w:r>
        <w:t xml:space="preserve"> Category 3 applies to any other dangerous offender who convicted or cautioned for an offence that could cause serious harm and must apply to have an offender management, however, third may not come under the Criminal Justice act 2003, Schedule 15. </w:t>
      </w:r>
    </w:p>
    <w:p w14:paraId="46E8BF77" w14:textId="461A9115" w:rsidR="00492586" w:rsidRDefault="00492586" w:rsidP="00C901AE">
      <w:r w:rsidRPr="008E15E1">
        <w:t>(Baker and Sutherland, 2009)</w:t>
      </w:r>
      <w:r>
        <w:t xml:space="preserve"> explains that the category system is a positive due to </w:t>
      </w:r>
      <w:r w:rsidR="000A64CF">
        <w:t xml:space="preserve">the </w:t>
      </w:r>
      <w:r>
        <w:t>effectiveness</w:t>
      </w:r>
      <w:r w:rsidR="000A64CF">
        <w:t>.</w:t>
      </w:r>
      <w:r>
        <w:t xml:space="preserve"> </w:t>
      </w:r>
      <w:r w:rsidR="000A64CF">
        <w:t>F</w:t>
      </w:r>
      <w:r>
        <w:t>or example</w:t>
      </w:r>
      <w:r w:rsidR="000A64CF">
        <w:t>,</w:t>
      </w:r>
      <w:r>
        <w:t xml:space="preserve"> by completing a risk assessment of the offender and putting them into a category allows to outline the best course of action to be taken with them instead of wasting resources or time by treating every offender the same. </w:t>
      </w:r>
    </w:p>
    <w:p w14:paraId="51BE9252" w14:textId="77777777" w:rsidR="00C901AE" w:rsidRDefault="00C901AE" w:rsidP="00C901AE">
      <w:r>
        <w:t xml:space="preserve">According to (Her Majesty's Inspectorate of Probation, 2021) The lead agency may be the police or His Majesty Prison and Probation Service depending on what category of offender management is needed. </w:t>
      </w:r>
    </w:p>
    <w:p w14:paraId="2CA7A7BC" w14:textId="043CA667" w:rsidR="00C901AE" w:rsidRDefault="00C901AE" w:rsidP="00C901AE">
      <w:r>
        <w:t xml:space="preserve">(College of Policing, 2017) explains that MAPPA requires several levels of offender management. Level one is referred to as ordinary agency management where the risks of the offender can be managed by the lead agency which would be the police. Level two is referred to as active multi-agency management and this applies to offenders to pose a higher serious risk than level one. It is stated by (College of Policing, 2017) as ‘identified as a lower risk but active involvement, interventions, and coordination are required from other agencies to manage the risks of serious harm’ and it lowered from level 3. (College of Policing, 2017) explains Level three management is referred to as active enhanced multi-agency management, this applies to offenders to pose a more serious higher risk which requires senior representation for RAs and other agencies. These offenders are also at risk for public interest considerations or media scrutiny. </w:t>
      </w:r>
    </w:p>
    <w:p w14:paraId="36DAB40F" w14:textId="77777777" w:rsidR="00C901AE" w:rsidRDefault="00C901AE" w:rsidP="00C901AE">
      <w:r>
        <w:t xml:space="preserve">(Her Majesty's Inspectorate of Probation, 2021) highlights several positives of such as defensible decision-making while using MAPPA to manage serious offenders. This is a decision that would be made that would withstand hindsight in case of any negatives that come of that decision. This has been recognised as a positive attribute towards MAPPA eliminating biases and errors being made. MAPPA staff will make these decisions by using plans with service users, deploying effective communication and supervision skills, and as well as using assessment tools that have been validated. </w:t>
      </w:r>
    </w:p>
    <w:p w14:paraId="01279A18" w14:textId="77777777" w:rsidR="00C901AE" w:rsidRDefault="00C901AE" w:rsidP="00C901AE">
      <w:r>
        <w:t>(Bryant, Peck and Ministry Of Justice, 2015) is a source that has researched the reoffending analysis of offenders That are under MAPPA from 2000 to 2010 and the key findings are ‘The one year proven reoffending rate amongst Category 2 violent and other sexual offenders decreased from 26% in 2000 (pre-implementation of MAPPA) to 23% in 2004. It has remained relatively stable since fluctuating between 22% and 24% from 2004 to 2010.’ This is a positive attribute of the MAPPA system as well this source's main finding states ‘Between 2000 and 2010, the one-year serious reoffending rate of the highest risk of reoffending group decreased by 45% (13 percentage points), with the reoffending rate falling from 29% to 16%.’ (Bryant, Peck and Ministry Of Justice, 2015)</w:t>
      </w:r>
    </w:p>
    <w:p w14:paraId="674F4131" w14:textId="77777777" w:rsidR="00C901AE" w:rsidRDefault="00C901AE" w:rsidP="00C901AE">
      <w:r>
        <w:t>As well as (Her Majesty's Inspectorate of Probation, 2021) have conducted similar research and their key findings are that there has been a success with factors such as information sharing, access to services, and quick response times regarding creating a risk and mitigating risk factor for an offender. As well as effective communication.</w:t>
      </w:r>
    </w:p>
    <w:p w14:paraId="6684D0A9" w14:textId="77777777" w:rsidR="00C901AE" w:rsidRDefault="00C901AE" w:rsidP="00C901AE">
      <w:r>
        <w:t xml:space="preserve">(Her Majesty's Inspectorate of Probation, 2021) explains that the introduction of MAPPA in the 2000s has had a significant positive impact associated with the fall of reoffending. </w:t>
      </w:r>
    </w:p>
    <w:p w14:paraId="1045E33A" w14:textId="2030845A" w:rsidR="00C901AE" w:rsidRDefault="00C901AE" w:rsidP="00C901AE">
      <w:r>
        <w:t xml:space="preserve">One of the most significant pieces of evidence reveals by (Her Majesty's Inspectorate of Probation, 2021) through statistics as 98.2% of offenders under MAPPA were registered sex offenders in </w:t>
      </w:r>
      <w:r w:rsidR="000A64CF">
        <w:t>March</w:t>
      </w:r>
      <w:r>
        <w:t xml:space="preserve"> 2019, they were subjects to level one management and only 0.16% of the registered sex offenders were reconvicted in 2018/2019. </w:t>
      </w:r>
    </w:p>
    <w:p w14:paraId="44478CF4" w14:textId="715D3FC6" w:rsidR="00C901AE" w:rsidRPr="00C901AE" w:rsidRDefault="00C901AE" w:rsidP="00C901AE">
      <w:pPr>
        <w:spacing w:after="0" w:line="276" w:lineRule="auto"/>
        <w:ind w:right="531"/>
      </w:pPr>
      <w:r>
        <w:t xml:space="preserve">To summarise MAPPA is a tool that allows RAs to manage serious offenders that are underlined by Articles 2 and 3 of the European Convention on Human Rights. That has several categories that offenders </w:t>
      </w:r>
      <w:r w:rsidR="000A64CF">
        <w:t>must</w:t>
      </w:r>
      <w:r>
        <w:t xml:space="preserve"> fall into to be eligible to be a part of MAPPA. As well as levels of management depending on the seriousness of the offence. </w:t>
      </w:r>
      <w:r w:rsidR="000A64CF">
        <w:t>Considering</w:t>
      </w:r>
      <w:r>
        <w:t xml:space="preserve"> the presented arguments, findings, and statistics on the reoffending of serious offenders since 2000, a fraction of the percentage of the offenders of on level one management have reoffended in 2018 as well as other facts contributed to MAPPA has had an overall positive effect on the reoffending in serious crime.</w:t>
      </w:r>
    </w:p>
    <w:p w14:paraId="26EF291E" w14:textId="5C5F7C1E" w:rsidR="00C901AE" w:rsidRDefault="00C901AE" w:rsidP="00C901AE"/>
    <w:p w14:paraId="56298541" w14:textId="3099DC44" w:rsidR="00C901AE" w:rsidRDefault="00C901AE" w:rsidP="00C901AE">
      <w:pPr>
        <w:rPr>
          <w:i/>
          <w:iCs/>
        </w:rPr>
      </w:pPr>
      <w:r w:rsidRPr="00C901AE">
        <w:rPr>
          <w:b/>
          <w:bCs/>
          <w:i/>
          <w:iCs/>
        </w:rPr>
        <w:t xml:space="preserve">Word count: </w:t>
      </w:r>
      <w:r w:rsidRPr="00C901AE">
        <w:rPr>
          <w:i/>
          <w:iCs/>
        </w:rPr>
        <w:t>10</w:t>
      </w:r>
      <w:r w:rsidR="00492586">
        <w:rPr>
          <w:i/>
          <w:iCs/>
        </w:rPr>
        <w:t>7</w:t>
      </w:r>
      <w:r w:rsidR="000A64CF">
        <w:rPr>
          <w:i/>
          <w:iCs/>
        </w:rPr>
        <w:t>0</w:t>
      </w:r>
    </w:p>
    <w:p w14:paraId="11437C01" w14:textId="64F8E876" w:rsidR="00C901AE" w:rsidRDefault="00C901AE" w:rsidP="00C901AE">
      <w:pPr>
        <w:rPr>
          <w:i/>
          <w:iCs/>
        </w:rPr>
      </w:pPr>
    </w:p>
    <w:p w14:paraId="3BFAD640" w14:textId="20FA37DC" w:rsidR="00C901AE" w:rsidRDefault="00C901AE" w:rsidP="00C901AE">
      <w:pPr>
        <w:rPr>
          <w:i/>
          <w:iCs/>
        </w:rPr>
      </w:pPr>
    </w:p>
    <w:p w14:paraId="4BA82B4C" w14:textId="77777777" w:rsidR="00C901AE" w:rsidRPr="006C3C20"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14:paraId="0D91D03D" w14:textId="77777777" w:rsidR="00C901AE" w:rsidRPr="008808D6"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Why is it necessary for independent bodies (i.e. IOPC) to hold police officers accountable?</w:t>
      </w:r>
    </w:p>
    <w:p w14:paraId="2DEE6E88" w14:textId="77777777" w:rsidR="00C901AE" w:rsidRPr="00E25D8A" w:rsidRDefault="00C901AE" w:rsidP="00C901A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5373A586" w14:textId="0BE6D36A" w:rsidR="00C901AE" w:rsidRDefault="00C901AE" w:rsidP="00C901AE">
      <w:pPr>
        <w:spacing w:after="0" w:line="276" w:lineRule="auto"/>
        <w:ind w:right="531"/>
        <w:rPr>
          <w:rFonts w:ascii="Arial" w:eastAsia="Times New Roman" w:hAnsi="Arial" w:cs="Arial"/>
          <w:b/>
          <w:bCs/>
          <w:lang w:eastAsia="en-GB"/>
        </w:rPr>
      </w:pPr>
    </w:p>
    <w:p w14:paraId="314930FF" w14:textId="63594891" w:rsidR="00C901AE" w:rsidRPr="00C901AE" w:rsidRDefault="00C901AE" w:rsidP="00C901AE">
      <w:pPr>
        <w:spacing w:after="0" w:line="276" w:lineRule="auto"/>
        <w:ind w:right="531"/>
        <w:rPr>
          <w:rFonts w:ascii="Arial" w:eastAsia="Times New Roman" w:hAnsi="Arial" w:cs="Arial"/>
          <w:b/>
          <w:bCs/>
          <w:u w:val="single"/>
          <w:lang w:eastAsia="en-GB"/>
        </w:rPr>
      </w:pPr>
      <w:r w:rsidRPr="00C901AE">
        <w:rPr>
          <w:rFonts w:ascii="Arial" w:eastAsia="Times New Roman" w:hAnsi="Arial" w:cs="Arial"/>
          <w:b/>
          <w:bCs/>
          <w:u w:val="single"/>
          <w:lang w:eastAsia="en-GB"/>
        </w:rPr>
        <w:t xml:space="preserve">Answer: </w:t>
      </w:r>
    </w:p>
    <w:p w14:paraId="7341CF8B" w14:textId="3EC404C7" w:rsidR="00C901AE" w:rsidRDefault="00C901AE" w:rsidP="00C901AE">
      <w:pPr>
        <w:spacing w:after="0" w:line="276" w:lineRule="auto"/>
        <w:ind w:right="531"/>
        <w:rPr>
          <w:rFonts w:ascii="Arial" w:eastAsia="Times New Roman" w:hAnsi="Arial" w:cs="Arial"/>
          <w:b/>
          <w:bCs/>
          <w:lang w:eastAsia="en-GB"/>
        </w:rPr>
      </w:pPr>
    </w:p>
    <w:p w14:paraId="7B887771" w14:textId="418AE3E8" w:rsidR="00C901AE" w:rsidRDefault="00C901AE" w:rsidP="00C901AE">
      <w:r>
        <w:t xml:space="preserve">This essay will explore the overall necessity for independent bodies to hold police officers and the force accountable for their actions and decisions. According to (Bryant and Bryant, 2021, p.82) </w:t>
      </w:r>
      <w:r w:rsidR="000A64CF">
        <w:t>multiple</w:t>
      </w:r>
      <w:r>
        <w:t xml:space="preserve"> organisations hold the police force accountable; these are the Independent Office for Police Conduct (IPOC), National Policing Improvement Agency (NPIA), and Serious Organised Crime Agency (SOCA). This website (IOPC, 2020) outlines that these organisations are independent bodies of the police force. </w:t>
      </w:r>
    </w:p>
    <w:p w14:paraId="33EA6842" w14:textId="46187EE2" w:rsidR="00C901AE" w:rsidRDefault="00C901AE" w:rsidP="00C901AE">
      <w:r>
        <w:t>(IOPC, 2020) This source makes it clear that IPOC is a department in place to oversee the police complaints system. They are a system for the public to support their complaint and supervise</w:t>
      </w:r>
      <w:r w:rsidR="000A64CF">
        <w:t xml:space="preserve"> that</w:t>
      </w:r>
      <w:r>
        <w:t xml:space="preserve"> </w:t>
      </w:r>
      <w:r w:rsidR="000A64CF">
        <w:t>the police</w:t>
      </w:r>
      <w:r>
        <w:t xml:space="preserve"> are conducting the investigation professionally. (IOPC, 2020) explains that they have a clear and transparent process to help the public with their complaints, they will communicate any finding in each case with the public and be transparent between the police and the public. The IPOC website (IOPC, 2020) also has a step-by-step guide on how to complain to the police force if a member of the public is not satisfied with the service provided by the police. IPOC also collects data from police complaints throughout forces in England and Wales to create data to be transparent with the public regarding police actions and decisions. </w:t>
      </w:r>
    </w:p>
    <w:p w14:paraId="42AE7CAD" w14:textId="08ACF2D9" w:rsidR="00C901AE" w:rsidRDefault="00C901AE" w:rsidP="00C901AE">
      <w:r>
        <w:t xml:space="preserve">As the IPOC deals with appeals for police investigation outcomes it sets the ruling top how the police force acts and they keep the police forces in England and Wales accountable for their actions such as police corruption. (Bryant and Bryant, 2021, p.82) explains that police corruption is when ethical decision-making is not </w:t>
      </w:r>
      <w:r w:rsidR="00492586">
        <w:t>considered,</w:t>
      </w:r>
      <w:r>
        <w:t xml:space="preserve"> and corruption culture comes to light and research shows this can affect any part of the police force. Being held accountable by outside agencies has a positive effect on fighting corruption in the police force. For example, In 2016 BBC discovered that 436 reports from the public have been reported regarding police officers abusing their authority and offering sexual favours for at least 2 years (BBC, 2016). The IOPC </w:t>
      </w:r>
      <w:r w:rsidR="000A64CF">
        <w:t>had</w:t>
      </w:r>
      <w:r>
        <w:t xml:space="preserve"> a role in this investigation and agree on the punishment. A police force must report any serious incident that may have the above effects to the IOPC to show their transparent to the organisational and to the police force</w:t>
      </w:r>
    </w:p>
    <w:p w14:paraId="3AF1C460" w14:textId="400762D1" w:rsidR="00C901AE" w:rsidRDefault="00C901AE" w:rsidP="00C901AE">
      <w:r>
        <w:t>(Bryant and Bryant, 2021, p.85</w:t>
      </w:r>
      <w:r w:rsidR="000A64CF">
        <w:t>) An</w:t>
      </w:r>
      <w:r>
        <w:t xml:space="preserve"> independent IPOC investigation would be used for very serious incidents that cause a huge level of public concern and may have an impact on the communities, or will have implications on the police force's reputation, an example of an incident such as a death in custody. </w:t>
      </w:r>
    </w:p>
    <w:p w14:paraId="6807744F" w14:textId="18579178" w:rsidR="00C901AE" w:rsidRDefault="00C901AE" w:rsidP="00C901AE">
      <w:r>
        <w:t xml:space="preserve">According to (GOV.UK, 2010) NPIA was created as a non-departmental public body to help and support the police with information sharing, recruitment, and information technology. The NPIA oversaw the creation of the Code of Practice for the operation and </w:t>
      </w:r>
      <w:r w:rsidR="000A64CF">
        <w:t>u</w:t>
      </w:r>
      <w:r>
        <w:t>se of the Police National Database (PND) as explained</w:t>
      </w:r>
      <w:r w:rsidR="000A64CF">
        <w:t xml:space="preserve"> in </w:t>
      </w:r>
      <w:r>
        <w:t xml:space="preserve">(Code of Practice On the Operation and Use of the Police National Database, n.d.). The PND stores the information on members of the public regarding their police records, vehicle information, sensitive information, etc. The PND was created to improve the ability of the police force with information and intelligence sharing, detect crime, and local information electronically, and overcome geographical information sharing with </w:t>
      </w:r>
      <w:r w:rsidR="003E4DD8">
        <w:t>neighbouring</w:t>
      </w:r>
      <w:r>
        <w:t xml:space="preserve"> police forces. </w:t>
      </w:r>
    </w:p>
    <w:p w14:paraId="0105E7F3" w14:textId="3896AE7F" w:rsidR="00C901AE" w:rsidRDefault="00C901AE" w:rsidP="00C901AE">
      <w:r>
        <w:t>(Bryant and Bryant, 2021, p.552)</w:t>
      </w:r>
      <w:r w:rsidR="00697765">
        <w:t xml:space="preserve"> </w:t>
      </w:r>
      <w:r>
        <w:t xml:space="preserve">explains that intelligence should be processed, managed, and analysed so it can be used legally and effectively used by agencies and police. Therefore, having the code of practice for the PND is critical for the police because if they didn’t follow the code of </w:t>
      </w:r>
      <w:r w:rsidR="00DB379B">
        <w:t>practice,</w:t>
      </w:r>
      <w:r>
        <w:t xml:space="preserve"> it could mean sensitive information and intelligence being available to the public or police officers acting or accessing information for their gain. (Bryant and Bryant, 2021, p.552) explains that it is necessary to be held accountable by a code of practice when it comes to sensitive information regarding the public. </w:t>
      </w:r>
    </w:p>
    <w:p w14:paraId="5AA0024F" w14:textId="77777777" w:rsidR="00C901AE" w:rsidRDefault="00C901AE" w:rsidP="00DB379B">
      <w:r>
        <w:t xml:space="preserve">The authors of Blackstone’s, Handbook for policing students are described as established professional lecturers and researchers with extensive policing experience with force in England and Wales. They did not make any assumptions within the research and I as the author of this essay agree with the statements made. </w:t>
      </w:r>
    </w:p>
    <w:p w14:paraId="10B33E66" w14:textId="07B100E7" w:rsidR="00C901AE" w:rsidRDefault="00C901AE" w:rsidP="00C901AE">
      <w:r>
        <w:t>(GOV.UK, n.d.) explains that SOCA was an agency that assisted to cut the number of serious crimes committed by offenders. This article shows (GOV.UK, n.d.)</w:t>
      </w:r>
      <w:r w:rsidR="00DB379B">
        <w:t xml:space="preserve"> </w:t>
      </w:r>
      <w:r>
        <w:t xml:space="preserve">SOCA was put together as an organisation to assist with crimes such as drug trafficking, immigration crime, and associated financial crime. It was an agency that was intelligence lead with powers of law enforcement. SOCA would identify individuals through effective intelligence and information skill. On 7th October 2013, SOCA was discontinued, and their duties were passed onto the National Crime Agency. </w:t>
      </w:r>
    </w:p>
    <w:p w14:paraId="4B4C0A25" w14:textId="6B03ED4B" w:rsidR="00C901AE" w:rsidRDefault="00C901AE" w:rsidP="00C901AE">
      <w:r>
        <w:t xml:space="preserve">The police being held accountable by outside agencies also attempts to allow the public to trust the police and their actions. This is critical for the police to have the public trust as it can encourage the public to principate in running local services and working with the police, and it helps build a positive relationship with the police. One of the outcomes set out by the public according to (Research Gate, 2019) was to make public bodies such as the police force accountable and responsive to outside agencies. </w:t>
      </w:r>
    </w:p>
    <w:p w14:paraId="5B05E31E" w14:textId="1B4B5A27" w:rsidR="00C901AE" w:rsidRDefault="003E4DD8" w:rsidP="00C901AE">
      <w:r>
        <w:t xml:space="preserve">In Conclusion, </w:t>
      </w:r>
      <w:r w:rsidR="00C901AE">
        <w:t>the police must be  accountable to avoid corrupt culture in the police force, and of outside agencies to assist with investigations. They also help outline a code of practise for sharing intelligence and information to protect the public interests. They also prove the transparency of the police to the public which creates a bridge of trust between the public and the police.</w:t>
      </w:r>
    </w:p>
    <w:p w14:paraId="30243B2F" w14:textId="78FF5303" w:rsidR="00C901AE" w:rsidRDefault="00C901AE" w:rsidP="00C901AE"/>
    <w:p w14:paraId="76208B3B" w14:textId="67845016" w:rsidR="00C901AE" w:rsidRDefault="00C901AE" w:rsidP="00C901AE">
      <w:pPr>
        <w:rPr>
          <w:i/>
          <w:iCs/>
        </w:rPr>
      </w:pPr>
      <w:r w:rsidRPr="00C901AE">
        <w:rPr>
          <w:b/>
          <w:bCs/>
          <w:i/>
          <w:iCs/>
        </w:rPr>
        <w:t>Word count</w:t>
      </w:r>
      <w:r w:rsidRPr="00C901AE">
        <w:rPr>
          <w:i/>
          <w:iCs/>
        </w:rPr>
        <w:t>: 92</w:t>
      </w:r>
      <w:r w:rsidR="00DB379B">
        <w:rPr>
          <w:i/>
          <w:iCs/>
        </w:rPr>
        <w:t>8</w:t>
      </w:r>
    </w:p>
    <w:p w14:paraId="4ED60F9E" w14:textId="156DD252" w:rsidR="00697765" w:rsidRPr="00697765" w:rsidRDefault="00C901AE" w:rsidP="00C901AE">
      <w:pPr>
        <w:rPr>
          <w:b/>
          <w:bCs/>
          <w:u w:val="single"/>
        </w:rPr>
      </w:pPr>
      <w:r w:rsidRPr="00C901AE">
        <w:rPr>
          <w:b/>
          <w:bCs/>
          <w:u w:val="single"/>
        </w:rPr>
        <w:t>Bibliography</w:t>
      </w:r>
    </w:p>
    <w:p w14:paraId="2CF80E57" w14:textId="77777777" w:rsidR="00697765" w:rsidRDefault="00697765" w:rsidP="00C901AE">
      <w:r>
        <w:t xml:space="preserve">Amnesty.org.uk. (n.d.). </w:t>
      </w:r>
      <w:r>
        <w:rPr>
          <w:i/>
          <w:iCs/>
        </w:rPr>
        <w:t>What is the European Convention on Human Rights?</w:t>
      </w:r>
      <w:r>
        <w:t xml:space="preserve"> [online] Available at: https://www.amnesty.org.uk/what-is-the-european-convention-on-human-rights?utm_source=google&amp;utm_medium=grant&amp;utm_campaign=AWA_GEN_human-rights&amp;utm_content=european%20convention%20on%20human%20rights&amp;gclid=EAIaIQobChMIuarwqbHs-wIVlex3Ch1BWADOEAAYASAAEgLtCPD_BwE. (Accessed: 10/12/2022).</w:t>
      </w:r>
    </w:p>
    <w:p w14:paraId="434AFCE4" w14:textId="77777777" w:rsidR="00697765" w:rsidRDefault="00697765" w:rsidP="00C901AE">
      <w:r>
        <w:t xml:space="preserve">Anon, (n.d.). </w:t>
      </w:r>
      <w:r>
        <w:rPr>
          <w:i/>
          <w:iCs/>
        </w:rPr>
        <w:t>The effects of increased transparency, participation and accountability in stop and search – UK Open Government Network</w:t>
      </w:r>
      <w:r>
        <w:t>. [online] Available at: https://www.opengovernment.org.uk/2019/02/19/the-effects-of-increased-transparency-participation-and-accountability-in-stop-and-search/.(Accessed: 10/12/2022).</w:t>
      </w:r>
    </w:p>
    <w:p w14:paraId="2ED49623" w14:textId="77777777" w:rsidR="00697765" w:rsidRDefault="00697765" w:rsidP="00C901AE">
      <w:r>
        <w:t xml:space="preserve">Arborplaceinc.org. (n.d.). </w:t>
      </w:r>
      <w:r>
        <w:rPr>
          <w:i/>
          <w:iCs/>
        </w:rPr>
        <w:t>Teen Brain Development: Why Teens Do What They Do – Arbor Place Inc.</w:t>
      </w:r>
      <w:r>
        <w:t xml:space="preserve"> [online] Available at: https://arborplaceinc.org/2019/08/08/teen-brain-development-why-teens-do-what-they-do/.(Accessed: 10/12/2022).</w:t>
      </w:r>
    </w:p>
    <w:p w14:paraId="2C90985B" w14:textId="3B7575D5" w:rsidR="00697765" w:rsidRPr="00697765" w:rsidRDefault="00697765" w:rsidP="00C901AE">
      <w:pPr>
        <w:rPr>
          <w:color w:val="000000" w:themeColor="text1"/>
        </w:rPr>
      </w:pPr>
      <w:r w:rsidRPr="00697765">
        <w:rPr>
          <w:color w:val="000000" w:themeColor="text1"/>
        </w:rPr>
        <w:t xml:space="preserve">Baker, K. and Sutherland, A. (2009). ‘Multi-agency public protection arrangements and youth justice’. Bristol, Uk ; Portland, Or: Policy Press. </w:t>
      </w:r>
    </w:p>
    <w:p w14:paraId="42319427" w14:textId="77777777" w:rsidR="00697765" w:rsidRDefault="00697765" w:rsidP="00C901AE">
      <w:r>
        <w:t xml:space="preserve">Basu, N. (2022). </w:t>
      </w:r>
      <w:r>
        <w:rPr>
          <w:i/>
          <w:iCs/>
        </w:rPr>
        <w:t>British policing is institutionally racist. Until we admit it we’ll never win back trust | Neil Basu</w:t>
      </w:r>
      <w:r>
        <w:t>. [online] the Guardian. Available at: https://www.theguardian.com/commentisfree/2022/may/25/race-action-plan-police-accept-institutionally-racist. (Accessed: 10/12/2022).</w:t>
      </w:r>
    </w:p>
    <w:p w14:paraId="030D85BF" w14:textId="1DF75E3B" w:rsidR="00697765" w:rsidRPr="00697765" w:rsidRDefault="00697765" w:rsidP="00C901AE">
      <w:pPr>
        <w:rPr>
          <w:color w:val="000000" w:themeColor="text1"/>
        </w:rPr>
      </w:pPr>
      <w:r w:rsidRPr="00697765">
        <w:rPr>
          <w:color w:val="000000" w:themeColor="text1"/>
        </w:rPr>
        <w:t>Betti, G. and Achille Lemmi (2021). Analysis of Socio-Economic Conditions. Routledge</w:t>
      </w:r>
    </w:p>
    <w:p w14:paraId="38D0A13E" w14:textId="77777777" w:rsidR="00697765" w:rsidRDefault="00697765" w:rsidP="00C901AE">
      <w:r>
        <w:t xml:space="preserve">Black History Month 2022. (n.d.). </w:t>
      </w:r>
      <w:r>
        <w:rPr>
          <w:i/>
          <w:iCs/>
        </w:rPr>
        <w:t>Greater Manchester Police - Positive Action and Recruitment.</w:t>
      </w:r>
      <w:r>
        <w:t xml:space="preserve"> [online] Available at: https://www.blackhistorymonth.org.uk/article/profile/section/cjs/greater-manchester-police/.(Accessed: 10/12/2022).</w:t>
      </w:r>
    </w:p>
    <w:p w14:paraId="36C68B7D" w14:textId="77777777" w:rsidR="00697765" w:rsidRDefault="00697765" w:rsidP="00C901AE">
      <w:r>
        <w:t>Bryant, R. and Bryant, S. (2021). Blackstone’s Handbook For Policing Students 2021. S.L.: Oxford Univ Press, p.180.</w:t>
      </w:r>
    </w:p>
    <w:p w14:paraId="79E1FB38" w14:textId="77777777" w:rsidR="00697765" w:rsidRDefault="00697765" w:rsidP="00C901AE">
      <w:r>
        <w:t>Bryant, R. and Bryant, S. (2021). Blackstone’s Handbook For Policing Students 2021. S.L.: Oxford Univ Press, p.73.</w:t>
      </w:r>
    </w:p>
    <w:p w14:paraId="6D6F981D" w14:textId="77777777" w:rsidR="00697765" w:rsidRDefault="00697765" w:rsidP="00C901AE">
      <w:r>
        <w:t>Bryant, R. and Bryant, S. (2021). Blackstone’s Handbook For Policing Students 2021. S.L.: Oxford Univ Press, p.82.</w:t>
      </w:r>
    </w:p>
    <w:p w14:paraId="6D2B8BA4" w14:textId="77777777" w:rsidR="00697765" w:rsidRDefault="00697765" w:rsidP="00C901AE">
      <w:r>
        <w:t>Bryant, R. and Bryant, S. (2021). Blackstone’s Handbook For Policing Students 2021. S.L.: Oxford Univ Press, p.85.</w:t>
      </w:r>
    </w:p>
    <w:p w14:paraId="3A98FD34" w14:textId="77777777" w:rsidR="00697765" w:rsidRDefault="00697765" w:rsidP="00C901AE">
      <w:r>
        <w:t>Bryant, R. and Bryant, S. (2021). Blackstone’s Handbook For Policing Students 2021. S.L.: Oxford Univ Press, p.552.</w:t>
      </w:r>
    </w:p>
    <w:p w14:paraId="1A3679A7" w14:textId="77777777" w:rsidR="00697765" w:rsidRDefault="00697765" w:rsidP="00C901AE">
      <w:r>
        <w:t>Bryant, S., Peck, M. and Ministry Of Justice, J. (2015</w:t>
      </w:r>
      <w:r>
        <w:rPr>
          <w:i/>
          <w:iCs/>
        </w:rPr>
        <w:t>). Reoffending Analysis of MAPPA Eligible Offenders</w:t>
      </w:r>
      <w:r>
        <w:t>. [online] Available at: https://assets.publishing.service.gov.uk/government/uploads/system/uploads/attachment_data/file/407139/reoffending-analysis-of-mappa-eligible-offenders.pdf. (Accessed: 10/12/2022).</w:t>
      </w:r>
    </w:p>
    <w:p w14:paraId="36E5B344" w14:textId="77777777" w:rsidR="00697765" w:rsidRDefault="00697765" w:rsidP="00C901AE">
      <w:r>
        <w:t xml:space="preserve">College of Policing (2014). </w:t>
      </w:r>
      <w:r>
        <w:rPr>
          <w:i/>
          <w:iCs/>
        </w:rPr>
        <w:t>Code of Ethics</w:t>
      </w:r>
      <w:r>
        <w:t>. [online] College of Policing. Available at: https://www.college.police.uk/ethics/code-of-ethics. (Accessed: 10/12/2022).</w:t>
      </w:r>
    </w:p>
    <w:p w14:paraId="251B0901" w14:textId="77777777" w:rsidR="00697765" w:rsidRDefault="00697765" w:rsidP="00C901AE">
      <w:r>
        <w:t xml:space="preserve">College of Policing (2017). </w:t>
      </w:r>
      <w:r>
        <w:rPr>
          <w:i/>
          <w:iCs/>
        </w:rPr>
        <w:t>Multi-agency public protection arrangements (MAPPA).</w:t>
      </w:r>
      <w:r>
        <w:t xml:space="preserve"> [online] College of Policing. Available at: https://www.college.police.uk/app/major-investigation-and-public-protection/managing-sexual-offenders-and-violent-offenders/multi-agency-public-protection-arrangements-mappa. (Accessed: 10/12/2022).</w:t>
      </w:r>
    </w:p>
    <w:p w14:paraId="193521EA" w14:textId="77777777" w:rsidR="00697765" w:rsidRDefault="00697765" w:rsidP="00C901AE">
      <w:r>
        <w:t xml:space="preserve">College of Policing (2017). </w:t>
      </w:r>
      <w:r>
        <w:rPr>
          <w:i/>
          <w:iCs/>
        </w:rPr>
        <w:t>Multi-agency public protection arrangements (MAPPA).</w:t>
      </w:r>
      <w:r>
        <w:t xml:space="preserve"> [online] College of Policing. Available at: https://www.college.police.uk/app/major-investigation-and-public-protection/managing-sexual-offenders-and-violent-offenders/multi-agency-public-protection-arrangements-mappa. (Accessed: 10/12/2022).</w:t>
      </w:r>
    </w:p>
    <w:p w14:paraId="2662CA7A" w14:textId="77777777" w:rsidR="00697765" w:rsidRDefault="00697765" w:rsidP="00C901AE">
      <w:r>
        <w:t xml:space="preserve">College of Policing (2017). </w:t>
      </w:r>
      <w:r>
        <w:rPr>
          <w:i/>
          <w:iCs/>
        </w:rPr>
        <w:t>Multi-agency public protection arrangements (MAPPA).</w:t>
      </w:r>
      <w:r>
        <w:t xml:space="preserve"> [online] College of Policing. Available at: https://www.college.police.uk/app/major-investigation-and-public-protection/managing-sexual-offenders-and-violent-offenders/multi-agency-public-protection-arrangements-mappa. (Accessed: 10/12/2022).</w:t>
      </w:r>
    </w:p>
    <w:p w14:paraId="36FE7433" w14:textId="77777777" w:rsidR="00697765" w:rsidRDefault="00697765" w:rsidP="00C901AE">
      <w:r>
        <w:t xml:space="preserve">Cornwallpolice.ca. (n.d.). </w:t>
      </w:r>
      <w:r>
        <w:rPr>
          <w:i/>
          <w:iCs/>
        </w:rPr>
        <w:t>Vulnerable Person FAQ.</w:t>
      </w:r>
      <w:r>
        <w:t xml:space="preserve"> [online] Available at: https://cornwallpolice.ca/en/our-programs/vulnerable-person-faq.html. (Accessed: 10/12/2022).</w:t>
      </w:r>
    </w:p>
    <w:p w14:paraId="5ABCA61D" w14:textId="77777777" w:rsidR="00697765" w:rsidRDefault="00697765" w:rsidP="00C901AE">
      <w:r>
        <w:t xml:space="preserve">Council, O.C. (2022). </w:t>
      </w:r>
      <w:r>
        <w:rPr>
          <w:i/>
          <w:iCs/>
        </w:rPr>
        <w:t>Cuckooing</w:t>
      </w:r>
      <w:r>
        <w:t>. [online] www.oxford.gov.uk. Available at: https://www.oxford.gov.uk/info/20101/community_safety/1308/cuckooing. (Accessed: 10/12/2022).</w:t>
      </w:r>
    </w:p>
    <w:p w14:paraId="123D7B5B" w14:textId="77777777" w:rsidR="00697765" w:rsidRDefault="00697765" w:rsidP="00C901AE">
      <w:r>
        <w:t xml:space="preserve">Gezie, L.D., Yalew, A.W., Gete, Y.K., Azale, T., Brand, T. and Zeeb, H. (2018). ‘Socio-economic, trafficking exposures and mental health symptoms of human trafficking returnees in Ethiopia: using a generalized structural equation modelling.’ </w:t>
      </w:r>
      <w:r>
        <w:rPr>
          <w:i/>
          <w:iCs/>
        </w:rPr>
        <w:t>International Journal of Mental Health Systems</w:t>
      </w:r>
      <w:r>
        <w:t>, [online]  (12(1). DOI:10.1186/s13033-018-0241-z. .(Accessed: 10/12/2022).</w:t>
      </w:r>
    </w:p>
    <w:p w14:paraId="5BB21D36" w14:textId="77777777" w:rsidR="00697765" w:rsidRDefault="00697765" w:rsidP="00C901AE">
      <w:r>
        <w:t xml:space="preserve">Gov.uk (2003). </w:t>
      </w:r>
      <w:r>
        <w:rPr>
          <w:i/>
          <w:iCs/>
        </w:rPr>
        <w:t>Sexual Offences Act 2003.</w:t>
      </w:r>
      <w:r>
        <w:t xml:space="preserve"> [online] Legislation.gov.uk. Available at: https://www.legislation.gov.uk/ukpga/2003/42/contents. (Accessed: 10/12/2022).</w:t>
      </w:r>
    </w:p>
    <w:p w14:paraId="5B178193" w14:textId="77777777" w:rsidR="00697765" w:rsidRDefault="00697765" w:rsidP="00C901AE">
      <w:r>
        <w:t>Gov.uk (2012). Criminal Justice Act 2003. [online] Legislation.gov.uk. Available at: https://www.legislation.gov.uk/ukpga/2003/44/contents. (Accessed: 10/12/2022).</w:t>
      </w:r>
    </w:p>
    <w:p w14:paraId="2FD2BFE4" w14:textId="77777777" w:rsidR="00697765" w:rsidRDefault="00697765" w:rsidP="00C901AE">
      <w:r>
        <w:t xml:space="preserve">GOV.UK (2022). </w:t>
      </w:r>
      <w:r>
        <w:rPr>
          <w:i/>
          <w:iCs/>
        </w:rPr>
        <w:t>Vulnerabilities: applying All Our Health</w:t>
      </w:r>
      <w:r>
        <w:t>. [online] GOV.UK. Available at: https://www.gov.uk/government/publications/vulnerabilities-applying-all-our-health/vulnerabilities-applying-all-our-health. (Accessed: 10/12/2022).</w:t>
      </w:r>
    </w:p>
    <w:p w14:paraId="43185F5A" w14:textId="77777777" w:rsidR="00697765" w:rsidRDefault="00697765" w:rsidP="00C901AE">
      <w:r>
        <w:t xml:space="preserve">GOV.UK. (2010). </w:t>
      </w:r>
      <w:r>
        <w:rPr>
          <w:i/>
          <w:iCs/>
        </w:rPr>
        <w:t>National Policing Improvement Agency.</w:t>
      </w:r>
      <w:r>
        <w:t xml:space="preserve"> [online] Available at: https://www.gov.uk/government/organisations/national-policing-improvement-agency. (Accessed: 10/12/2022).</w:t>
      </w:r>
    </w:p>
    <w:p w14:paraId="190ECB27" w14:textId="77777777" w:rsidR="00697765" w:rsidRDefault="00697765" w:rsidP="00C901AE">
      <w:r>
        <w:t xml:space="preserve">GOV.UK. (n.d.). </w:t>
      </w:r>
      <w:r>
        <w:rPr>
          <w:i/>
          <w:iCs/>
        </w:rPr>
        <w:t>Code of practice on the operation and use of the Police National Database</w:t>
      </w:r>
      <w:r>
        <w:t>. [online] Available at: https://www.gov.uk/government/publications/code-of-practice-on-the-operation-and-use-of-the-police-national-database. (Accessed: 10/12/2022).</w:t>
      </w:r>
    </w:p>
    <w:p w14:paraId="67944745" w14:textId="77777777" w:rsidR="00697765" w:rsidRDefault="00697765" w:rsidP="00C901AE">
      <w:r>
        <w:t xml:space="preserve">GOV.UK. (n.d.). </w:t>
      </w:r>
      <w:r>
        <w:rPr>
          <w:i/>
          <w:iCs/>
        </w:rPr>
        <w:t>Serious Organised Crime Agency</w:t>
      </w:r>
      <w:r>
        <w:t>. [online] Available at: https://www.gov.uk/government/organisations/serious-organised-crime-agency. (Accessed: 10/12/2022).</w:t>
      </w:r>
    </w:p>
    <w:p w14:paraId="3E7F136F" w14:textId="77777777" w:rsidR="00697765" w:rsidRPr="00697765" w:rsidRDefault="00697765" w:rsidP="00C901AE">
      <w:pPr>
        <w:rPr>
          <w:color w:val="000000" w:themeColor="text1"/>
        </w:rPr>
      </w:pPr>
      <w:r w:rsidRPr="00697765">
        <w:rPr>
          <w:color w:val="000000" w:themeColor="text1"/>
        </w:rPr>
        <w:t>Great Britain. Home Office (2003). Police and Criminal Evidence Act 1984 (s.60(1)(a)and s.66) : codes of practice. London: Stationery Office. P.28</w:t>
      </w:r>
    </w:p>
    <w:p w14:paraId="2C195C59" w14:textId="77777777" w:rsidR="00697765" w:rsidRDefault="00697765" w:rsidP="00C901AE">
      <w:r>
        <w:t xml:space="preserve">Her Majesty's Inspectorate of Probation (2021). </w:t>
      </w:r>
      <w:r>
        <w:rPr>
          <w:i/>
          <w:iCs/>
        </w:rPr>
        <w:t xml:space="preserve">Multi-agency public protection arrangements. </w:t>
      </w:r>
      <w:r>
        <w:t>[online] www.justiceinspectorates.gov.uk. Available at: https://www.justiceinspectorates.gov.uk/hmiprobation/research/the-evidence-base-probation/specific-types-of-delivery/mappa/.(Accessed: 10/12/2022).</w:t>
      </w:r>
    </w:p>
    <w:p w14:paraId="63F87FB2" w14:textId="77777777" w:rsidR="00697765" w:rsidRDefault="00697765" w:rsidP="00C901AE">
      <w:r>
        <w:t xml:space="preserve">Holroyd, J. (2019). </w:t>
      </w:r>
      <w:r>
        <w:rPr>
          <w:i/>
          <w:iCs/>
        </w:rPr>
        <w:t>Implicit racial bias and the anatomy of institutional racism | Centre for Crime and Justice Studies</w:t>
      </w:r>
      <w:r>
        <w:t xml:space="preserve">. [online] Crimeandjustice.org.uk. Available at: </w:t>
      </w:r>
      <w:hyperlink r:id="rId7" w:history="1">
        <w:r>
          <w:rPr>
            <w:rStyle w:val="Hyperlink"/>
          </w:rPr>
          <w:t>https://www.crimeandjustice.org.uk/publications/cjm/article/implicit-racial-bias-and-anatomy-institutional-racism</w:t>
        </w:r>
      </w:hyperlink>
      <w:r>
        <w:t>. (Accessed:10/12/2022)</w:t>
      </w:r>
    </w:p>
    <w:p w14:paraId="4F47C6CD" w14:textId="77777777" w:rsidR="00697765" w:rsidRDefault="00697765" w:rsidP="00C901AE">
      <w:r>
        <w:t xml:space="preserve">Home Office (2013). </w:t>
      </w:r>
      <w:r>
        <w:rPr>
          <w:i/>
          <w:iCs/>
        </w:rPr>
        <w:t>Police and Criminal Evidence Act 1984 (PACE) codes of practice.</w:t>
      </w:r>
      <w:r>
        <w:t xml:space="preserve"> [online] GOV.UK. Available at: </w:t>
      </w:r>
      <w:hyperlink r:id="rId8" w:history="1">
        <w:r>
          <w:rPr>
            <w:rStyle w:val="Hyperlink"/>
          </w:rPr>
          <w:t>https://www.gov.uk/guidance/police-and-criminal-evidence-act-1984-pace-codes-of-practice</w:t>
        </w:r>
      </w:hyperlink>
      <w:r>
        <w:t>. (Accessed: 10/12/2022).</w:t>
      </w:r>
    </w:p>
    <w:p w14:paraId="0FA278F9" w14:textId="77777777" w:rsidR="00697765" w:rsidRDefault="00697765" w:rsidP="00C901AE">
      <w:r>
        <w:t xml:space="preserve">Home Office (2018). </w:t>
      </w:r>
      <w:r>
        <w:rPr>
          <w:i/>
          <w:iCs/>
        </w:rPr>
        <w:t>Criminal Exploitation of Children and Vulnerable adults: County Lines Guidance.</w:t>
      </w:r>
      <w:r>
        <w:t xml:space="preserve"> [online] Available at: https://assets.publishing.service.gov.uk/government/uploads/system/uploads/attachment_data/file/863323/HOCountyLinesGuidance_-_Sept2018.pdf. (Accessed: 10/12/2022).</w:t>
      </w:r>
    </w:p>
    <w:p w14:paraId="67079B68" w14:textId="77777777" w:rsidR="00697765" w:rsidRDefault="00697765" w:rsidP="00C901AE">
      <w:r>
        <w:t xml:space="preserve">IOPC (2020). </w:t>
      </w:r>
      <w:r>
        <w:rPr>
          <w:i/>
          <w:iCs/>
        </w:rPr>
        <w:t>StackPath</w:t>
      </w:r>
      <w:r>
        <w:t>. [online] Policeconduct.gov.uk. Available at: https://www.policeconduct.gov.uk/.(Accessed: 10/12/2022).</w:t>
      </w:r>
    </w:p>
    <w:p w14:paraId="29E1D267" w14:textId="11860DAA" w:rsidR="00697765" w:rsidRPr="00697765" w:rsidRDefault="00697765" w:rsidP="00C901AE">
      <w:pPr>
        <w:rPr>
          <w:color w:val="000000" w:themeColor="text1"/>
        </w:rPr>
      </w:pPr>
      <w:r w:rsidRPr="00697765">
        <w:rPr>
          <w:color w:val="000000" w:themeColor="text1"/>
        </w:rPr>
        <w:t xml:space="preserve">Jain, H.C., Horwitz, F.M. and Sloane, P.J. (2003). Employment equity and affirmative action : an international comparison. Armonk, N.Y.: M.E. Sharpe. </w:t>
      </w:r>
    </w:p>
    <w:p w14:paraId="5751894A" w14:textId="77777777" w:rsidR="00697765" w:rsidRDefault="00697765" w:rsidP="00C901AE">
      <w:r>
        <w:t xml:space="preserve">Maryfield, B. (2018). </w:t>
      </w:r>
      <w:r>
        <w:rPr>
          <w:i/>
          <w:iCs/>
        </w:rPr>
        <w:t>Implicit Racial Bias</w:t>
      </w:r>
      <w:r>
        <w:t xml:space="preserve">. [online] Available at: </w:t>
      </w:r>
      <w:hyperlink r:id="rId9" w:history="1">
        <w:r>
          <w:rPr>
            <w:rStyle w:val="Hyperlink"/>
          </w:rPr>
          <w:t>https://www.jrsa.org/pubs/factsheets/jrsa-factsheet-implicit-racial-bias.pdf</w:t>
        </w:r>
      </w:hyperlink>
      <w:r>
        <w:t>. (Accessed:10/12/2022)</w:t>
      </w:r>
    </w:p>
    <w:p w14:paraId="6E0CCDD9" w14:textId="77777777" w:rsidR="00697765" w:rsidRDefault="00697765" w:rsidP="00C901AE">
      <w:r>
        <w:t xml:space="preserve">Mental Health Act (1983). </w:t>
      </w:r>
      <w:r>
        <w:rPr>
          <w:i/>
          <w:iCs/>
        </w:rPr>
        <w:t>Mental Health Act 1983.</w:t>
      </w:r>
      <w:r>
        <w:t xml:space="preserve"> [online] Legislation.gov.uk. Available at: https://www.legislation.gov.uk/ukpga/1983/20/contents. (Accessed: 10/12/2022).</w:t>
      </w:r>
    </w:p>
    <w:p w14:paraId="7C41E23C" w14:textId="77777777" w:rsidR="00697765" w:rsidRDefault="00697765" w:rsidP="00C901AE">
      <w:r>
        <w:t xml:space="preserve">NSPCC (2016). </w:t>
      </w:r>
      <w:r>
        <w:rPr>
          <w:i/>
          <w:iCs/>
        </w:rPr>
        <w:t>Types of abuse</w:t>
      </w:r>
      <w:r>
        <w:t>. [online] NSPCC. Available at: https://www.nspcc.org.uk/what-is-child-abuse/types-of-abuse/.(Accessed: 10/12/2022).</w:t>
      </w:r>
    </w:p>
    <w:p w14:paraId="069100ED" w14:textId="77777777" w:rsidR="00697765" w:rsidRDefault="00697765" w:rsidP="00C901AE">
      <w:r>
        <w:t xml:space="preserve">Positive Action. (n.d.). </w:t>
      </w:r>
      <w:r>
        <w:rPr>
          <w:i/>
          <w:iCs/>
        </w:rPr>
        <w:t>Homepage.</w:t>
      </w:r>
      <w:r>
        <w:t xml:space="preserve"> [online] Available at: https://www.positiveactionpolice.co.uk/.(Accessed: 10/12/2022).</w:t>
      </w:r>
    </w:p>
    <w:p w14:paraId="03DD3195" w14:textId="77777777" w:rsidR="00697765" w:rsidRDefault="00697765" w:rsidP="00C901AE">
      <w:r>
        <w:t xml:space="preserve">Research Gate (2019). </w:t>
      </w:r>
      <w:r>
        <w:rPr>
          <w:i/>
          <w:iCs/>
        </w:rPr>
        <w:t>ResearchGate | share and discover research</w:t>
      </w:r>
      <w:r>
        <w:t>. [online] ResearchGate. Available at: https://www.researchgate.net/.(Accessed: 10/12/2022).</w:t>
      </w:r>
    </w:p>
    <w:p w14:paraId="57C3DE6B" w14:textId="623845D8" w:rsidR="00697765" w:rsidRDefault="00697765" w:rsidP="00C901AE">
      <w:r>
        <w:t xml:space="preserve">Taylor, D. (2006) 'Frontline Tactics', drugwise, august. Available at: </w:t>
      </w:r>
      <w:hyperlink r:id="rId10" w:history="1">
        <w:r>
          <w:rPr>
            <w:rStyle w:val="Hyperlink"/>
          </w:rPr>
          <w:t>Frontline-tactics.pdf (drugwise.org.uk)</w:t>
        </w:r>
      </w:hyperlink>
      <w:r>
        <w:t xml:space="preserve"> (Accessed: 10/12/2022).</w:t>
      </w:r>
    </w:p>
    <w:p w14:paraId="10389F0B" w14:textId="77777777" w:rsidR="00697765" w:rsidRDefault="00697765" w:rsidP="00C901AE">
      <w:bookmarkStart w:id="0" w:name="_Hlk121583793"/>
      <w:r>
        <w:t xml:space="preserve">Unknown. (2021) </w:t>
      </w:r>
      <w:bookmarkEnd w:id="0"/>
      <w:r>
        <w:rPr>
          <w:i/>
          <w:iCs/>
        </w:rPr>
        <w:t>'Brixton riots 1981: What happened 40 years ago in London?'</w:t>
      </w:r>
      <w:r>
        <w:t xml:space="preserve">, BBC News, 12 April,  Available at: </w:t>
      </w:r>
      <w:hyperlink r:id="rId11" w:anchor=":~:text=For%20three%20days%2C%20rioters%20%2D%20mostly,known%20as%20the%20Brixton%20riots." w:history="1">
        <w:r>
          <w:rPr>
            <w:rStyle w:val="Hyperlink"/>
          </w:rPr>
          <w:t>Brixton riots 1981: What happened 40 years ago in London? - CBBC Newsround</w:t>
        </w:r>
      </w:hyperlink>
      <w:r>
        <w:t xml:space="preserve"> (Accessed: 10/12/2022).</w:t>
      </w:r>
    </w:p>
    <w:p w14:paraId="66D3B49C" w14:textId="62C4C0AD" w:rsidR="00697765" w:rsidRDefault="00697765" w:rsidP="00C901AE">
      <w:pPr>
        <w:rPr>
          <w:color w:val="FF0000"/>
        </w:rPr>
      </w:pPr>
    </w:p>
    <w:p w14:paraId="31209E4A" w14:textId="77777777" w:rsidR="00697765" w:rsidRPr="00CB7D86" w:rsidRDefault="00697765" w:rsidP="00C901AE">
      <w:pPr>
        <w:rPr>
          <w:color w:val="FF0000"/>
        </w:rPr>
      </w:pPr>
    </w:p>
    <w:sectPr w:rsidR="00697765" w:rsidRPr="00CB7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81397" w14:textId="77777777" w:rsidR="004F4110" w:rsidRDefault="004F4110" w:rsidP="004F4110">
      <w:pPr>
        <w:spacing w:after="0" w:line="240" w:lineRule="auto"/>
      </w:pPr>
      <w:r>
        <w:separator/>
      </w:r>
    </w:p>
  </w:endnote>
  <w:endnote w:type="continuationSeparator" w:id="0">
    <w:p w14:paraId="6B725188" w14:textId="77777777" w:rsidR="004F4110" w:rsidRDefault="004F4110" w:rsidP="004F4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F8A05" w14:textId="77777777" w:rsidR="004F4110" w:rsidRDefault="004F4110" w:rsidP="004F4110">
      <w:pPr>
        <w:spacing w:after="0" w:line="240" w:lineRule="auto"/>
      </w:pPr>
      <w:r>
        <w:separator/>
      </w:r>
    </w:p>
  </w:footnote>
  <w:footnote w:type="continuationSeparator" w:id="0">
    <w:p w14:paraId="02756D2F" w14:textId="77777777" w:rsidR="004F4110" w:rsidRDefault="004F4110" w:rsidP="004F41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1AE"/>
    <w:rsid w:val="000A64CF"/>
    <w:rsid w:val="000C0555"/>
    <w:rsid w:val="00213AA5"/>
    <w:rsid w:val="003E4DD8"/>
    <w:rsid w:val="00492586"/>
    <w:rsid w:val="004F4110"/>
    <w:rsid w:val="00697765"/>
    <w:rsid w:val="00857D6F"/>
    <w:rsid w:val="008E15E1"/>
    <w:rsid w:val="008F4166"/>
    <w:rsid w:val="00C901AE"/>
    <w:rsid w:val="00CB7D86"/>
    <w:rsid w:val="00DB379B"/>
    <w:rsid w:val="00DE0916"/>
    <w:rsid w:val="00DF6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912A95C"/>
  <w15:chartTrackingRefBased/>
  <w15:docId w15:val="{6DD12414-1731-477B-92C0-09527A690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1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C901A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1960">
      <w:bodyDiv w:val="1"/>
      <w:marLeft w:val="0"/>
      <w:marRight w:val="0"/>
      <w:marTop w:val="0"/>
      <w:marBottom w:val="0"/>
      <w:divBdr>
        <w:top w:val="none" w:sz="0" w:space="0" w:color="auto"/>
        <w:left w:val="none" w:sz="0" w:space="0" w:color="auto"/>
        <w:bottom w:val="none" w:sz="0" w:space="0" w:color="auto"/>
        <w:right w:val="none" w:sz="0" w:space="0" w:color="auto"/>
      </w:divBdr>
    </w:div>
    <w:div w:id="548224129">
      <w:bodyDiv w:val="1"/>
      <w:marLeft w:val="0"/>
      <w:marRight w:val="0"/>
      <w:marTop w:val="0"/>
      <w:marBottom w:val="0"/>
      <w:divBdr>
        <w:top w:val="none" w:sz="0" w:space="0" w:color="auto"/>
        <w:left w:val="none" w:sz="0" w:space="0" w:color="auto"/>
        <w:bottom w:val="none" w:sz="0" w:space="0" w:color="auto"/>
        <w:right w:val="none" w:sz="0" w:space="0" w:color="auto"/>
      </w:divBdr>
    </w:div>
    <w:div w:id="942497212">
      <w:bodyDiv w:val="1"/>
      <w:marLeft w:val="0"/>
      <w:marRight w:val="0"/>
      <w:marTop w:val="0"/>
      <w:marBottom w:val="0"/>
      <w:divBdr>
        <w:top w:val="none" w:sz="0" w:space="0" w:color="auto"/>
        <w:left w:val="none" w:sz="0" w:space="0" w:color="auto"/>
        <w:bottom w:val="none" w:sz="0" w:space="0" w:color="auto"/>
        <w:right w:val="none" w:sz="0" w:space="0" w:color="auto"/>
      </w:divBdr>
    </w:div>
    <w:div w:id="138976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rimeandjustice.org.uk/publications/cjm/article/implicit-racial-bias-and-anatomy-institutional-racis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newsround/50035769" TargetMode="External"/><Relationship Id="rId5" Type="http://schemas.openxmlformats.org/officeDocument/2006/relationships/footnotes" Target="footnotes.xml"/><Relationship Id="rId10" Type="http://schemas.openxmlformats.org/officeDocument/2006/relationships/hyperlink" Target="https://www.drugwise.org.uk/wp-content/uploads/Frontline-tactics.pdf" TargetMode="External"/><Relationship Id="rId4" Type="http://schemas.openxmlformats.org/officeDocument/2006/relationships/webSettings" Target="webSettings.xml"/><Relationship Id="rId9" Type="http://schemas.openxmlformats.org/officeDocument/2006/relationships/hyperlink" Target="https://www.jrsa.org/pubs/factsheets/jrsa-factsheet-implicit-racial-bia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380C81-F72D-4AC9-8498-698BD4FFA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Pages>
  <Words>5038</Words>
  <Characters>28717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Harris,Stacey swp8106</dc:creator>
  <cp:keywords/>
  <dc:description/>
  <cp:lastModifiedBy>Harris,Stacey swp8106</cp:lastModifiedBy>
  <cp:revision>6</cp:revision>
  <dcterms:created xsi:type="dcterms:W3CDTF">2023-01-09T21:59:00Z</dcterms:created>
  <dcterms:modified xsi:type="dcterms:W3CDTF">2023-02-05T08:26:00Z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2023-01-09T22:10:34Z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5b9f5cad-589c-4035-8a4f-f73d3b957034</vt:lpwstr>
  </property>
  <property fmtid="{D5CDD505-2E9C-101B-9397-08002B2CF9AE}" pid="8" name="MSIP_Label_66cf8fe5-b7b7-4df7-b38d-1c61ac2f6639_ContentBits">
    <vt:lpwstr>0</vt:lpwstr>
  </property>
</Properties>
</file>