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D56687" w:rsidRDefault="00ED5964" w:rsidP="00D56687">
      <w:r w:rsidRPr="00D56687">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D56687" w:rsidRDefault="00ED5964">
      <w:pPr>
        <w:rPr>
          <w:rFonts w:ascii="Arial" w:hAnsi="Arial" w:cs="Arial"/>
          <w:sz w:val="22"/>
        </w:rPr>
      </w:pPr>
    </w:p>
    <w:p w14:paraId="478C11A1" w14:textId="77777777" w:rsidR="00ED5964" w:rsidRPr="00D56687" w:rsidRDefault="00ED5964">
      <w:pPr>
        <w:rPr>
          <w:rFonts w:ascii="Arial" w:hAnsi="Arial" w:cs="Arial"/>
          <w:sz w:val="22"/>
        </w:rPr>
      </w:pPr>
    </w:p>
    <w:p w14:paraId="6B8ADB81" w14:textId="77777777" w:rsidR="006A5CFC" w:rsidRPr="00D56687" w:rsidRDefault="006A5CFC">
      <w:pPr>
        <w:rPr>
          <w:rFonts w:ascii="Arial" w:hAnsi="Arial" w:cs="Arial"/>
          <w:sz w:val="22"/>
        </w:rPr>
      </w:pPr>
    </w:p>
    <w:p w14:paraId="168F467C" w14:textId="77777777" w:rsidR="006A5CFC" w:rsidRPr="00D56687" w:rsidRDefault="006A5CFC">
      <w:pPr>
        <w:rPr>
          <w:rFonts w:ascii="Arial" w:hAnsi="Arial" w:cs="Arial"/>
          <w:sz w:val="22"/>
        </w:rPr>
      </w:pPr>
    </w:p>
    <w:p w14:paraId="3BEDB360" w14:textId="77777777" w:rsidR="00ED5964" w:rsidRPr="00D56687" w:rsidRDefault="00ED5964">
      <w:pPr>
        <w:rPr>
          <w:rFonts w:ascii="Arial" w:hAnsi="Arial" w:cs="Arial"/>
          <w:sz w:val="22"/>
        </w:rPr>
      </w:pPr>
    </w:p>
    <w:p w14:paraId="2EF804A0" w14:textId="4C761763" w:rsidR="00ED5964" w:rsidRPr="00D56687" w:rsidRDefault="00ED5964" w:rsidP="00ED5964">
      <w:pPr>
        <w:jc w:val="both"/>
        <w:rPr>
          <w:rFonts w:ascii="Arial" w:hAnsi="Arial" w:cs="Arial"/>
          <w:sz w:val="22"/>
        </w:rPr>
      </w:pPr>
      <w:r w:rsidRPr="00D56687">
        <w:rPr>
          <w:rFonts w:ascii="Arial" w:hAnsi="Arial" w:cs="Arial"/>
          <w:sz w:val="22"/>
        </w:rPr>
        <w:t xml:space="preserve">Name: </w:t>
      </w:r>
      <w:r w:rsidR="00631AA3">
        <w:rPr>
          <w:rFonts w:ascii="Arial" w:hAnsi="Arial" w:cs="Arial"/>
          <w:sz w:val="22"/>
        </w:rPr>
        <w:t xml:space="preserve"> Kayleigh Hickling</w:t>
      </w:r>
    </w:p>
    <w:p w14:paraId="485B6F49" w14:textId="16031B94" w:rsidR="00ED5964" w:rsidRPr="00D56687" w:rsidRDefault="00ED5964" w:rsidP="00ED5964">
      <w:pPr>
        <w:jc w:val="both"/>
        <w:rPr>
          <w:rFonts w:ascii="Arial" w:hAnsi="Arial" w:cs="Arial"/>
          <w:sz w:val="22"/>
        </w:rPr>
      </w:pPr>
      <w:r w:rsidRPr="00D56687">
        <w:rPr>
          <w:rFonts w:ascii="Arial" w:hAnsi="Arial" w:cs="Arial"/>
          <w:sz w:val="22"/>
        </w:rPr>
        <w:t xml:space="preserve">Student ID: </w:t>
      </w:r>
      <w:r w:rsidR="00631AA3">
        <w:rPr>
          <w:rFonts w:ascii="Arial" w:hAnsi="Arial" w:cs="Arial"/>
          <w:sz w:val="22"/>
        </w:rPr>
        <w:t>2524181</w:t>
      </w:r>
    </w:p>
    <w:p w14:paraId="3C1E7A20" w14:textId="4D5BDAF2" w:rsidR="00ED5964" w:rsidRPr="00D56687" w:rsidRDefault="00ED5964" w:rsidP="00ED5964">
      <w:pPr>
        <w:jc w:val="both"/>
        <w:rPr>
          <w:rFonts w:ascii="Arial" w:hAnsi="Arial" w:cs="Arial"/>
          <w:sz w:val="22"/>
        </w:rPr>
      </w:pPr>
      <w:r w:rsidRPr="00D56687">
        <w:rPr>
          <w:rFonts w:ascii="Arial" w:hAnsi="Arial" w:cs="Arial"/>
          <w:sz w:val="22"/>
        </w:rPr>
        <w:t xml:space="preserve">Module Code: </w:t>
      </w:r>
      <w:r w:rsidR="00D5338F">
        <w:rPr>
          <w:rFonts w:ascii="Arial" w:hAnsi="Arial" w:cs="Arial"/>
          <w:sz w:val="22"/>
        </w:rPr>
        <w:t>LCHS4001</w:t>
      </w:r>
    </w:p>
    <w:p w14:paraId="4EEB2DA3" w14:textId="655EFD36" w:rsidR="00ED5964" w:rsidRPr="00D56687" w:rsidRDefault="00ED5964" w:rsidP="00ED5964">
      <w:pPr>
        <w:jc w:val="both"/>
        <w:rPr>
          <w:rFonts w:ascii="Arial" w:hAnsi="Arial" w:cs="Arial"/>
          <w:sz w:val="22"/>
        </w:rPr>
      </w:pPr>
      <w:r w:rsidRPr="00D56687">
        <w:rPr>
          <w:rFonts w:ascii="Arial" w:hAnsi="Arial" w:cs="Arial"/>
          <w:sz w:val="22"/>
        </w:rPr>
        <w:t xml:space="preserve">Module: </w:t>
      </w:r>
      <w:r w:rsidR="006A74E0">
        <w:rPr>
          <w:rFonts w:ascii="Arial" w:hAnsi="Arial" w:cs="Arial"/>
          <w:sz w:val="22"/>
        </w:rPr>
        <w:t xml:space="preserve">Academic and </w:t>
      </w:r>
      <w:r w:rsidR="00A93729">
        <w:rPr>
          <w:rFonts w:ascii="Arial" w:hAnsi="Arial" w:cs="Arial"/>
          <w:sz w:val="22"/>
        </w:rPr>
        <w:t>E</w:t>
      </w:r>
      <w:r w:rsidR="006A74E0">
        <w:rPr>
          <w:rFonts w:ascii="Arial" w:hAnsi="Arial" w:cs="Arial"/>
          <w:sz w:val="22"/>
        </w:rPr>
        <w:t xml:space="preserve">mployment </w:t>
      </w:r>
      <w:r w:rsidR="00A93729">
        <w:rPr>
          <w:rFonts w:ascii="Arial" w:hAnsi="Arial" w:cs="Arial"/>
          <w:sz w:val="22"/>
        </w:rPr>
        <w:t>S</w:t>
      </w:r>
      <w:r w:rsidR="006A74E0">
        <w:rPr>
          <w:rFonts w:ascii="Arial" w:hAnsi="Arial" w:cs="Arial"/>
          <w:sz w:val="22"/>
        </w:rPr>
        <w:t>kills</w:t>
      </w:r>
    </w:p>
    <w:p w14:paraId="112342CB" w14:textId="7F6609EE" w:rsidR="00ED5964" w:rsidRPr="00D56687" w:rsidRDefault="00ED5964" w:rsidP="00ED5964">
      <w:pPr>
        <w:jc w:val="both"/>
        <w:rPr>
          <w:rFonts w:ascii="Arial" w:hAnsi="Arial" w:cs="Arial"/>
          <w:sz w:val="22"/>
        </w:rPr>
      </w:pPr>
      <w:r w:rsidRPr="00D56687">
        <w:rPr>
          <w:rFonts w:ascii="Arial" w:hAnsi="Arial" w:cs="Arial"/>
          <w:sz w:val="22"/>
        </w:rPr>
        <w:t xml:space="preserve">Lecturer: </w:t>
      </w:r>
      <w:r w:rsidR="006A74E0">
        <w:rPr>
          <w:rFonts w:ascii="Arial" w:hAnsi="Arial" w:cs="Arial"/>
          <w:sz w:val="22"/>
        </w:rPr>
        <w:t>Natalia Dozie</w:t>
      </w:r>
    </w:p>
    <w:p w14:paraId="78C0B80E" w14:textId="77777777" w:rsidR="00ED5964" w:rsidRPr="00D56687" w:rsidRDefault="00ED5964" w:rsidP="00ED5964">
      <w:pPr>
        <w:jc w:val="both"/>
        <w:rPr>
          <w:rFonts w:ascii="Arial" w:hAnsi="Arial" w:cs="Arial"/>
          <w:sz w:val="22"/>
        </w:rPr>
      </w:pPr>
    </w:p>
    <w:p w14:paraId="0C6F95D6" w14:textId="77777777" w:rsidR="00ED5964" w:rsidRPr="00D56687" w:rsidRDefault="00ED5964" w:rsidP="00ED5964">
      <w:pPr>
        <w:jc w:val="both"/>
        <w:rPr>
          <w:rFonts w:ascii="Arial" w:hAnsi="Arial" w:cs="Arial"/>
          <w:sz w:val="22"/>
        </w:rPr>
      </w:pPr>
    </w:p>
    <w:p w14:paraId="71D7459F" w14:textId="77777777" w:rsidR="00ED5964" w:rsidRPr="00D56687" w:rsidRDefault="00ED5964" w:rsidP="00ED5964">
      <w:pPr>
        <w:jc w:val="both"/>
        <w:rPr>
          <w:rFonts w:ascii="Arial" w:hAnsi="Arial" w:cs="Arial"/>
          <w:sz w:val="22"/>
        </w:rPr>
      </w:pPr>
    </w:p>
    <w:p w14:paraId="38621A58" w14:textId="77777777" w:rsidR="00ED5964" w:rsidRPr="00D56687" w:rsidRDefault="00ED5964" w:rsidP="00ED5964">
      <w:pPr>
        <w:jc w:val="both"/>
        <w:rPr>
          <w:rFonts w:ascii="Arial" w:hAnsi="Arial" w:cs="Arial"/>
          <w:sz w:val="22"/>
        </w:rPr>
      </w:pPr>
    </w:p>
    <w:p w14:paraId="6988A1DC" w14:textId="77777777" w:rsidR="00ED5964" w:rsidRPr="00D56687" w:rsidRDefault="00ED5964" w:rsidP="00ED5964">
      <w:pPr>
        <w:jc w:val="both"/>
        <w:rPr>
          <w:rFonts w:ascii="Arial" w:hAnsi="Arial" w:cs="Arial"/>
          <w:sz w:val="22"/>
        </w:rPr>
      </w:pPr>
    </w:p>
    <w:p w14:paraId="25C114EE" w14:textId="77777777" w:rsidR="00ED5964" w:rsidRPr="00D56687" w:rsidRDefault="00ED5964" w:rsidP="00ED5964">
      <w:pPr>
        <w:jc w:val="both"/>
        <w:rPr>
          <w:rFonts w:ascii="Arial" w:hAnsi="Arial" w:cs="Arial"/>
          <w:sz w:val="22"/>
        </w:rPr>
      </w:pPr>
    </w:p>
    <w:p w14:paraId="4A73B1BE" w14:textId="77777777" w:rsidR="00ED5964" w:rsidRPr="00D56687" w:rsidRDefault="00ED5964" w:rsidP="00ED5964">
      <w:pPr>
        <w:jc w:val="both"/>
        <w:rPr>
          <w:rFonts w:ascii="Arial" w:hAnsi="Arial" w:cs="Arial"/>
          <w:sz w:val="22"/>
        </w:rPr>
      </w:pPr>
    </w:p>
    <w:p w14:paraId="072506E1" w14:textId="5E9B124F" w:rsidR="00ED5964" w:rsidRPr="00D56687" w:rsidRDefault="00ED5964" w:rsidP="00ED5964">
      <w:pPr>
        <w:jc w:val="both"/>
        <w:rPr>
          <w:rFonts w:ascii="Arial" w:hAnsi="Arial" w:cs="Arial"/>
          <w:sz w:val="22"/>
        </w:rPr>
      </w:pPr>
      <w:r w:rsidRPr="00D56687">
        <w:rPr>
          <w:rFonts w:ascii="Arial" w:hAnsi="Arial" w:cs="Arial"/>
          <w:sz w:val="22"/>
        </w:rPr>
        <w:tab/>
      </w:r>
      <w:r w:rsidRPr="00D56687">
        <w:rPr>
          <w:rFonts w:ascii="Arial" w:hAnsi="Arial" w:cs="Arial"/>
          <w:sz w:val="22"/>
        </w:rPr>
        <w:tab/>
      </w:r>
      <w:r w:rsidRPr="00D56687">
        <w:rPr>
          <w:rFonts w:ascii="Arial" w:hAnsi="Arial" w:cs="Arial"/>
          <w:sz w:val="22"/>
        </w:rPr>
        <w:tab/>
      </w:r>
      <w:r w:rsidR="006A5CFC" w:rsidRPr="00D56687">
        <w:rPr>
          <w:rFonts w:ascii="Arial" w:hAnsi="Arial" w:cs="Arial"/>
          <w:sz w:val="22"/>
        </w:rPr>
        <w:tab/>
      </w:r>
      <w:r w:rsidRPr="00D56687">
        <w:rPr>
          <w:rFonts w:ascii="Arial" w:hAnsi="Arial" w:cs="Arial"/>
          <w:sz w:val="22"/>
        </w:rPr>
        <w:t xml:space="preserve">Submitted on:    </w:t>
      </w:r>
      <w:r w:rsidR="0006186F">
        <w:rPr>
          <w:rFonts w:ascii="Arial" w:hAnsi="Arial" w:cs="Arial"/>
          <w:sz w:val="22"/>
        </w:rPr>
        <w:t>18-04-26</w:t>
      </w:r>
    </w:p>
    <w:p w14:paraId="3C6FB008" w14:textId="77777777" w:rsidR="00ED5964" w:rsidRPr="00D56687" w:rsidRDefault="00ED5964" w:rsidP="00ED5964">
      <w:pPr>
        <w:jc w:val="both"/>
        <w:rPr>
          <w:rFonts w:ascii="Arial" w:hAnsi="Arial" w:cs="Arial"/>
          <w:sz w:val="22"/>
        </w:rPr>
      </w:pPr>
    </w:p>
    <w:p w14:paraId="3EA711CF" w14:textId="77777777" w:rsidR="00ED5964" w:rsidRPr="00D56687" w:rsidRDefault="00ED5964" w:rsidP="00ED5964">
      <w:pPr>
        <w:jc w:val="both"/>
        <w:rPr>
          <w:rFonts w:ascii="Arial" w:hAnsi="Arial" w:cs="Arial"/>
          <w:sz w:val="22"/>
        </w:rPr>
      </w:pPr>
    </w:p>
    <w:p w14:paraId="32C3A4F9" w14:textId="77777777" w:rsidR="00ED5964" w:rsidRPr="00D56687" w:rsidRDefault="00ED5964" w:rsidP="00ED5964">
      <w:pPr>
        <w:jc w:val="both"/>
        <w:rPr>
          <w:rFonts w:ascii="Arial" w:hAnsi="Arial" w:cs="Arial"/>
          <w:sz w:val="22"/>
        </w:rPr>
      </w:pPr>
    </w:p>
    <w:p w14:paraId="1434F2B1" w14:textId="77777777" w:rsidR="00ED5964" w:rsidRPr="00D56687" w:rsidRDefault="00ED5964" w:rsidP="00ED5964">
      <w:pPr>
        <w:jc w:val="both"/>
        <w:rPr>
          <w:rFonts w:ascii="Arial" w:hAnsi="Arial" w:cs="Arial"/>
          <w:sz w:val="22"/>
        </w:rPr>
      </w:pPr>
    </w:p>
    <w:p w14:paraId="4F979E62" w14:textId="2416CA1D" w:rsidR="00D56687" w:rsidRDefault="00D56687">
      <w:pPr>
        <w:rPr>
          <w:rFonts w:ascii="Arial" w:hAnsi="Arial" w:cs="Arial"/>
          <w:sz w:val="22"/>
        </w:rPr>
      </w:pPr>
      <w:r>
        <w:rPr>
          <w:rFonts w:ascii="Arial" w:hAnsi="Arial" w:cs="Arial"/>
          <w:sz w:val="22"/>
        </w:rPr>
        <w:br w:type="page"/>
      </w:r>
    </w:p>
    <w:p w14:paraId="195482EB" w14:textId="77777777" w:rsidR="00ED5964" w:rsidRPr="00D56687" w:rsidRDefault="00ED5964" w:rsidP="00ED5964">
      <w:pPr>
        <w:jc w:val="both"/>
        <w:rPr>
          <w:rFonts w:ascii="Arial" w:hAnsi="Arial" w:cs="Arial"/>
          <w:sz w:val="22"/>
        </w:rPr>
      </w:pPr>
    </w:p>
    <w:p w14:paraId="4180CDBC" w14:textId="77777777" w:rsidR="00ED5964" w:rsidRPr="00D56687" w:rsidRDefault="00ED5964" w:rsidP="00ED5964">
      <w:pPr>
        <w:jc w:val="both"/>
        <w:rPr>
          <w:rFonts w:ascii="Arial" w:hAnsi="Arial" w:cs="Arial"/>
          <w:sz w:val="22"/>
        </w:rPr>
      </w:pPr>
    </w:p>
    <w:sdt>
      <w:sdtPr>
        <w:rPr>
          <w:rFonts w:ascii="Arial" w:eastAsiaTheme="minorEastAsia" w:hAnsi="Arial" w:cs="Arial"/>
          <w:b/>
          <w:color w:val="auto"/>
          <w:kern w:val="2"/>
          <w:sz w:val="22"/>
          <w:szCs w:val="22"/>
          <w:lang w:val="en-GB" w:eastAsia="zh-CN"/>
          <w14:ligatures w14:val="standardContextual"/>
        </w:rPr>
        <w:id w:val="2083777713"/>
        <w:docPartObj>
          <w:docPartGallery w:val="Table of Contents"/>
          <w:docPartUnique/>
        </w:docPartObj>
      </w:sdtPr>
      <w:sdtContent>
        <w:p w14:paraId="69A45AB4" w14:textId="1BC22B3F" w:rsidR="00184A9A" w:rsidRPr="00D56687" w:rsidRDefault="00184A9A">
          <w:pPr>
            <w:pStyle w:val="TOCHeading"/>
            <w:rPr>
              <w:rFonts w:ascii="Arial" w:hAnsi="Arial" w:cs="Arial"/>
              <w:color w:val="4472C4" w:themeColor="accent1"/>
              <w:sz w:val="22"/>
              <w:szCs w:val="22"/>
            </w:rPr>
          </w:pPr>
          <w:r w:rsidRPr="00D56687">
            <w:rPr>
              <w:rFonts w:ascii="Arial" w:hAnsi="Arial" w:cs="Arial"/>
              <w:color w:val="4471C4"/>
              <w:sz w:val="22"/>
              <w:szCs w:val="22"/>
            </w:rPr>
            <w:t>Table of Contents</w:t>
          </w:r>
        </w:p>
        <w:p w14:paraId="1CC5C8F1" w14:textId="65EBE071" w:rsidR="00A93729" w:rsidRDefault="0156E134">
          <w:pPr>
            <w:pStyle w:val="TOC2"/>
            <w:tabs>
              <w:tab w:val="right" w:leader="dot" w:pos="9016"/>
            </w:tabs>
            <w:rPr>
              <w:rFonts w:asciiTheme="minorHAnsi" w:hAnsiTheme="minorHAnsi" w:cstheme="minorBidi"/>
              <w:b w:val="0"/>
              <w:bCs w:val="0"/>
              <w:noProof/>
              <w:sz w:val="24"/>
              <w:szCs w:val="24"/>
              <w:lang w:eastAsia="en-GB"/>
            </w:rPr>
          </w:pPr>
          <w:r w:rsidRPr="00D56687">
            <w:rPr>
              <w:rFonts w:ascii="Arial" w:hAnsi="Arial" w:cs="Arial"/>
              <w:sz w:val="22"/>
            </w:rPr>
            <w:fldChar w:fldCharType="begin"/>
          </w:r>
          <w:r w:rsidR="00184A9A" w:rsidRPr="00D56687">
            <w:rPr>
              <w:rFonts w:ascii="Arial" w:hAnsi="Arial" w:cs="Arial"/>
              <w:sz w:val="22"/>
            </w:rPr>
            <w:instrText>TOC \o "1-3" \z \u \h</w:instrText>
          </w:r>
          <w:r w:rsidRPr="00D56687">
            <w:rPr>
              <w:rFonts w:ascii="Arial" w:hAnsi="Arial" w:cs="Arial"/>
              <w:sz w:val="22"/>
            </w:rPr>
            <w:fldChar w:fldCharType="separate"/>
          </w:r>
          <w:hyperlink w:anchor="_Toc227401766" w:history="1">
            <w:r w:rsidR="00A93729" w:rsidRPr="00E06329">
              <w:rPr>
                <w:rStyle w:val="Hyperlink"/>
                <w:rFonts w:ascii="Arial" w:hAnsi="Arial" w:cs="Arial"/>
                <w:noProof/>
              </w:rPr>
              <w:t>1.1 Introduction</w:t>
            </w:r>
            <w:r w:rsidR="00A93729">
              <w:rPr>
                <w:noProof/>
                <w:webHidden/>
              </w:rPr>
              <w:tab/>
            </w:r>
            <w:r w:rsidR="00A93729">
              <w:rPr>
                <w:noProof/>
                <w:webHidden/>
              </w:rPr>
              <w:fldChar w:fldCharType="begin"/>
            </w:r>
            <w:r w:rsidR="00A93729">
              <w:rPr>
                <w:noProof/>
                <w:webHidden/>
              </w:rPr>
              <w:instrText xml:space="preserve"> PAGEREF _Toc227401766 \h </w:instrText>
            </w:r>
            <w:r w:rsidR="00A93729">
              <w:rPr>
                <w:noProof/>
                <w:webHidden/>
              </w:rPr>
            </w:r>
            <w:r w:rsidR="00A93729">
              <w:rPr>
                <w:noProof/>
                <w:webHidden/>
              </w:rPr>
              <w:fldChar w:fldCharType="separate"/>
            </w:r>
            <w:r w:rsidR="00A93729">
              <w:rPr>
                <w:noProof/>
                <w:webHidden/>
              </w:rPr>
              <w:t>3</w:t>
            </w:r>
            <w:r w:rsidR="00A93729">
              <w:rPr>
                <w:noProof/>
                <w:webHidden/>
              </w:rPr>
              <w:fldChar w:fldCharType="end"/>
            </w:r>
          </w:hyperlink>
        </w:p>
        <w:p w14:paraId="6ABA987E" w14:textId="2F3FF697" w:rsidR="00A93729" w:rsidRDefault="00A93729">
          <w:pPr>
            <w:pStyle w:val="TOC2"/>
            <w:tabs>
              <w:tab w:val="right" w:leader="dot" w:pos="9016"/>
            </w:tabs>
            <w:rPr>
              <w:rFonts w:asciiTheme="minorHAnsi" w:hAnsiTheme="minorHAnsi" w:cstheme="minorBidi"/>
              <w:b w:val="0"/>
              <w:bCs w:val="0"/>
              <w:noProof/>
              <w:sz w:val="24"/>
              <w:szCs w:val="24"/>
              <w:lang w:eastAsia="en-GB"/>
            </w:rPr>
          </w:pPr>
          <w:hyperlink w:anchor="_Toc227401767" w:history="1">
            <w:r w:rsidRPr="00E06329">
              <w:rPr>
                <w:rStyle w:val="Hyperlink"/>
                <w:rFonts w:ascii="Arial" w:hAnsi="Arial" w:cs="Arial"/>
                <w:noProof/>
              </w:rPr>
              <w:t>2 Children’s Counsellor in the Health and Social Care Field</w:t>
            </w:r>
            <w:r>
              <w:rPr>
                <w:noProof/>
                <w:webHidden/>
              </w:rPr>
              <w:tab/>
            </w:r>
            <w:r>
              <w:rPr>
                <w:noProof/>
                <w:webHidden/>
              </w:rPr>
              <w:fldChar w:fldCharType="begin"/>
            </w:r>
            <w:r>
              <w:rPr>
                <w:noProof/>
                <w:webHidden/>
              </w:rPr>
              <w:instrText xml:space="preserve"> PAGEREF _Toc227401767 \h </w:instrText>
            </w:r>
            <w:r>
              <w:rPr>
                <w:noProof/>
                <w:webHidden/>
              </w:rPr>
            </w:r>
            <w:r>
              <w:rPr>
                <w:noProof/>
                <w:webHidden/>
              </w:rPr>
              <w:fldChar w:fldCharType="separate"/>
            </w:r>
            <w:r>
              <w:rPr>
                <w:noProof/>
                <w:webHidden/>
              </w:rPr>
              <w:t>3</w:t>
            </w:r>
            <w:r>
              <w:rPr>
                <w:noProof/>
                <w:webHidden/>
              </w:rPr>
              <w:fldChar w:fldCharType="end"/>
            </w:r>
          </w:hyperlink>
        </w:p>
        <w:p w14:paraId="13791CE7" w14:textId="1625600A" w:rsidR="00A93729" w:rsidRDefault="00A93729">
          <w:pPr>
            <w:pStyle w:val="TOC2"/>
            <w:tabs>
              <w:tab w:val="right" w:leader="dot" w:pos="9016"/>
            </w:tabs>
            <w:rPr>
              <w:rFonts w:asciiTheme="minorHAnsi" w:hAnsiTheme="minorHAnsi" w:cstheme="minorBidi"/>
              <w:b w:val="0"/>
              <w:bCs w:val="0"/>
              <w:noProof/>
              <w:sz w:val="24"/>
              <w:szCs w:val="24"/>
              <w:lang w:eastAsia="en-GB"/>
            </w:rPr>
          </w:pPr>
          <w:hyperlink w:anchor="_Toc227401768" w:history="1">
            <w:r w:rsidRPr="00E06329">
              <w:rPr>
                <w:rStyle w:val="Hyperlink"/>
                <w:rFonts w:ascii="Arial" w:hAnsi="Arial" w:cs="Arial"/>
                <w:noProof/>
              </w:rPr>
              <w:t>2.1 Children’s Counsellor in Health and Social Care</w:t>
            </w:r>
            <w:r>
              <w:rPr>
                <w:noProof/>
                <w:webHidden/>
              </w:rPr>
              <w:tab/>
            </w:r>
            <w:r>
              <w:rPr>
                <w:noProof/>
                <w:webHidden/>
              </w:rPr>
              <w:fldChar w:fldCharType="begin"/>
            </w:r>
            <w:r>
              <w:rPr>
                <w:noProof/>
                <w:webHidden/>
              </w:rPr>
              <w:instrText xml:space="preserve"> PAGEREF _Toc227401768 \h </w:instrText>
            </w:r>
            <w:r>
              <w:rPr>
                <w:noProof/>
                <w:webHidden/>
              </w:rPr>
            </w:r>
            <w:r>
              <w:rPr>
                <w:noProof/>
                <w:webHidden/>
              </w:rPr>
              <w:fldChar w:fldCharType="separate"/>
            </w:r>
            <w:r>
              <w:rPr>
                <w:noProof/>
                <w:webHidden/>
              </w:rPr>
              <w:t>3</w:t>
            </w:r>
            <w:r>
              <w:rPr>
                <w:noProof/>
                <w:webHidden/>
              </w:rPr>
              <w:fldChar w:fldCharType="end"/>
            </w:r>
          </w:hyperlink>
        </w:p>
        <w:p w14:paraId="28567873" w14:textId="264607DF" w:rsidR="00A93729" w:rsidRDefault="00A93729">
          <w:pPr>
            <w:pStyle w:val="TOC2"/>
            <w:tabs>
              <w:tab w:val="right" w:leader="dot" w:pos="9016"/>
            </w:tabs>
            <w:rPr>
              <w:rFonts w:asciiTheme="minorHAnsi" w:hAnsiTheme="minorHAnsi" w:cstheme="minorBidi"/>
              <w:b w:val="0"/>
              <w:bCs w:val="0"/>
              <w:noProof/>
              <w:sz w:val="24"/>
              <w:szCs w:val="24"/>
              <w:lang w:eastAsia="en-GB"/>
            </w:rPr>
          </w:pPr>
          <w:hyperlink w:anchor="_Toc227401769" w:history="1">
            <w:r w:rsidRPr="00E06329">
              <w:rPr>
                <w:rStyle w:val="Hyperlink"/>
                <w:rFonts w:ascii="Arial" w:hAnsi="Arial" w:cs="Arial"/>
                <w:noProof/>
              </w:rPr>
              <w:t>2.2 Children’s counsellor in Health and Social Care</w:t>
            </w:r>
            <w:r>
              <w:rPr>
                <w:noProof/>
                <w:webHidden/>
              </w:rPr>
              <w:tab/>
            </w:r>
            <w:r>
              <w:rPr>
                <w:noProof/>
                <w:webHidden/>
              </w:rPr>
              <w:fldChar w:fldCharType="begin"/>
            </w:r>
            <w:r>
              <w:rPr>
                <w:noProof/>
                <w:webHidden/>
              </w:rPr>
              <w:instrText xml:space="preserve"> PAGEREF _Toc227401769 \h </w:instrText>
            </w:r>
            <w:r>
              <w:rPr>
                <w:noProof/>
                <w:webHidden/>
              </w:rPr>
            </w:r>
            <w:r>
              <w:rPr>
                <w:noProof/>
                <w:webHidden/>
              </w:rPr>
              <w:fldChar w:fldCharType="separate"/>
            </w:r>
            <w:r>
              <w:rPr>
                <w:noProof/>
                <w:webHidden/>
              </w:rPr>
              <w:t>3</w:t>
            </w:r>
            <w:r>
              <w:rPr>
                <w:noProof/>
                <w:webHidden/>
              </w:rPr>
              <w:fldChar w:fldCharType="end"/>
            </w:r>
          </w:hyperlink>
        </w:p>
        <w:p w14:paraId="1857A5E7" w14:textId="4F74AFCF" w:rsidR="00A93729" w:rsidRDefault="00A93729">
          <w:pPr>
            <w:pStyle w:val="TOC2"/>
            <w:tabs>
              <w:tab w:val="right" w:leader="dot" w:pos="9016"/>
            </w:tabs>
            <w:rPr>
              <w:rFonts w:asciiTheme="minorHAnsi" w:hAnsiTheme="minorHAnsi" w:cstheme="minorBidi"/>
              <w:b w:val="0"/>
              <w:bCs w:val="0"/>
              <w:noProof/>
              <w:sz w:val="24"/>
              <w:szCs w:val="24"/>
              <w:lang w:eastAsia="en-GB"/>
            </w:rPr>
          </w:pPr>
          <w:hyperlink w:anchor="_Toc227401770" w:history="1">
            <w:r w:rsidRPr="00E06329">
              <w:rPr>
                <w:rStyle w:val="Hyperlink"/>
                <w:rFonts w:ascii="Arial" w:hAnsi="Arial" w:cs="Arial"/>
                <w:noProof/>
              </w:rPr>
              <w:t>3 Strategies for Skill Improvement for Children’s Counsellor</w:t>
            </w:r>
            <w:r>
              <w:rPr>
                <w:noProof/>
                <w:webHidden/>
              </w:rPr>
              <w:tab/>
            </w:r>
            <w:r>
              <w:rPr>
                <w:noProof/>
                <w:webHidden/>
              </w:rPr>
              <w:fldChar w:fldCharType="begin"/>
            </w:r>
            <w:r>
              <w:rPr>
                <w:noProof/>
                <w:webHidden/>
              </w:rPr>
              <w:instrText xml:space="preserve"> PAGEREF _Toc227401770 \h </w:instrText>
            </w:r>
            <w:r>
              <w:rPr>
                <w:noProof/>
                <w:webHidden/>
              </w:rPr>
            </w:r>
            <w:r>
              <w:rPr>
                <w:noProof/>
                <w:webHidden/>
              </w:rPr>
              <w:fldChar w:fldCharType="separate"/>
            </w:r>
            <w:r>
              <w:rPr>
                <w:noProof/>
                <w:webHidden/>
              </w:rPr>
              <w:t>4</w:t>
            </w:r>
            <w:r>
              <w:rPr>
                <w:noProof/>
                <w:webHidden/>
              </w:rPr>
              <w:fldChar w:fldCharType="end"/>
            </w:r>
          </w:hyperlink>
        </w:p>
        <w:p w14:paraId="75844563" w14:textId="18E838C7" w:rsidR="00A93729" w:rsidRDefault="00A93729">
          <w:pPr>
            <w:pStyle w:val="TOC2"/>
            <w:tabs>
              <w:tab w:val="right" w:leader="dot" w:pos="9016"/>
            </w:tabs>
            <w:rPr>
              <w:rFonts w:asciiTheme="minorHAnsi" w:hAnsiTheme="minorHAnsi" w:cstheme="minorBidi"/>
              <w:b w:val="0"/>
              <w:bCs w:val="0"/>
              <w:noProof/>
              <w:sz w:val="24"/>
              <w:szCs w:val="24"/>
              <w:lang w:eastAsia="en-GB"/>
            </w:rPr>
          </w:pPr>
          <w:hyperlink w:anchor="_Toc227401771" w:history="1">
            <w:r w:rsidRPr="00E06329">
              <w:rPr>
                <w:rStyle w:val="Hyperlink"/>
                <w:rFonts w:ascii="Arial" w:hAnsi="Arial" w:cs="Arial"/>
                <w:noProof/>
              </w:rPr>
              <w:t>3.1 Three Strategies to Improve the Skills for Children’s Counsellor</w:t>
            </w:r>
            <w:r>
              <w:rPr>
                <w:noProof/>
                <w:webHidden/>
              </w:rPr>
              <w:tab/>
            </w:r>
            <w:r>
              <w:rPr>
                <w:noProof/>
                <w:webHidden/>
              </w:rPr>
              <w:fldChar w:fldCharType="begin"/>
            </w:r>
            <w:r>
              <w:rPr>
                <w:noProof/>
                <w:webHidden/>
              </w:rPr>
              <w:instrText xml:space="preserve"> PAGEREF _Toc227401771 \h </w:instrText>
            </w:r>
            <w:r>
              <w:rPr>
                <w:noProof/>
                <w:webHidden/>
              </w:rPr>
            </w:r>
            <w:r>
              <w:rPr>
                <w:noProof/>
                <w:webHidden/>
              </w:rPr>
              <w:fldChar w:fldCharType="separate"/>
            </w:r>
            <w:r>
              <w:rPr>
                <w:noProof/>
                <w:webHidden/>
              </w:rPr>
              <w:t>4</w:t>
            </w:r>
            <w:r>
              <w:rPr>
                <w:noProof/>
                <w:webHidden/>
              </w:rPr>
              <w:fldChar w:fldCharType="end"/>
            </w:r>
          </w:hyperlink>
        </w:p>
        <w:p w14:paraId="6E66E930" w14:textId="12C9EBF0" w:rsidR="00A93729" w:rsidRDefault="00A93729">
          <w:pPr>
            <w:pStyle w:val="TOC2"/>
            <w:tabs>
              <w:tab w:val="right" w:leader="dot" w:pos="9016"/>
            </w:tabs>
            <w:rPr>
              <w:rFonts w:asciiTheme="minorHAnsi" w:hAnsiTheme="minorHAnsi" w:cstheme="minorBidi"/>
              <w:b w:val="0"/>
              <w:bCs w:val="0"/>
              <w:noProof/>
              <w:sz w:val="24"/>
              <w:szCs w:val="24"/>
              <w:lang w:eastAsia="en-GB"/>
            </w:rPr>
          </w:pPr>
          <w:hyperlink w:anchor="_Toc227401772" w:history="1">
            <w:r w:rsidRPr="00E06329">
              <w:rPr>
                <w:rStyle w:val="Hyperlink"/>
                <w:rFonts w:ascii="Arial" w:hAnsi="Arial" w:cs="Arial"/>
                <w:noProof/>
              </w:rPr>
              <w:t>4 Conclusion</w:t>
            </w:r>
            <w:r>
              <w:rPr>
                <w:noProof/>
                <w:webHidden/>
              </w:rPr>
              <w:tab/>
            </w:r>
            <w:r>
              <w:rPr>
                <w:noProof/>
                <w:webHidden/>
              </w:rPr>
              <w:fldChar w:fldCharType="begin"/>
            </w:r>
            <w:r>
              <w:rPr>
                <w:noProof/>
                <w:webHidden/>
              </w:rPr>
              <w:instrText xml:space="preserve"> PAGEREF _Toc227401772 \h </w:instrText>
            </w:r>
            <w:r>
              <w:rPr>
                <w:noProof/>
                <w:webHidden/>
              </w:rPr>
            </w:r>
            <w:r>
              <w:rPr>
                <w:noProof/>
                <w:webHidden/>
              </w:rPr>
              <w:fldChar w:fldCharType="separate"/>
            </w:r>
            <w:r>
              <w:rPr>
                <w:noProof/>
                <w:webHidden/>
              </w:rPr>
              <w:t>5</w:t>
            </w:r>
            <w:r>
              <w:rPr>
                <w:noProof/>
                <w:webHidden/>
              </w:rPr>
              <w:fldChar w:fldCharType="end"/>
            </w:r>
          </w:hyperlink>
        </w:p>
        <w:p w14:paraId="7D0CCAF3" w14:textId="5DCDA848" w:rsidR="00A93729" w:rsidRDefault="00A93729">
          <w:pPr>
            <w:pStyle w:val="TOC2"/>
            <w:tabs>
              <w:tab w:val="right" w:leader="dot" w:pos="9016"/>
            </w:tabs>
            <w:rPr>
              <w:rFonts w:asciiTheme="minorHAnsi" w:hAnsiTheme="minorHAnsi" w:cstheme="minorBidi"/>
              <w:b w:val="0"/>
              <w:bCs w:val="0"/>
              <w:noProof/>
              <w:sz w:val="24"/>
              <w:szCs w:val="24"/>
              <w:lang w:eastAsia="en-GB"/>
            </w:rPr>
          </w:pPr>
          <w:hyperlink w:anchor="_Toc227401773" w:history="1">
            <w:r w:rsidRPr="00E06329">
              <w:rPr>
                <w:rStyle w:val="Hyperlink"/>
                <w:rFonts w:ascii="Arial" w:hAnsi="Arial" w:cs="Arial"/>
                <w:noProof/>
              </w:rPr>
              <w:t>5 Reference List</w:t>
            </w:r>
            <w:r>
              <w:rPr>
                <w:noProof/>
                <w:webHidden/>
              </w:rPr>
              <w:tab/>
            </w:r>
            <w:r>
              <w:rPr>
                <w:noProof/>
                <w:webHidden/>
              </w:rPr>
              <w:fldChar w:fldCharType="begin"/>
            </w:r>
            <w:r>
              <w:rPr>
                <w:noProof/>
                <w:webHidden/>
              </w:rPr>
              <w:instrText xml:space="preserve"> PAGEREF _Toc227401773 \h </w:instrText>
            </w:r>
            <w:r>
              <w:rPr>
                <w:noProof/>
                <w:webHidden/>
              </w:rPr>
            </w:r>
            <w:r>
              <w:rPr>
                <w:noProof/>
                <w:webHidden/>
              </w:rPr>
              <w:fldChar w:fldCharType="separate"/>
            </w:r>
            <w:r>
              <w:rPr>
                <w:noProof/>
                <w:webHidden/>
              </w:rPr>
              <w:t>6</w:t>
            </w:r>
            <w:r>
              <w:rPr>
                <w:noProof/>
                <w:webHidden/>
              </w:rPr>
              <w:fldChar w:fldCharType="end"/>
            </w:r>
          </w:hyperlink>
        </w:p>
        <w:p w14:paraId="2F2A1EA8" w14:textId="6ED2B77F" w:rsidR="0156E134" w:rsidRPr="00D56687" w:rsidRDefault="0156E134" w:rsidP="0156E134">
          <w:pPr>
            <w:pStyle w:val="TOC2"/>
            <w:tabs>
              <w:tab w:val="right" w:leader="dot" w:pos="9015"/>
            </w:tabs>
            <w:rPr>
              <w:rStyle w:val="Hyperlink"/>
              <w:rFonts w:ascii="Arial" w:hAnsi="Arial" w:cs="Arial"/>
              <w:sz w:val="22"/>
            </w:rPr>
          </w:pPr>
          <w:r w:rsidRPr="00D56687">
            <w:rPr>
              <w:rFonts w:ascii="Arial" w:hAnsi="Arial" w:cs="Arial"/>
              <w:sz w:val="22"/>
            </w:rPr>
            <w:fldChar w:fldCharType="end"/>
          </w:r>
        </w:p>
      </w:sdtContent>
    </w:sdt>
    <w:p w14:paraId="6138A55F" w14:textId="5BBC1E8C" w:rsidR="00184A9A" w:rsidRPr="00D56687" w:rsidRDefault="00184A9A">
      <w:pPr>
        <w:rPr>
          <w:rFonts w:ascii="Arial" w:hAnsi="Arial" w:cs="Arial"/>
          <w:sz w:val="22"/>
        </w:rPr>
      </w:pPr>
    </w:p>
    <w:p w14:paraId="4A159F97" w14:textId="77777777" w:rsidR="00ED5964" w:rsidRPr="00D56687" w:rsidRDefault="00ED5964" w:rsidP="00ED5964">
      <w:pPr>
        <w:jc w:val="both"/>
        <w:rPr>
          <w:rFonts w:ascii="Arial" w:hAnsi="Arial" w:cs="Arial"/>
          <w:b/>
          <w:bCs/>
          <w:sz w:val="22"/>
        </w:rPr>
      </w:pPr>
    </w:p>
    <w:p w14:paraId="09E24E55" w14:textId="77777777" w:rsidR="00ED5964" w:rsidRPr="00D56687" w:rsidRDefault="00ED5964" w:rsidP="00ED5964">
      <w:pPr>
        <w:jc w:val="both"/>
        <w:rPr>
          <w:rFonts w:ascii="Arial" w:hAnsi="Arial" w:cs="Arial"/>
          <w:b/>
          <w:bCs/>
          <w:sz w:val="22"/>
        </w:rPr>
      </w:pPr>
    </w:p>
    <w:p w14:paraId="40BC340F" w14:textId="77777777" w:rsidR="00ED5964" w:rsidRPr="00D56687" w:rsidRDefault="00ED5964" w:rsidP="00ED5964">
      <w:pPr>
        <w:jc w:val="both"/>
        <w:rPr>
          <w:rFonts w:ascii="Arial" w:hAnsi="Arial" w:cs="Arial"/>
          <w:b/>
          <w:bCs/>
          <w:sz w:val="22"/>
        </w:rPr>
      </w:pPr>
    </w:p>
    <w:p w14:paraId="41A63835" w14:textId="77777777" w:rsidR="00ED5964" w:rsidRPr="00D56687" w:rsidRDefault="00ED5964" w:rsidP="00ED5964">
      <w:pPr>
        <w:jc w:val="both"/>
        <w:rPr>
          <w:rFonts w:ascii="Arial" w:hAnsi="Arial" w:cs="Arial"/>
          <w:b/>
          <w:bCs/>
          <w:sz w:val="22"/>
        </w:rPr>
      </w:pPr>
    </w:p>
    <w:p w14:paraId="123865CA" w14:textId="77777777" w:rsidR="00ED5964" w:rsidRPr="00D56687" w:rsidRDefault="00ED5964" w:rsidP="00ED5964">
      <w:pPr>
        <w:jc w:val="both"/>
        <w:rPr>
          <w:rFonts w:ascii="Arial" w:hAnsi="Arial" w:cs="Arial"/>
          <w:b/>
          <w:bCs/>
          <w:sz w:val="22"/>
        </w:rPr>
      </w:pPr>
    </w:p>
    <w:p w14:paraId="2A21042D" w14:textId="77777777" w:rsidR="00ED5964" w:rsidRPr="00D56687" w:rsidRDefault="00ED5964" w:rsidP="00ED5964">
      <w:pPr>
        <w:jc w:val="both"/>
        <w:rPr>
          <w:rFonts w:ascii="Arial" w:hAnsi="Arial" w:cs="Arial"/>
          <w:b/>
          <w:bCs/>
          <w:sz w:val="22"/>
        </w:rPr>
      </w:pPr>
    </w:p>
    <w:p w14:paraId="48382F67" w14:textId="77777777" w:rsidR="00ED5964" w:rsidRPr="00D56687" w:rsidRDefault="00ED5964" w:rsidP="00ED5964">
      <w:pPr>
        <w:jc w:val="both"/>
        <w:rPr>
          <w:rFonts w:ascii="Arial" w:hAnsi="Arial" w:cs="Arial"/>
          <w:b/>
          <w:bCs/>
          <w:sz w:val="22"/>
        </w:rPr>
      </w:pPr>
    </w:p>
    <w:p w14:paraId="6A057EFD" w14:textId="77777777" w:rsidR="00ED5964" w:rsidRPr="00D56687" w:rsidRDefault="00ED5964" w:rsidP="00ED5964">
      <w:pPr>
        <w:jc w:val="both"/>
        <w:rPr>
          <w:rFonts w:ascii="Arial" w:hAnsi="Arial" w:cs="Arial"/>
          <w:b/>
          <w:bCs/>
          <w:sz w:val="22"/>
        </w:rPr>
      </w:pPr>
    </w:p>
    <w:p w14:paraId="55078F3B" w14:textId="77777777" w:rsidR="00ED5964" w:rsidRPr="00D56687" w:rsidRDefault="00ED5964" w:rsidP="00ED5964">
      <w:pPr>
        <w:jc w:val="both"/>
        <w:rPr>
          <w:rFonts w:ascii="Arial" w:hAnsi="Arial" w:cs="Arial"/>
          <w:b/>
          <w:bCs/>
          <w:sz w:val="22"/>
        </w:rPr>
      </w:pPr>
    </w:p>
    <w:p w14:paraId="4CEF6B46" w14:textId="77777777" w:rsidR="005709B1" w:rsidRPr="00D56687" w:rsidRDefault="005709B1" w:rsidP="005709B1">
      <w:pPr>
        <w:rPr>
          <w:rFonts w:ascii="Arial" w:hAnsi="Arial" w:cs="Arial"/>
          <w:sz w:val="22"/>
        </w:rPr>
      </w:pPr>
    </w:p>
    <w:p w14:paraId="3E34A5EF" w14:textId="77777777" w:rsidR="002E71BA" w:rsidRPr="00D56687" w:rsidRDefault="002E71BA">
      <w:pPr>
        <w:rPr>
          <w:rFonts w:ascii="Arial" w:hAnsi="Arial" w:cs="Arial"/>
          <w:b/>
          <w:bCs/>
          <w:sz w:val="22"/>
        </w:rPr>
      </w:pPr>
      <w:r w:rsidRPr="00D56687">
        <w:rPr>
          <w:rFonts w:ascii="Arial" w:hAnsi="Arial" w:cs="Arial"/>
          <w:b/>
          <w:bCs/>
          <w:sz w:val="22"/>
        </w:rPr>
        <w:br w:type="page"/>
      </w:r>
    </w:p>
    <w:p w14:paraId="0CAE5527" w14:textId="1C40323D" w:rsidR="00AC7BE2" w:rsidRPr="00D56687" w:rsidRDefault="00AC7BE2" w:rsidP="00774092">
      <w:pPr>
        <w:jc w:val="both"/>
        <w:rPr>
          <w:rFonts w:ascii="Arial" w:hAnsi="Arial" w:cs="Arial"/>
          <w:b/>
          <w:bCs/>
          <w:sz w:val="22"/>
        </w:rPr>
      </w:pPr>
    </w:p>
    <w:p w14:paraId="2F840957" w14:textId="2CFF1414" w:rsidR="00500295" w:rsidRPr="00D56687" w:rsidRDefault="00AA77C8" w:rsidP="00D56687">
      <w:pPr>
        <w:pStyle w:val="Heading2"/>
        <w:rPr>
          <w:rFonts w:ascii="Arial" w:hAnsi="Arial" w:cs="Arial"/>
          <w:color w:val="4472C4" w:themeColor="accent1"/>
          <w:sz w:val="22"/>
          <w:szCs w:val="22"/>
        </w:rPr>
      </w:pPr>
      <w:bookmarkStart w:id="0" w:name="_Toc227401766"/>
      <w:r w:rsidRPr="00D56687">
        <w:rPr>
          <w:rFonts w:ascii="Arial" w:hAnsi="Arial" w:cs="Arial"/>
          <w:color w:val="4471C4"/>
          <w:sz w:val="22"/>
          <w:szCs w:val="22"/>
        </w:rPr>
        <w:t>1</w:t>
      </w:r>
      <w:r w:rsidR="00500295" w:rsidRPr="00D56687">
        <w:rPr>
          <w:rFonts w:ascii="Arial" w:hAnsi="Arial" w:cs="Arial"/>
          <w:color w:val="4471C4"/>
          <w:sz w:val="22"/>
          <w:szCs w:val="22"/>
        </w:rPr>
        <w:t xml:space="preserve">.1 </w:t>
      </w:r>
      <w:r w:rsidR="00A035CD" w:rsidRPr="00D56687">
        <w:rPr>
          <w:rFonts w:ascii="Arial" w:hAnsi="Arial" w:cs="Arial"/>
          <w:color w:val="4471C4"/>
          <w:sz w:val="22"/>
          <w:szCs w:val="22"/>
        </w:rPr>
        <w:t>Introduction</w:t>
      </w:r>
      <w:bookmarkEnd w:id="0"/>
    </w:p>
    <w:p w14:paraId="0D81A05A" w14:textId="77777777" w:rsidR="00672718" w:rsidRDefault="00672718" w:rsidP="00631AA3">
      <w:pPr>
        <w:spacing w:after="0" w:line="240" w:lineRule="auto"/>
        <w:jc w:val="both"/>
        <w:rPr>
          <w:rFonts w:ascii="Arial" w:hAnsi="Arial" w:cs="Arial"/>
          <w:sz w:val="22"/>
        </w:rPr>
      </w:pPr>
    </w:p>
    <w:p w14:paraId="5F138BF1" w14:textId="0C4350DB" w:rsidR="00631AA3" w:rsidRDefault="00631AA3" w:rsidP="00631AA3">
      <w:pPr>
        <w:spacing w:after="0" w:line="240" w:lineRule="auto"/>
        <w:jc w:val="both"/>
        <w:rPr>
          <w:rFonts w:ascii="Arial" w:hAnsi="Arial" w:cs="Arial"/>
          <w:sz w:val="22"/>
        </w:rPr>
      </w:pPr>
      <w:r w:rsidRPr="00631AA3">
        <w:rPr>
          <w:rFonts w:ascii="Arial" w:hAnsi="Arial" w:cs="Arial"/>
          <w:sz w:val="22"/>
        </w:rPr>
        <w:t>Roles within Health and Social Care are essential for supporting individuals’ wellbeing, promoting independence, and ensuring that people with diverse needs receive appropriate, person</w:t>
      </w:r>
      <w:r w:rsidRPr="00631AA3">
        <w:rPr>
          <w:rFonts w:ascii="Arial" w:hAnsi="Arial" w:cs="Arial"/>
          <w:sz w:val="22"/>
        </w:rPr>
        <w:noBreakHyphen/>
        <w:t xml:space="preserve">centred support. Within this sector, the role of a SEND counsellor has become increasingly important as schools and specialist settings recognise the need for therapeutic support tailored to children and young people with special educational needs and disabilities. </w:t>
      </w:r>
    </w:p>
    <w:p w14:paraId="0A0DC5ED" w14:textId="77777777" w:rsidR="00631AA3" w:rsidRDefault="00631AA3" w:rsidP="00631AA3">
      <w:pPr>
        <w:spacing w:after="0" w:line="240" w:lineRule="auto"/>
        <w:jc w:val="both"/>
        <w:rPr>
          <w:rFonts w:ascii="Arial" w:hAnsi="Arial" w:cs="Arial"/>
          <w:sz w:val="22"/>
        </w:rPr>
      </w:pPr>
    </w:p>
    <w:p w14:paraId="0C03DED9" w14:textId="0BEC79EA" w:rsidR="00DD5135" w:rsidRPr="00631AA3" w:rsidRDefault="00631AA3" w:rsidP="00631AA3">
      <w:pPr>
        <w:spacing w:after="0" w:line="240" w:lineRule="auto"/>
        <w:jc w:val="both"/>
        <w:rPr>
          <w:rFonts w:ascii="Arial" w:hAnsi="Arial" w:cs="Arial"/>
          <w:sz w:val="22"/>
        </w:rPr>
      </w:pPr>
      <w:r w:rsidRPr="00631AA3">
        <w:rPr>
          <w:rFonts w:ascii="Arial" w:hAnsi="Arial" w:cs="Arial"/>
          <w:sz w:val="22"/>
        </w:rPr>
        <w:t>This report will explore the role of a SEND counsellor, outlining what the position involves and why it is vital within the wider Health and Social Care landscape. It will provide background on the sector, introduce the responsibilities of the SEND counsellor, examine three key skills required for effective practice, and present three strategies to support their development.</w:t>
      </w:r>
    </w:p>
    <w:p w14:paraId="4CC61BC1" w14:textId="55FEF9DD" w:rsidR="00F36ADC" w:rsidRPr="00D56687" w:rsidRDefault="00F36ADC" w:rsidP="0156E134">
      <w:pPr>
        <w:spacing w:after="0" w:line="240" w:lineRule="auto"/>
        <w:rPr>
          <w:rFonts w:ascii="Arial" w:hAnsi="Arial" w:cs="Arial"/>
          <w:sz w:val="22"/>
        </w:rPr>
      </w:pPr>
    </w:p>
    <w:p w14:paraId="64F36E68" w14:textId="37EA8FF6" w:rsidR="3C659699" w:rsidRPr="00D56687" w:rsidRDefault="3C659699" w:rsidP="0CF501EC">
      <w:pPr>
        <w:pStyle w:val="Heading2"/>
        <w:rPr>
          <w:rFonts w:ascii="Arial" w:hAnsi="Arial" w:cs="Arial"/>
          <w:color w:val="4472C4" w:themeColor="accent1"/>
          <w:sz w:val="22"/>
          <w:szCs w:val="22"/>
        </w:rPr>
      </w:pPr>
      <w:bookmarkStart w:id="1" w:name="_Toc227401767"/>
      <w:r w:rsidRPr="00D56687">
        <w:rPr>
          <w:rFonts w:ascii="Arial" w:hAnsi="Arial" w:cs="Arial"/>
          <w:color w:val="4471C4"/>
          <w:sz w:val="22"/>
          <w:szCs w:val="22"/>
        </w:rPr>
        <w:t xml:space="preserve">2 </w:t>
      </w:r>
      <w:r w:rsidR="00DA37C9" w:rsidRPr="00D56687">
        <w:rPr>
          <w:rFonts w:ascii="Arial" w:hAnsi="Arial" w:cs="Arial"/>
          <w:color w:val="4471C4"/>
          <w:sz w:val="22"/>
          <w:szCs w:val="22"/>
        </w:rPr>
        <w:t xml:space="preserve">Children’s Counsellor </w:t>
      </w:r>
      <w:r w:rsidRPr="00D56687">
        <w:rPr>
          <w:rFonts w:ascii="Arial" w:hAnsi="Arial" w:cs="Arial"/>
          <w:color w:val="4471C4"/>
          <w:sz w:val="22"/>
          <w:szCs w:val="22"/>
        </w:rPr>
        <w:t>in the Health and Social Care Field</w:t>
      </w:r>
      <w:bookmarkEnd w:id="1"/>
    </w:p>
    <w:p w14:paraId="3C079BEF" w14:textId="401104E7" w:rsidR="0156E134" w:rsidRPr="00D56687" w:rsidRDefault="0156E134" w:rsidP="0156E134">
      <w:pPr>
        <w:spacing w:after="0" w:line="240" w:lineRule="auto"/>
        <w:jc w:val="both"/>
        <w:rPr>
          <w:rFonts w:ascii="Arial" w:hAnsi="Arial" w:cs="Arial"/>
          <w:sz w:val="22"/>
        </w:rPr>
      </w:pPr>
    </w:p>
    <w:p w14:paraId="50A9FBC6" w14:textId="463E541B" w:rsidR="008B0B22" w:rsidRPr="00D56687" w:rsidRDefault="5CF7C3DB" w:rsidP="0156E134">
      <w:pPr>
        <w:pStyle w:val="Heading2"/>
        <w:rPr>
          <w:rFonts w:ascii="Arial" w:hAnsi="Arial" w:cs="Arial"/>
          <w:color w:val="4472C4" w:themeColor="accent1"/>
          <w:sz w:val="22"/>
          <w:szCs w:val="22"/>
        </w:rPr>
      </w:pPr>
      <w:bookmarkStart w:id="2" w:name="_Toc227401768"/>
      <w:r w:rsidRPr="00D56687">
        <w:rPr>
          <w:rFonts w:ascii="Arial" w:hAnsi="Arial" w:cs="Arial"/>
          <w:color w:val="4471C4"/>
          <w:sz w:val="22"/>
          <w:szCs w:val="22"/>
        </w:rPr>
        <w:t>2.1</w:t>
      </w:r>
      <w:r w:rsidR="00A93729">
        <w:rPr>
          <w:rFonts w:ascii="Arial" w:hAnsi="Arial" w:cs="Arial"/>
          <w:color w:val="4471C4"/>
          <w:sz w:val="22"/>
          <w:szCs w:val="22"/>
        </w:rPr>
        <w:t xml:space="preserve"> </w:t>
      </w:r>
      <w:r w:rsidR="00DA37C9" w:rsidRPr="00D56687">
        <w:rPr>
          <w:rFonts w:ascii="Arial" w:hAnsi="Arial" w:cs="Arial"/>
          <w:color w:val="4471C4"/>
          <w:sz w:val="22"/>
          <w:szCs w:val="22"/>
        </w:rPr>
        <w:t>Children</w:t>
      </w:r>
      <w:r w:rsidR="00A93729">
        <w:rPr>
          <w:rFonts w:ascii="Arial" w:hAnsi="Arial" w:cs="Arial"/>
          <w:color w:val="4471C4"/>
          <w:sz w:val="22"/>
          <w:szCs w:val="22"/>
        </w:rPr>
        <w:t>’</w:t>
      </w:r>
      <w:r w:rsidR="00DA37C9" w:rsidRPr="00D56687">
        <w:rPr>
          <w:rFonts w:ascii="Arial" w:hAnsi="Arial" w:cs="Arial"/>
          <w:color w:val="4471C4"/>
          <w:sz w:val="22"/>
          <w:szCs w:val="22"/>
        </w:rPr>
        <w:t>s Counsellor</w:t>
      </w:r>
      <w:r w:rsidR="008B0B22" w:rsidRPr="00D56687">
        <w:rPr>
          <w:rFonts w:ascii="Arial" w:hAnsi="Arial" w:cs="Arial"/>
          <w:color w:val="4471C4"/>
          <w:sz w:val="22"/>
          <w:szCs w:val="22"/>
        </w:rPr>
        <w:t xml:space="preserve"> in Health</w:t>
      </w:r>
      <w:r w:rsidR="3464B4D3" w:rsidRPr="00D56687">
        <w:rPr>
          <w:rFonts w:ascii="Arial" w:hAnsi="Arial" w:cs="Arial"/>
          <w:color w:val="4471C4"/>
          <w:sz w:val="22"/>
          <w:szCs w:val="22"/>
        </w:rPr>
        <w:t xml:space="preserve"> and Social </w:t>
      </w:r>
      <w:r w:rsidR="3D6135D7" w:rsidRPr="00D56687">
        <w:rPr>
          <w:rFonts w:ascii="Arial" w:hAnsi="Arial" w:cs="Arial"/>
          <w:color w:val="4471C4"/>
          <w:sz w:val="22"/>
          <w:szCs w:val="22"/>
        </w:rPr>
        <w:t>C</w:t>
      </w:r>
      <w:r w:rsidR="008B0B22" w:rsidRPr="00D56687">
        <w:rPr>
          <w:rFonts w:ascii="Arial" w:hAnsi="Arial" w:cs="Arial"/>
          <w:color w:val="4471C4"/>
          <w:sz w:val="22"/>
          <w:szCs w:val="22"/>
        </w:rPr>
        <w:t>are</w:t>
      </w:r>
      <w:bookmarkEnd w:id="2"/>
      <w:r w:rsidR="008B0B22" w:rsidRPr="00D56687">
        <w:rPr>
          <w:rFonts w:ascii="Arial" w:hAnsi="Arial" w:cs="Arial"/>
          <w:color w:val="4471C4"/>
          <w:sz w:val="22"/>
          <w:szCs w:val="22"/>
        </w:rPr>
        <w:t xml:space="preserve"> </w:t>
      </w:r>
    </w:p>
    <w:p w14:paraId="05D9AB6F" w14:textId="77777777" w:rsidR="00672718" w:rsidRDefault="00672718" w:rsidP="008B0B22">
      <w:pPr>
        <w:spacing w:after="0" w:line="240" w:lineRule="auto"/>
        <w:jc w:val="both"/>
        <w:rPr>
          <w:rFonts w:ascii="Arial" w:hAnsi="Arial" w:cs="Arial"/>
          <w:sz w:val="22"/>
        </w:rPr>
      </w:pPr>
    </w:p>
    <w:p w14:paraId="3E3A5E4B" w14:textId="40F1586A" w:rsidR="008B0B22" w:rsidRPr="00D56687" w:rsidRDefault="00631AA3" w:rsidP="008B0B22">
      <w:pPr>
        <w:spacing w:after="0" w:line="240" w:lineRule="auto"/>
        <w:jc w:val="both"/>
        <w:rPr>
          <w:rFonts w:ascii="Arial" w:hAnsi="Arial" w:cs="Arial"/>
          <w:sz w:val="22"/>
        </w:rPr>
      </w:pPr>
      <w:r w:rsidRPr="00631AA3">
        <w:rPr>
          <w:rFonts w:ascii="Arial" w:hAnsi="Arial" w:cs="Arial"/>
          <w:sz w:val="22"/>
        </w:rPr>
        <w:t>A SEND counsellor plays an important role in Health and Social Care by helping children and young people with SEND express their needs, especially when they face emotional, communication, or sensory challenges. They provide specialist emotional support that reduces barriers to learning and strengthens relationships between pupils, families, and staff, creating an inclusive and emotionally safe environment. Key duties include collaborating with teachers, therapists, and other professionals, promoting inclusion, following safeguarding procedures, and advocating for pupils’ rights. To work effectively, SEND counsellors need strong collaboration, adaptability, and observation skills to understand diverse needs and provide appropriate emotional support.</w:t>
      </w:r>
    </w:p>
    <w:p w14:paraId="4F1C47B0" w14:textId="1D1F9CB1" w:rsidR="0156E134" w:rsidRPr="00D56687" w:rsidRDefault="0156E134" w:rsidP="0156E134">
      <w:pPr>
        <w:spacing w:after="0" w:line="240" w:lineRule="auto"/>
        <w:jc w:val="both"/>
        <w:rPr>
          <w:rFonts w:ascii="Arial" w:hAnsi="Arial" w:cs="Arial"/>
          <w:sz w:val="22"/>
        </w:rPr>
      </w:pPr>
    </w:p>
    <w:p w14:paraId="757EAF84" w14:textId="2BE516CB" w:rsidR="009C7E52" w:rsidRPr="00631AA3" w:rsidRDefault="04019B15" w:rsidP="00631AA3">
      <w:pPr>
        <w:pStyle w:val="Heading2"/>
        <w:rPr>
          <w:rFonts w:ascii="Arial" w:hAnsi="Arial" w:cs="Arial"/>
          <w:color w:val="4472C4" w:themeColor="accent1"/>
          <w:sz w:val="22"/>
          <w:szCs w:val="22"/>
        </w:rPr>
      </w:pPr>
      <w:bookmarkStart w:id="3" w:name="_Toc227401769"/>
      <w:r w:rsidRPr="00D56687">
        <w:rPr>
          <w:rFonts w:ascii="Arial" w:hAnsi="Arial" w:cs="Arial"/>
          <w:color w:val="4471C4"/>
          <w:sz w:val="22"/>
          <w:szCs w:val="22"/>
        </w:rPr>
        <w:t>2.2</w:t>
      </w:r>
      <w:r w:rsidR="00344174">
        <w:rPr>
          <w:rFonts w:ascii="Arial" w:hAnsi="Arial" w:cs="Arial"/>
          <w:color w:val="4471C4"/>
          <w:sz w:val="22"/>
          <w:szCs w:val="22"/>
        </w:rPr>
        <w:t xml:space="preserve"> Skills Required for</w:t>
      </w:r>
      <w:r w:rsidR="00DA37C9" w:rsidRPr="00D56687">
        <w:rPr>
          <w:rFonts w:ascii="Arial" w:hAnsi="Arial" w:cs="Arial"/>
          <w:color w:val="4471C4"/>
          <w:sz w:val="22"/>
          <w:szCs w:val="22"/>
        </w:rPr>
        <w:t xml:space="preserve"> </w:t>
      </w:r>
      <w:r w:rsidR="0026481C" w:rsidRPr="00D56687">
        <w:rPr>
          <w:rFonts w:ascii="Arial" w:hAnsi="Arial" w:cs="Arial"/>
          <w:color w:val="4471C4"/>
          <w:sz w:val="22"/>
          <w:szCs w:val="22"/>
        </w:rPr>
        <w:t>Children’s</w:t>
      </w:r>
      <w:r w:rsidR="00DA37C9" w:rsidRPr="00D56687">
        <w:rPr>
          <w:rFonts w:ascii="Arial" w:hAnsi="Arial" w:cs="Arial"/>
          <w:color w:val="4471C4"/>
          <w:sz w:val="22"/>
          <w:szCs w:val="22"/>
        </w:rPr>
        <w:t xml:space="preserve"> counsellor</w:t>
      </w:r>
      <w:r w:rsidR="007138EF" w:rsidRPr="00D56687">
        <w:rPr>
          <w:rFonts w:ascii="Arial" w:hAnsi="Arial" w:cs="Arial"/>
          <w:color w:val="4471C4"/>
          <w:sz w:val="22"/>
          <w:szCs w:val="22"/>
        </w:rPr>
        <w:t xml:space="preserve"> in Health</w:t>
      </w:r>
      <w:r w:rsidR="655ACEAB" w:rsidRPr="00D56687">
        <w:rPr>
          <w:rFonts w:ascii="Arial" w:hAnsi="Arial" w:cs="Arial"/>
          <w:color w:val="4471C4"/>
          <w:sz w:val="22"/>
          <w:szCs w:val="22"/>
        </w:rPr>
        <w:t xml:space="preserve"> and Social C</w:t>
      </w:r>
      <w:r w:rsidR="007138EF" w:rsidRPr="00D56687">
        <w:rPr>
          <w:rFonts w:ascii="Arial" w:hAnsi="Arial" w:cs="Arial"/>
          <w:color w:val="4471C4"/>
          <w:sz w:val="22"/>
          <w:szCs w:val="22"/>
        </w:rPr>
        <w:t>are</w:t>
      </w:r>
      <w:bookmarkEnd w:id="3"/>
    </w:p>
    <w:p w14:paraId="632C1615" w14:textId="77777777" w:rsidR="00631AA3" w:rsidRDefault="00631AA3" w:rsidP="004007A0">
      <w:pPr>
        <w:spacing w:after="0" w:line="240" w:lineRule="auto"/>
        <w:jc w:val="both"/>
        <w:rPr>
          <w:rFonts w:ascii="Arial" w:hAnsi="Arial" w:cs="Arial"/>
          <w:sz w:val="22"/>
        </w:rPr>
      </w:pPr>
    </w:p>
    <w:p w14:paraId="2FC804BC" w14:textId="31F145FF" w:rsidR="002844BA" w:rsidRPr="00730130" w:rsidRDefault="00A80692" w:rsidP="00730130">
      <w:pPr>
        <w:jc w:val="both"/>
        <w:rPr>
          <w:rFonts w:ascii="Arial" w:eastAsia="Segoe UI" w:hAnsi="Arial" w:cs="Arial"/>
          <w:sz w:val="22"/>
        </w:rPr>
      </w:pPr>
      <w:r w:rsidRPr="00A80692">
        <w:rPr>
          <w:rFonts w:ascii="Arial" w:eastAsia="Segoe UI" w:hAnsi="Arial" w:cs="Arial"/>
          <w:sz w:val="22"/>
        </w:rPr>
        <w:t>To build a therapeutic relationship, counsellors need strong communication, active listening, and empathy. These skills help pupils express themselves and work through challenges, and they are especially important in SEND settings where many children communicate differently or struggle to express emotions. Hamilton (year) notes that active listening involves fully engaging with the speaker’s words and feelings, focusing on their perspective rather than planning a response. Patience and emotional resilience are also essential, as they help counsellors stay calm, give pupils time to process, and manage their own emotions to avoid burnout. UCL’s SEMH review (2021) highlights that staff emotional competence directly affects the quality of support. Empathy and a non</w:t>
      </w:r>
      <w:r w:rsidRPr="00A80692">
        <w:rPr>
          <w:rFonts w:ascii="Arial" w:eastAsia="Segoe UI" w:hAnsi="Arial" w:cs="Arial"/>
          <w:sz w:val="22"/>
        </w:rPr>
        <w:noBreakHyphen/>
        <w:t>judgemental approach further strengthen trust and create a safe space for emotional expression, supporting collaboration, adaptability, and accurate observation of pupils’ needs.</w:t>
      </w:r>
      <w:r w:rsidR="00730130">
        <w:rPr>
          <w:rFonts w:ascii="Arial" w:eastAsia="Segoe UI" w:hAnsi="Arial" w:cs="Arial"/>
          <w:sz w:val="22"/>
        </w:rPr>
        <w:t xml:space="preserve"> </w:t>
      </w:r>
      <w:r w:rsidR="000E7045" w:rsidRPr="00631AA3">
        <w:rPr>
          <w:rFonts w:ascii="Arial" w:eastAsia="Segoe UI" w:hAnsi="Arial" w:cs="Arial"/>
          <w:sz w:val="22"/>
        </w:rPr>
        <w:t>A systematic review of emotional support interventions</w:t>
      </w:r>
      <w:r w:rsidR="000E7045" w:rsidRPr="00631AA3">
        <w:rPr>
          <w:rFonts w:ascii="Arial" w:eastAsia="Segoe UI" w:hAnsi="Arial" w:cs="Arial"/>
          <w:b/>
          <w:bCs/>
          <w:sz w:val="22"/>
        </w:rPr>
        <w:t xml:space="preserve"> </w:t>
      </w:r>
      <w:r w:rsidR="000E7045" w:rsidRPr="00071953">
        <w:rPr>
          <w:rFonts w:ascii="Arial" w:eastAsia="Segoe UI" w:hAnsi="Arial" w:cs="Arial"/>
          <w:sz w:val="22"/>
        </w:rPr>
        <w:t>(British Journal of Special Education, 2020)</w:t>
      </w:r>
      <w:r w:rsidR="000E7045" w:rsidRPr="00631AA3">
        <w:rPr>
          <w:rFonts w:ascii="Arial" w:eastAsia="Segoe UI" w:hAnsi="Arial" w:cs="Arial"/>
          <w:sz w:val="22"/>
        </w:rPr>
        <w:t xml:space="preserve"> found that positive, empathetic relationships improve emotional wellbeing and inclusion for SEND pupils. This supports the need for a non</w:t>
      </w:r>
      <w:r w:rsidR="000E7045" w:rsidRPr="00631AA3">
        <w:rPr>
          <w:rFonts w:ascii="Arial" w:eastAsia="Segoe UI" w:hAnsi="Arial" w:cs="Arial"/>
          <w:sz w:val="22"/>
        </w:rPr>
        <w:noBreakHyphen/>
        <w:t>judgemental, empathetic counselling approach.</w:t>
      </w:r>
      <w:bookmarkStart w:id="4" w:name="_Toc227401770"/>
      <w:r w:rsidR="00377434">
        <w:rPr>
          <w:rFonts w:ascii="Arial" w:eastAsia="Segoe UI" w:hAnsi="Arial" w:cs="Arial"/>
          <w:sz w:val="22"/>
        </w:rPr>
        <w:t xml:space="preserve"> </w:t>
      </w:r>
      <w:r w:rsidR="002844BA" w:rsidRPr="002844BA">
        <w:rPr>
          <w:rFonts w:ascii="Arial" w:hAnsi="Arial" w:cs="Arial"/>
          <w:sz w:val="22"/>
        </w:rPr>
        <w:t>When staff lack key counselling skills such as empathy, collaboration, adaptability, observation, and emotional resilience, the quality of support for SEND pupils declines. Children may feel judged or misunderstood, leading to anxiety, withdrawal, or challenging behaviour. Poorly attuned support can also reduce trust, create barriers to learning, and delay access to appropriate help. For example, a young person with ASD may need long pauses before responding, and a skilled counsellor waits patiently. After a distressing incident, the counsellor stays calm and later uses supervision or reflective practice to manage the emotional impact and prevent burnout</w:t>
      </w:r>
      <w:r w:rsidR="002844BA" w:rsidRPr="002844BA">
        <w:rPr>
          <w:rFonts w:ascii="Arial" w:hAnsi="Arial" w:cs="Arial"/>
          <w:color w:val="4471C4"/>
          <w:sz w:val="22"/>
        </w:rPr>
        <w:t>.</w:t>
      </w:r>
    </w:p>
    <w:p w14:paraId="2CAEA1EC" w14:textId="6FF54795" w:rsidR="002370CE" w:rsidRPr="00D56687" w:rsidRDefault="1F09BC6E" w:rsidP="0CF501EC">
      <w:pPr>
        <w:pStyle w:val="Heading2"/>
        <w:rPr>
          <w:rFonts w:ascii="Arial" w:hAnsi="Arial" w:cs="Arial"/>
          <w:color w:val="4472C4" w:themeColor="accent1"/>
          <w:sz w:val="22"/>
          <w:szCs w:val="22"/>
        </w:rPr>
      </w:pPr>
      <w:r w:rsidRPr="00D56687">
        <w:rPr>
          <w:rFonts w:ascii="Arial" w:hAnsi="Arial" w:cs="Arial"/>
          <w:color w:val="4471C4"/>
          <w:sz w:val="22"/>
          <w:szCs w:val="22"/>
        </w:rPr>
        <w:lastRenderedPageBreak/>
        <w:t>3</w:t>
      </w:r>
      <w:r w:rsidR="005D5457" w:rsidRPr="00D56687">
        <w:rPr>
          <w:rFonts w:ascii="Arial" w:hAnsi="Arial" w:cs="Arial"/>
          <w:color w:val="4471C4"/>
          <w:sz w:val="22"/>
          <w:szCs w:val="22"/>
        </w:rPr>
        <w:t xml:space="preserve"> </w:t>
      </w:r>
      <w:r w:rsidR="003003FD" w:rsidRPr="00D56687">
        <w:rPr>
          <w:rFonts w:ascii="Arial" w:hAnsi="Arial" w:cs="Arial"/>
          <w:color w:val="4471C4"/>
          <w:sz w:val="22"/>
          <w:szCs w:val="22"/>
        </w:rPr>
        <w:t>Strategies</w:t>
      </w:r>
      <w:r w:rsidR="00183CB9" w:rsidRPr="00D56687">
        <w:rPr>
          <w:rFonts w:ascii="Arial" w:hAnsi="Arial" w:cs="Arial"/>
          <w:color w:val="4471C4"/>
          <w:sz w:val="22"/>
          <w:szCs w:val="22"/>
        </w:rPr>
        <w:t xml:space="preserve"> </w:t>
      </w:r>
      <w:r w:rsidR="59AB5A3E" w:rsidRPr="00D56687">
        <w:rPr>
          <w:rFonts w:ascii="Arial" w:hAnsi="Arial" w:cs="Arial"/>
          <w:color w:val="4471C4"/>
          <w:sz w:val="22"/>
          <w:szCs w:val="22"/>
        </w:rPr>
        <w:t xml:space="preserve">for Skill Improvement for </w:t>
      </w:r>
      <w:r w:rsidR="0026481C" w:rsidRPr="00D56687">
        <w:rPr>
          <w:rFonts w:ascii="Arial" w:hAnsi="Arial" w:cs="Arial"/>
          <w:color w:val="4471C4"/>
          <w:sz w:val="22"/>
          <w:szCs w:val="22"/>
        </w:rPr>
        <w:t>Children’s</w:t>
      </w:r>
      <w:r w:rsidR="00DA37C9" w:rsidRPr="00D56687">
        <w:rPr>
          <w:rFonts w:ascii="Arial" w:hAnsi="Arial" w:cs="Arial"/>
          <w:color w:val="4471C4"/>
          <w:sz w:val="22"/>
          <w:szCs w:val="22"/>
        </w:rPr>
        <w:t xml:space="preserve"> </w:t>
      </w:r>
      <w:r w:rsidR="0026481C" w:rsidRPr="00D56687">
        <w:rPr>
          <w:rFonts w:ascii="Arial" w:hAnsi="Arial" w:cs="Arial"/>
          <w:color w:val="4471C4"/>
          <w:sz w:val="22"/>
          <w:szCs w:val="22"/>
        </w:rPr>
        <w:t>Counsellor</w:t>
      </w:r>
      <w:bookmarkEnd w:id="4"/>
    </w:p>
    <w:p w14:paraId="01C49510" w14:textId="46E9C3E5" w:rsidR="002370CE" w:rsidRPr="00D56687" w:rsidRDefault="0C5D0C5C" w:rsidP="0156E134">
      <w:pPr>
        <w:pStyle w:val="Heading2"/>
        <w:rPr>
          <w:rFonts w:ascii="Arial" w:hAnsi="Arial" w:cs="Arial"/>
          <w:color w:val="4472C4" w:themeColor="accent1"/>
          <w:sz w:val="22"/>
          <w:szCs w:val="22"/>
        </w:rPr>
      </w:pPr>
      <w:bookmarkStart w:id="5" w:name="_Toc227401771"/>
      <w:r w:rsidRPr="00D56687">
        <w:rPr>
          <w:rFonts w:ascii="Arial" w:hAnsi="Arial" w:cs="Arial"/>
          <w:color w:val="4471C4"/>
          <w:sz w:val="22"/>
          <w:szCs w:val="22"/>
        </w:rPr>
        <w:t xml:space="preserve">3.1 Three Strategies </w:t>
      </w:r>
      <w:r w:rsidR="00183CB9" w:rsidRPr="00D56687">
        <w:rPr>
          <w:rFonts w:ascii="Arial" w:hAnsi="Arial" w:cs="Arial"/>
          <w:color w:val="4471C4"/>
          <w:sz w:val="22"/>
          <w:szCs w:val="22"/>
        </w:rPr>
        <w:t xml:space="preserve">to </w:t>
      </w:r>
      <w:r w:rsidR="5CE671C3" w:rsidRPr="00D56687">
        <w:rPr>
          <w:rFonts w:ascii="Arial" w:hAnsi="Arial" w:cs="Arial"/>
          <w:color w:val="4471C4"/>
          <w:sz w:val="22"/>
          <w:szCs w:val="22"/>
        </w:rPr>
        <w:t>I</w:t>
      </w:r>
      <w:r w:rsidR="00183CB9" w:rsidRPr="00D56687">
        <w:rPr>
          <w:rFonts w:ascii="Arial" w:hAnsi="Arial" w:cs="Arial"/>
          <w:color w:val="4471C4"/>
          <w:sz w:val="22"/>
          <w:szCs w:val="22"/>
        </w:rPr>
        <w:t xml:space="preserve">mprove the </w:t>
      </w:r>
      <w:r w:rsidR="40F0AB75" w:rsidRPr="00D56687">
        <w:rPr>
          <w:rFonts w:ascii="Arial" w:hAnsi="Arial" w:cs="Arial"/>
          <w:color w:val="4471C4"/>
          <w:sz w:val="22"/>
          <w:szCs w:val="22"/>
        </w:rPr>
        <w:t>S</w:t>
      </w:r>
      <w:r w:rsidR="00183CB9" w:rsidRPr="00D56687">
        <w:rPr>
          <w:rFonts w:ascii="Arial" w:hAnsi="Arial" w:cs="Arial"/>
          <w:color w:val="4471C4"/>
          <w:sz w:val="22"/>
          <w:szCs w:val="22"/>
        </w:rPr>
        <w:t>kills</w:t>
      </w:r>
      <w:r w:rsidR="005D5457" w:rsidRPr="00D56687">
        <w:rPr>
          <w:rFonts w:ascii="Arial" w:hAnsi="Arial" w:cs="Arial"/>
          <w:color w:val="4471C4"/>
          <w:sz w:val="22"/>
          <w:szCs w:val="22"/>
        </w:rPr>
        <w:t xml:space="preserve"> </w:t>
      </w:r>
      <w:r w:rsidR="00070818" w:rsidRPr="00D56687">
        <w:rPr>
          <w:rFonts w:ascii="Arial" w:hAnsi="Arial" w:cs="Arial"/>
          <w:color w:val="4471C4"/>
          <w:sz w:val="22"/>
          <w:szCs w:val="22"/>
        </w:rPr>
        <w:t xml:space="preserve">for </w:t>
      </w:r>
      <w:r w:rsidR="0026481C" w:rsidRPr="00D56687">
        <w:rPr>
          <w:rFonts w:ascii="Arial" w:hAnsi="Arial" w:cs="Arial"/>
          <w:color w:val="4471C4"/>
          <w:sz w:val="22"/>
          <w:szCs w:val="22"/>
        </w:rPr>
        <w:t>Children’s</w:t>
      </w:r>
      <w:r w:rsidR="00DA37C9" w:rsidRPr="00D56687">
        <w:rPr>
          <w:rFonts w:ascii="Arial" w:hAnsi="Arial" w:cs="Arial"/>
          <w:color w:val="4471C4"/>
          <w:sz w:val="22"/>
          <w:szCs w:val="22"/>
        </w:rPr>
        <w:t xml:space="preserve"> Counsellor</w:t>
      </w:r>
      <w:bookmarkEnd w:id="5"/>
    </w:p>
    <w:p w14:paraId="729C4461" w14:textId="77777777" w:rsidR="00057100" w:rsidRDefault="00057100" w:rsidP="00500295">
      <w:pPr>
        <w:spacing w:after="0"/>
        <w:rPr>
          <w:rFonts w:ascii="Arial" w:hAnsi="Arial" w:cs="Arial"/>
          <w:sz w:val="22"/>
        </w:rPr>
      </w:pPr>
    </w:p>
    <w:p w14:paraId="06378EFB" w14:textId="53049A32" w:rsidR="00631AA3" w:rsidRDefault="00631AA3" w:rsidP="00500295">
      <w:pPr>
        <w:spacing w:after="0"/>
        <w:rPr>
          <w:rFonts w:ascii="Arial" w:hAnsi="Arial" w:cs="Arial"/>
          <w:sz w:val="22"/>
        </w:rPr>
      </w:pPr>
      <w:r w:rsidRPr="00631AA3">
        <w:rPr>
          <w:rFonts w:ascii="Arial" w:hAnsi="Arial" w:cs="Arial"/>
          <w:sz w:val="22"/>
        </w:rPr>
        <w:t>Regular training in communication methods, trauma</w:t>
      </w:r>
      <w:r w:rsidRPr="00631AA3">
        <w:rPr>
          <w:rFonts w:ascii="Arial" w:hAnsi="Arial" w:cs="Arial"/>
          <w:sz w:val="22"/>
        </w:rPr>
        <w:noBreakHyphen/>
        <w:t>informed practice, neurodiversity, and emotional regulation strengthens core counselling skills by keeping practitioners updated with evidence</w:t>
      </w:r>
      <w:r w:rsidRPr="00631AA3">
        <w:rPr>
          <w:rFonts w:ascii="Arial" w:hAnsi="Arial" w:cs="Arial"/>
          <w:sz w:val="22"/>
        </w:rPr>
        <w:noBreakHyphen/>
        <w:t>based approaches and better able to adapt to diverse SEND needs.</w:t>
      </w:r>
    </w:p>
    <w:p w14:paraId="0C58714D" w14:textId="040DEDEF" w:rsidR="00631AA3" w:rsidRDefault="00631AA3" w:rsidP="00500295">
      <w:pPr>
        <w:spacing w:after="0"/>
        <w:rPr>
          <w:rFonts w:ascii="Arial" w:hAnsi="Arial" w:cs="Arial"/>
          <w:sz w:val="22"/>
        </w:rPr>
      </w:pPr>
      <w:r w:rsidRPr="00631AA3">
        <w:rPr>
          <w:rFonts w:ascii="Arial" w:hAnsi="Arial" w:cs="Arial"/>
          <w:sz w:val="22"/>
        </w:rPr>
        <w:t>Structured reflection and clinical supervision help counsellors evaluate their responses, identify improvements, and manage emotional impact, supporting empathy, observation, and emotional resilience.</w:t>
      </w:r>
    </w:p>
    <w:p w14:paraId="2DB6A5D5" w14:textId="77777777" w:rsidR="00057100" w:rsidRDefault="00057100" w:rsidP="00500295">
      <w:pPr>
        <w:spacing w:after="0"/>
        <w:rPr>
          <w:rFonts w:ascii="Arial" w:hAnsi="Arial" w:cs="Arial"/>
          <w:sz w:val="22"/>
        </w:rPr>
      </w:pPr>
    </w:p>
    <w:p w14:paraId="533323D8" w14:textId="7E4A50E2" w:rsidR="00500295" w:rsidRPr="00D56687" w:rsidRDefault="00631AA3" w:rsidP="00500295">
      <w:pPr>
        <w:spacing w:after="0"/>
        <w:rPr>
          <w:rFonts w:ascii="Arial" w:hAnsi="Arial" w:cs="Arial"/>
          <w:sz w:val="22"/>
        </w:rPr>
      </w:pPr>
      <w:r w:rsidRPr="00631AA3">
        <w:rPr>
          <w:rFonts w:ascii="Arial" w:hAnsi="Arial" w:cs="Arial"/>
          <w:sz w:val="22"/>
        </w:rPr>
        <w:t>Collaboration with teachers, therapists, and families further enhances understanding of each child’s needs and ensures consistent support across settings. This strengthens collaboration and adaptability, as counsellors adjust their methods based on shared professional insight and common goals for the pupil.</w:t>
      </w:r>
    </w:p>
    <w:p w14:paraId="790ADE75" w14:textId="0E58BA01" w:rsidR="0156E134" w:rsidRPr="00D56687" w:rsidRDefault="0156E134" w:rsidP="0156E134">
      <w:pPr>
        <w:spacing w:after="0"/>
        <w:rPr>
          <w:rFonts w:ascii="Arial" w:hAnsi="Arial" w:cs="Arial"/>
          <w:sz w:val="22"/>
        </w:rPr>
      </w:pPr>
    </w:p>
    <w:p w14:paraId="448C8A9C" w14:textId="4B55AA95" w:rsidR="00631AA3" w:rsidRPr="00631AA3" w:rsidRDefault="008346C9" w:rsidP="00631AA3">
      <w:pPr>
        <w:spacing w:after="0"/>
        <w:rPr>
          <w:rFonts w:ascii="Arial" w:hAnsi="Arial" w:cs="Arial"/>
          <w:sz w:val="22"/>
        </w:rPr>
      </w:pPr>
      <w:r>
        <w:rPr>
          <w:rFonts w:ascii="Arial" w:hAnsi="Arial" w:cs="Arial"/>
          <w:sz w:val="22"/>
        </w:rPr>
        <w:t>Secondly, r</w:t>
      </w:r>
      <w:r w:rsidR="00631AA3" w:rsidRPr="00631AA3">
        <w:rPr>
          <w:rFonts w:ascii="Arial" w:hAnsi="Arial" w:cs="Arial"/>
          <w:sz w:val="22"/>
        </w:rPr>
        <w:t xml:space="preserve">eflective practice is an effective strategy for improving a counsellor’s empathy when working with children and young people with SEND. It enables practitioners to analyse their interactions, consider the pupil’s perspective, and identify any unconscious biases that may influence their responses. By regularly reviewing their communication and emotional reactions, counsellors gain a deeper understanding of how </w:t>
      </w:r>
      <w:r w:rsidR="00461899">
        <w:rPr>
          <w:rFonts w:ascii="Arial" w:hAnsi="Arial" w:cs="Arial"/>
          <w:sz w:val="22"/>
        </w:rPr>
        <w:t>a child</w:t>
      </w:r>
      <w:r w:rsidR="00631AA3" w:rsidRPr="00631AA3">
        <w:rPr>
          <w:rFonts w:ascii="Arial" w:hAnsi="Arial" w:cs="Arial"/>
          <w:sz w:val="22"/>
        </w:rPr>
        <w:t xml:space="preserve"> experience sessio</w:t>
      </w:r>
      <w:r w:rsidR="00461899">
        <w:rPr>
          <w:rFonts w:ascii="Arial" w:hAnsi="Arial" w:cs="Arial"/>
          <w:sz w:val="22"/>
        </w:rPr>
        <w:t>n</w:t>
      </w:r>
      <w:r w:rsidR="00631AA3" w:rsidRPr="00631AA3">
        <w:rPr>
          <w:rFonts w:ascii="Arial" w:hAnsi="Arial" w:cs="Arial"/>
          <w:sz w:val="22"/>
        </w:rPr>
        <w:t xml:space="preserve">, strengthening their ability to respond empathetically and without judgement. For example, after a session where a pupil becomes withdrawn, the counsellor may use reflective notes and supervision to explore whether their tone, pace, or questioning style contributed to the </w:t>
      </w:r>
      <w:r w:rsidR="002C2204">
        <w:rPr>
          <w:rFonts w:ascii="Arial" w:hAnsi="Arial" w:cs="Arial"/>
          <w:sz w:val="22"/>
        </w:rPr>
        <w:t>child</w:t>
      </w:r>
      <w:r w:rsidR="00386531">
        <w:rPr>
          <w:rFonts w:ascii="Arial" w:hAnsi="Arial" w:cs="Arial"/>
          <w:sz w:val="22"/>
        </w:rPr>
        <w:t>’s</w:t>
      </w:r>
      <w:r w:rsidR="00631AA3" w:rsidRPr="00631AA3">
        <w:rPr>
          <w:rFonts w:ascii="Arial" w:hAnsi="Arial" w:cs="Arial"/>
          <w:sz w:val="22"/>
        </w:rPr>
        <w:t xml:space="preserve"> discomfort. Research from UCL’s Rapid Evidence Review on SEMH (2021) shows that reflective practice improves emotional insight and supports the development of </w:t>
      </w:r>
      <w:r w:rsidR="00071953" w:rsidRPr="00631AA3">
        <w:rPr>
          <w:rFonts w:ascii="Arial" w:hAnsi="Arial" w:cs="Arial"/>
          <w:sz w:val="22"/>
        </w:rPr>
        <w:t>empathy.</w:t>
      </w:r>
    </w:p>
    <w:p w14:paraId="5EAE4A9A" w14:textId="26E66C5D" w:rsidR="00631AA3" w:rsidRPr="00416EB0" w:rsidRDefault="00631AA3" w:rsidP="00631AA3">
      <w:pPr>
        <w:spacing w:after="0"/>
        <w:rPr>
          <w:rFonts w:ascii="Arial" w:hAnsi="Arial" w:cs="Arial"/>
          <w:sz w:val="22"/>
        </w:rPr>
      </w:pPr>
      <w:r w:rsidRPr="00416EB0">
        <w:rPr>
          <w:rFonts w:ascii="Arial" w:hAnsi="Arial" w:cs="Arial"/>
          <w:sz w:val="22"/>
        </w:rPr>
        <w:t>Improving Adaptability Through Continuous Professional Development (CPD)</w:t>
      </w:r>
    </w:p>
    <w:p w14:paraId="5F70DE2B" w14:textId="138F1A00" w:rsidR="00631AA3" w:rsidRDefault="00631AA3" w:rsidP="00631AA3">
      <w:pPr>
        <w:spacing w:after="0"/>
        <w:rPr>
          <w:rFonts w:ascii="Arial" w:hAnsi="Arial" w:cs="Arial"/>
          <w:sz w:val="22"/>
        </w:rPr>
      </w:pPr>
      <w:r w:rsidRPr="00631AA3">
        <w:rPr>
          <w:rFonts w:ascii="Arial" w:hAnsi="Arial" w:cs="Arial"/>
          <w:sz w:val="22"/>
        </w:rPr>
        <w:t xml:space="preserve">Continuous Professional Development (CPD) is a key strategy for improving a counsellor’s adaptability when supporting SEND </w:t>
      </w:r>
      <w:r w:rsidR="002C2204">
        <w:rPr>
          <w:rFonts w:ascii="Arial" w:hAnsi="Arial" w:cs="Arial"/>
          <w:sz w:val="22"/>
        </w:rPr>
        <w:t>children</w:t>
      </w:r>
      <w:r w:rsidRPr="00631AA3">
        <w:rPr>
          <w:rFonts w:ascii="Arial" w:hAnsi="Arial" w:cs="Arial"/>
          <w:sz w:val="22"/>
        </w:rPr>
        <w:t>.</w:t>
      </w:r>
    </w:p>
    <w:p w14:paraId="17908BD5" w14:textId="77777777" w:rsidR="00386531" w:rsidRDefault="00386531" w:rsidP="00631AA3">
      <w:pPr>
        <w:spacing w:after="0"/>
        <w:rPr>
          <w:rFonts w:ascii="Arial" w:hAnsi="Arial" w:cs="Arial"/>
          <w:sz w:val="22"/>
        </w:rPr>
      </w:pPr>
    </w:p>
    <w:p w14:paraId="54501AE5" w14:textId="7AA79975" w:rsidR="00C1457F" w:rsidRDefault="00C1457F" w:rsidP="00631AA3">
      <w:pPr>
        <w:spacing w:after="0"/>
        <w:rPr>
          <w:rFonts w:ascii="Arial" w:hAnsi="Arial" w:cs="Arial"/>
          <w:sz w:val="22"/>
        </w:rPr>
      </w:pPr>
      <w:r>
        <w:rPr>
          <w:rFonts w:ascii="Arial" w:hAnsi="Arial" w:cs="Arial"/>
          <w:sz w:val="22"/>
        </w:rPr>
        <w:t>And lastly</w:t>
      </w:r>
      <w:r w:rsidR="001634B4">
        <w:rPr>
          <w:rFonts w:ascii="Arial" w:hAnsi="Arial" w:cs="Arial"/>
          <w:sz w:val="22"/>
        </w:rPr>
        <w:t>,</w:t>
      </w:r>
      <w:r w:rsidR="00FA6B85">
        <w:rPr>
          <w:rFonts w:ascii="Arial" w:hAnsi="Arial" w:cs="Arial"/>
          <w:sz w:val="22"/>
        </w:rPr>
        <w:t xml:space="preserve"> according to </w:t>
      </w:r>
      <w:r w:rsidR="002C2204" w:rsidRPr="002C2204">
        <w:rPr>
          <w:rFonts w:ascii="Arial" w:hAnsi="Arial" w:cs="Arial"/>
          <w:sz w:val="22"/>
        </w:rPr>
        <w:t xml:space="preserve">Department for Education (2015) </w:t>
      </w:r>
      <w:r w:rsidR="002C2204" w:rsidRPr="002C2204">
        <w:rPr>
          <w:rFonts w:ascii="Arial" w:hAnsi="Arial" w:cs="Arial"/>
          <w:i/>
          <w:iCs/>
          <w:sz w:val="22"/>
        </w:rPr>
        <w:t>Special educational needs and disability code of practice: 0 to 25 years</w:t>
      </w:r>
      <w:r w:rsidR="002C2204" w:rsidRPr="002C2204">
        <w:rPr>
          <w:rFonts w:ascii="Arial" w:hAnsi="Arial" w:cs="Arial"/>
          <w:sz w:val="22"/>
        </w:rPr>
        <w:t>. London: DfE.</w:t>
      </w:r>
      <w:r w:rsidR="00117D64">
        <w:rPr>
          <w:rFonts w:ascii="Arial" w:hAnsi="Arial" w:cs="Arial"/>
          <w:sz w:val="22"/>
        </w:rPr>
        <w:t xml:space="preserve"> </w:t>
      </w:r>
      <w:r w:rsidR="00117D64" w:rsidRPr="00117D64">
        <w:rPr>
          <w:rFonts w:ascii="Arial" w:hAnsi="Arial" w:cs="Arial"/>
          <w:sz w:val="22"/>
        </w:rPr>
        <w:t>Improving communication involves learning how to use AAC systems such as visual timetables, symbol boards, Makaton, or communication apps. These tools help counsellors communicate effectively with pupils who have limited speech, processing difficulties, or social communication needs. Training in AAC also supports you in adapting your language, pacing, and questioning style to match each child’s communication profile.</w:t>
      </w:r>
    </w:p>
    <w:p w14:paraId="2AFD4CB8" w14:textId="100B080F" w:rsidR="002205DF" w:rsidRDefault="002205DF" w:rsidP="00631AA3">
      <w:pPr>
        <w:spacing w:after="0"/>
        <w:rPr>
          <w:rFonts w:ascii="Arial" w:hAnsi="Arial" w:cs="Arial"/>
          <w:sz w:val="22"/>
        </w:rPr>
      </w:pPr>
      <w:r w:rsidRPr="002205DF">
        <w:rPr>
          <w:rFonts w:ascii="Arial" w:hAnsi="Arial" w:cs="Arial"/>
          <w:sz w:val="22"/>
        </w:rPr>
        <w:t>Developing patience and emotional resilience is essential for effective therapeutic work with children and young people with SEND. Grounding techniques such as controlled breathing, sensory regulation and brief mindfulness can help practitioners remain calm during challenging moments, supporting a steady and regulated therapeutic presence when pupils experience distress, long silences or dysregulated behaviour (Porges, 2011; Cole, Michel and Teti, 1994). Building regular reflective practice into daily routines—through supervision, journaling or debriefing with colleagues—enables counsellors to process emotional experiences, recognise personal triggers and understand their own responses, which strengthens resilience and reduces the risk of emotional overload (Schon, 1983; BACP, 2021). Adopting an attuned, child</w:t>
      </w:r>
      <w:r w:rsidRPr="002205DF">
        <w:rPr>
          <w:rFonts w:ascii="Arial" w:hAnsi="Arial" w:cs="Arial"/>
          <w:sz w:val="22"/>
        </w:rPr>
        <w:noBreakHyphen/>
        <w:t>centred pace is also crucial, as many SEND pupils require extended processing time. Communicating slowly, allowing silence and avoiding pressure to respond quickly helps build trust and reduces practitioner stress by shifting the focus from problem</w:t>
      </w:r>
      <w:r w:rsidRPr="002205DF">
        <w:rPr>
          <w:rFonts w:ascii="Arial" w:hAnsi="Arial" w:cs="Arial"/>
          <w:sz w:val="22"/>
        </w:rPr>
        <w:noBreakHyphen/>
        <w:t>solving to being fully present with the child (DfE, 2015; Siegel, 2012).</w:t>
      </w:r>
    </w:p>
    <w:p w14:paraId="67FF8738" w14:textId="77777777" w:rsidR="00461899" w:rsidRPr="00631AA3" w:rsidRDefault="00461899" w:rsidP="00631AA3">
      <w:pPr>
        <w:spacing w:after="0"/>
        <w:rPr>
          <w:rFonts w:ascii="Arial" w:hAnsi="Arial" w:cs="Arial"/>
          <w:sz w:val="22"/>
        </w:rPr>
      </w:pPr>
    </w:p>
    <w:p w14:paraId="379581B3" w14:textId="1D7A6EEA" w:rsidR="00631AA3" w:rsidRPr="00631AA3" w:rsidRDefault="00631AA3" w:rsidP="00631AA3">
      <w:pPr>
        <w:spacing w:after="0"/>
        <w:rPr>
          <w:rFonts w:ascii="Arial" w:hAnsi="Arial" w:cs="Arial"/>
          <w:sz w:val="22"/>
        </w:rPr>
      </w:pPr>
      <w:r w:rsidRPr="00631AA3">
        <w:rPr>
          <w:rFonts w:ascii="Arial" w:hAnsi="Arial" w:cs="Arial"/>
          <w:sz w:val="22"/>
        </w:rPr>
        <w:t>.</w:t>
      </w:r>
    </w:p>
    <w:p w14:paraId="15AAA067" w14:textId="6EC5A9F4" w:rsidR="00631AA3" w:rsidRPr="00631AA3" w:rsidRDefault="00631AA3" w:rsidP="00631AA3">
      <w:pPr>
        <w:spacing w:after="0"/>
        <w:rPr>
          <w:rFonts w:ascii="Arial" w:hAnsi="Arial" w:cs="Arial"/>
          <w:sz w:val="22"/>
        </w:rPr>
      </w:pPr>
      <w:r w:rsidRPr="00631AA3">
        <w:rPr>
          <w:rFonts w:ascii="Arial" w:hAnsi="Arial" w:cs="Arial"/>
          <w:sz w:val="22"/>
        </w:rPr>
        <w:lastRenderedPageBreak/>
        <w:t>Working alongside teachers, therapists, and family members provides counsellors with a broader understanding of a pupil’s behaviour across different settings. This shared insight helps counsellors recognise patterns, triggers, and emotional needs more accurately during sessions.</w:t>
      </w:r>
    </w:p>
    <w:p w14:paraId="4DD85B05" w14:textId="06C4A943" w:rsidR="00631AA3" w:rsidRPr="00631AA3" w:rsidRDefault="00631AA3" w:rsidP="00631AA3">
      <w:pPr>
        <w:spacing w:after="0"/>
        <w:rPr>
          <w:rFonts w:ascii="Arial" w:hAnsi="Arial" w:cs="Arial"/>
          <w:sz w:val="22"/>
        </w:rPr>
      </w:pPr>
      <w:r w:rsidRPr="00631AA3">
        <w:rPr>
          <w:rFonts w:ascii="Arial" w:hAnsi="Arial" w:cs="Arial"/>
          <w:sz w:val="22"/>
        </w:rPr>
        <w:t>For example, a counsellor may learn from an occupational therapist that a pupil becomes dysregulated by certain sensory stimul</w:t>
      </w:r>
      <w:r w:rsidR="00195F95">
        <w:rPr>
          <w:rFonts w:ascii="Arial" w:hAnsi="Arial" w:cs="Arial"/>
          <w:sz w:val="22"/>
        </w:rPr>
        <w:t>ation.</w:t>
      </w:r>
      <w:r w:rsidRPr="00631AA3">
        <w:rPr>
          <w:rFonts w:ascii="Arial" w:hAnsi="Arial" w:cs="Arial"/>
          <w:sz w:val="22"/>
        </w:rPr>
        <w:t xml:space="preserve"> With this information, the counsellor can observe more precisely when these triggers appear in sessions and adjust the environment or activities accordingly.</w:t>
      </w:r>
    </w:p>
    <w:p w14:paraId="0028B339" w14:textId="5285B3AB" w:rsidR="00631AA3" w:rsidRPr="00631AA3" w:rsidRDefault="00631AA3" w:rsidP="00631AA3">
      <w:pPr>
        <w:spacing w:after="0"/>
        <w:rPr>
          <w:rFonts w:ascii="Arial" w:hAnsi="Arial" w:cs="Arial"/>
          <w:sz w:val="22"/>
        </w:rPr>
      </w:pPr>
      <w:r w:rsidRPr="00631AA3">
        <w:rPr>
          <w:rFonts w:ascii="Arial" w:hAnsi="Arial" w:cs="Arial"/>
          <w:sz w:val="22"/>
        </w:rPr>
        <w:t>The House of Commons Education Committee (2023) emphasises that coordinated, multi</w:t>
      </w:r>
      <w:r w:rsidRPr="00631AA3">
        <w:rPr>
          <w:rFonts w:ascii="Arial" w:hAnsi="Arial" w:cs="Arial"/>
          <w:sz w:val="22"/>
        </w:rPr>
        <w:noBreakHyphen/>
        <w:t>agency working improves the accuracy of assessments and leads to more effective identification of SEND needs, demonstrating how collaboration strengthens observational practice.</w:t>
      </w:r>
    </w:p>
    <w:p w14:paraId="58A1B501" w14:textId="2F942CCF" w:rsidR="0156E134" w:rsidRPr="00D56687" w:rsidRDefault="0156E134" w:rsidP="0156E134">
      <w:pPr>
        <w:pStyle w:val="ListParagraph"/>
        <w:spacing w:after="0"/>
        <w:rPr>
          <w:rFonts w:ascii="Arial" w:hAnsi="Arial" w:cs="Arial"/>
          <w:sz w:val="22"/>
        </w:rPr>
      </w:pPr>
    </w:p>
    <w:p w14:paraId="1497148C" w14:textId="5D9ACA22" w:rsidR="00A946CB" w:rsidRPr="00D56687" w:rsidRDefault="5617AA6E" w:rsidP="0156E134">
      <w:pPr>
        <w:pStyle w:val="Heading2"/>
        <w:rPr>
          <w:rFonts w:ascii="Arial" w:hAnsi="Arial" w:cs="Arial"/>
          <w:color w:val="4472C4" w:themeColor="accent1"/>
          <w:sz w:val="22"/>
          <w:szCs w:val="22"/>
        </w:rPr>
      </w:pPr>
      <w:bookmarkStart w:id="6" w:name="_Toc227401772"/>
      <w:r w:rsidRPr="00D56687">
        <w:rPr>
          <w:rFonts w:ascii="Arial" w:hAnsi="Arial" w:cs="Arial"/>
          <w:color w:val="4471C4"/>
          <w:sz w:val="22"/>
          <w:szCs w:val="22"/>
        </w:rPr>
        <w:t>4</w:t>
      </w:r>
      <w:r w:rsidR="00A946CB" w:rsidRPr="00D56687">
        <w:rPr>
          <w:rFonts w:ascii="Arial" w:hAnsi="Arial" w:cs="Arial"/>
          <w:color w:val="4471C4"/>
          <w:sz w:val="22"/>
          <w:szCs w:val="22"/>
        </w:rPr>
        <w:t xml:space="preserve"> Conclusion</w:t>
      </w:r>
      <w:bookmarkEnd w:id="6"/>
    </w:p>
    <w:p w14:paraId="7747B62B" w14:textId="659D31DA" w:rsidR="00631AA3" w:rsidRPr="00631AA3" w:rsidRDefault="00631AA3" w:rsidP="00631AA3">
      <w:pPr>
        <w:spacing w:after="0"/>
        <w:rPr>
          <w:rFonts w:ascii="Arial" w:hAnsi="Arial" w:cs="Arial"/>
          <w:b/>
          <w:bCs/>
          <w:sz w:val="22"/>
        </w:rPr>
      </w:pPr>
    </w:p>
    <w:p w14:paraId="76565AE3" w14:textId="24064BD0" w:rsidR="003458DB" w:rsidRPr="00770126" w:rsidRDefault="00631AA3" w:rsidP="00770126">
      <w:pPr>
        <w:spacing w:after="0" w:line="240" w:lineRule="auto"/>
        <w:rPr>
          <w:rFonts w:ascii="Arial" w:hAnsi="Arial" w:cs="Arial"/>
          <w:sz w:val="22"/>
        </w:rPr>
      </w:pPr>
      <w:r w:rsidRPr="00770126">
        <w:rPr>
          <w:rFonts w:ascii="Arial" w:hAnsi="Arial" w:cs="Arial"/>
          <w:sz w:val="22"/>
        </w:rPr>
        <w:t>Overall, the skills explored in this report are essential for ensuring safe, high</w:t>
      </w:r>
      <w:r w:rsidRPr="00770126">
        <w:rPr>
          <w:rFonts w:ascii="Arial" w:hAnsi="Arial" w:cs="Arial"/>
          <w:sz w:val="22"/>
        </w:rPr>
        <w:noBreakHyphen/>
        <w:t>quality care for children and young people with SEND. The SEND counsellor role is vital because it helps pupils express their needs, reduces barriers to learning, and supports an inclusive, emotionally secure environment. The report outlined key skills such as empathy, adaptability, observation, collaboration, patience, and emotional resilience, along with the challenges that arise when these are lacking. It also examined three strategies—reflective practice, continuous professional development, and multi</w:t>
      </w:r>
      <w:r w:rsidRPr="00770126">
        <w:rPr>
          <w:rFonts w:ascii="Arial" w:hAnsi="Arial" w:cs="Arial"/>
          <w:sz w:val="22"/>
        </w:rPr>
        <w:noBreakHyphen/>
        <w:t>agency collaboration—that strengthen these skills. Developing strong counselling skills ensures consistent, compassionate, and effective support for SEND pupils.</w:t>
      </w:r>
    </w:p>
    <w:p w14:paraId="3F34EF19" w14:textId="5E3278EB" w:rsidR="00D676C3" w:rsidRPr="00D56687" w:rsidRDefault="00D676C3">
      <w:pPr>
        <w:rPr>
          <w:rFonts w:ascii="Arial" w:hAnsi="Arial" w:cs="Arial"/>
          <w:sz w:val="22"/>
        </w:rPr>
      </w:pPr>
      <w:r w:rsidRPr="00D56687">
        <w:rPr>
          <w:rFonts w:ascii="Arial" w:hAnsi="Arial" w:cs="Arial"/>
          <w:sz w:val="22"/>
        </w:rPr>
        <w:br w:type="page"/>
      </w:r>
    </w:p>
    <w:p w14:paraId="5155B0ED" w14:textId="77777777" w:rsidR="00D676C3" w:rsidRPr="00D56687" w:rsidRDefault="00D676C3" w:rsidP="00D676C3">
      <w:pPr>
        <w:pStyle w:val="ListParagraph"/>
        <w:spacing w:after="0" w:line="240" w:lineRule="auto"/>
        <w:rPr>
          <w:rFonts w:ascii="Arial" w:hAnsi="Arial" w:cs="Arial"/>
          <w:sz w:val="22"/>
        </w:rPr>
      </w:pPr>
    </w:p>
    <w:p w14:paraId="7B12CEED" w14:textId="356B4C98" w:rsidR="006232DF" w:rsidRPr="00631AA3" w:rsidRDefault="00226D31" w:rsidP="00631AA3">
      <w:pPr>
        <w:pStyle w:val="Heading2"/>
        <w:rPr>
          <w:rFonts w:ascii="Arial" w:hAnsi="Arial" w:cs="Arial"/>
          <w:color w:val="4472C4" w:themeColor="accent1"/>
          <w:sz w:val="22"/>
          <w:szCs w:val="22"/>
        </w:rPr>
      </w:pPr>
      <w:bookmarkStart w:id="7" w:name="_Toc227401773"/>
      <w:r w:rsidRPr="00D56687">
        <w:rPr>
          <w:rFonts w:ascii="Arial" w:hAnsi="Arial" w:cs="Arial"/>
          <w:color w:val="4471C4"/>
          <w:sz w:val="22"/>
          <w:szCs w:val="22"/>
        </w:rPr>
        <w:t>5 Reference List</w:t>
      </w:r>
      <w:bookmarkEnd w:id="7"/>
    </w:p>
    <w:p w14:paraId="2632EA94" w14:textId="77777777" w:rsidR="00132F09" w:rsidRPr="00132F09" w:rsidRDefault="00132F09" w:rsidP="00132F09">
      <w:pPr>
        <w:rPr>
          <w:rFonts w:ascii="Arial" w:hAnsi="Arial" w:cs="Arial"/>
          <w:sz w:val="22"/>
        </w:rPr>
      </w:pPr>
      <w:r w:rsidRPr="00132F09">
        <w:rPr>
          <w:rFonts w:ascii="Arial" w:hAnsi="Arial" w:cs="Arial"/>
          <w:sz w:val="22"/>
        </w:rPr>
        <w:t xml:space="preserve">BACP (2021) </w:t>
      </w:r>
      <w:r w:rsidRPr="00132F09">
        <w:rPr>
          <w:rFonts w:ascii="Arial" w:hAnsi="Arial" w:cs="Arial"/>
          <w:i/>
          <w:iCs/>
          <w:sz w:val="22"/>
        </w:rPr>
        <w:t>Ethical framework for the counselling professions</w:t>
      </w:r>
      <w:r w:rsidRPr="00132F09">
        <w:rPr>
          <w:rFonts w:ascii="Arial" w:hAnsi="Arial" w:cs="Arial"/>
          <w:sz w:val="22"/>
        </w:rPr>
        <w:t>. Lutterworth: BACP.</w:t>
      </w:r>
    </w:p>
    <w:p w14:paraId="0A5DE4D2" w14:textId="77777777" w:rsidR="00132F09" w:rsidRPr="00132F09" w:rsidRDefault="00132F09" w:rsidP="00132F09">
      <w:pPr>
        <w:rPr>
          <w:rFonts w:ascii="Arial" w:hAnsi="Arial" w:cs="Arial"/>
          <w:sz w:val="22"/>
        </w:rPr>
      </w:pPr>
      <w:r w:rsidRPr="00132F09">
        <w:rPr>
          <w:rFonts w:ascii="Arial" w:hAnsi="Arial" w:cs="Arial"/>
          <w:sz w:val="22"/>
        </w:rPr>
        <w:t xml:space="preserve">Cole, P., Michel, M. and Teti, L. (1994) ‘The development of emotion regulation and dysregulation’, </w:t>
      </w:r>
      <w:r w:rsidRPr="00132F09">
        <w:rPr>
          <w:rFonts w:ascii="Arial" w:hAnsi="Arial" w:cs="Arial"/>
          <w:i/>
          <w:iCs/>
          <w:sz w:val="22"/>
        </w:rPr>
        <w:t>Monographs of the Society for Research in Child Development</w:t>
      </w:r>
      <w:r w:rsidRPr="00132F09">
        <w:rPr>
          <w:rFonts w:ascii="Arial" w:hAnsi="Arial" w:cs="Arial"/>
          <w:sz w:val="22"/>
        </w:rPr>
        <w:t>, 59(2–3), pp. 73–100.</w:t>
      </w:r>
    </w:p>
    <w:p w14:paraId="4F1FF07B" w14:textId="77777777" w:rsidR="00132F09" w:rsidRPr="00132F09" w:rsidRDefault="00132F09" w:rsidP="00132F09">
      <w:pPr>
        <w:rPr>
          <w:rFonts w:ascii="Arial" w:hAnsi="Arial" w:cs="Arial"/>
          <w:sz w:val="22"/>
        </w:rPr>
      </w:pPr>
      <w:r w:rsidRPr="00132F09">
        <w:rPr>
          <w:rFonts w:ascii="Arial" w:hAnsi="Arial" w:cs="Arial"/>
          <w:sz w:val="22"/>
        </w:rPr>
        <w:t xml:space="preserve">Department for Education (2015) </w:t>
      </w:r>
      <w:r w:rsidRPr="00132F09">
        <w:rPr>
          <w:rFonts w:ascii="Arial" w:hAnsi="Arial" w:cs="Arial"/>
          <w:i/>
          <w:iCs/>
          <w:sz w:val="22"/>
        </w:rPr>
        <w:t>Special educational needs and disability code of practice: 0 to 25 years</w:t>
      </w:r>
      <w:r w:rsidRPr="00132F09">
        <w:rPr>
          <w:rFonts w:ascii="Arial" w:hAnsi="Arial" w:cs="Arial"/>
          <w:sz w:val="22"/>
        </w:rPr>
        <w:t>. London: DfE.</w:t>
      </w:r>
    </w:p>
    <w:p w14:paraId="17596E43" w14:textId="77777777" w:rsidR="00132F09" w:rsidRPr="00132F09" w:rsidRDefault="00132F09" w:rsidP="00132F09">
      <w:pPr>
        <w:rPr>
          <w:rFonts w:ascii="Arial" w:hAnsi="Arial" w:cs="Arial"/>
          <w:sz w:val="22"/>
        </w:rPr>
      </w:pPr>
      <w:r w:rsidRPr="00132F09">
        <w:rPr>
          <w:rFonts w:ascii="Arial" w:hAnsi="Arial" w:cs="Arial"/>
          <w:sz w:val="22"/>
        </w:rPr>
        <w:t xml:space="preserve">Gerhardt, S. (2014) </w:t>
      </w:r>
      <w:r w:rsidRPr="00132F09">
        <w:rPr>
          <w:rFonts w:ascii="Arial" w:hAnsi="Arial" w:cs="Arial"/>
          <w:i/>
          <w:iCs/>
          <w:sz w:val="22"/>
        </w:rPr>
        <w:t>Why love matters: How affection shapes a baby’s brain</w:t>
      </w:r>
      <w:r w:rsidRPr="00132F09">
        <w:rPr>
          <w:rFonts w:ascii="Arial" w:hAnsi="Arial" w:cs="Arial"/>
          <w:sz w:val="22"/>
        </w:rPr>
        <w:t>. 2nd edn. London: Routledge.</w:t>
      </w:r>
    </w:p>
    <w:p w14:paraId="5CE7B011" w14:textId="77777777" w:rsidR="00132F09" w:rsidRPr="00132F09" w:rsidRDefault="00132F09" w:rsidP="00132F09">
      <w:pPr>
        <w:rPr>
          <w:rFonts w:ascii="Arial" w:hAnsi="Arial" w:cs="Arial"/>
          <w:sz w:val="22"/>
        </w:rPr>
      </w:pPr>
      <w:r w:rsidRPr="00132F09">
        <w:rPr>
          <w:rFonts w:ascii="Arial" w:hAnsi="Arial" w:cs="Arial"/>
          <w:sz w:val="22"/>
        </w:rPr>
        <w:t xml:space="preserve">Porges, S. (2011) </w:t>
      </w:r>
      <w:r w:rsidRPr="00132F09">
        <w:rPr>
          <w:rFonts w:ascii="Arial" w:hAnsi="Arial" w:cs="Arial"/>
          <w:i/>
          <w:iCs/>
          <w:sz w:val="22"/>
        </w:rPr>
        <w:t>The polyvagal theory: Neurophysiological foundations of emotions, attachment, communication, and self-regulation</w:t>
      </w:r>
      <w:r w:rsidRPr="00132F09">
        <w:rPr>
          <w:rFonts w:ascii="Arial" w:hAnsi="Arial" w:cs="Arial"/>
          <w:sz w:val="22"/>
        </w:rPr>
        <w:t>. New York: Norton.</w:t>
      </w:r>
    </w:p>
    <w:p w14:paraId="3F5A7110" w14:textId="77777777" w:rsidR="00132F09" w:rsidRPr="00132F09" w:rsidRDefault="00132F09" w:rsidP="00132F09">
      <w:pPr>
        <w:rPr>
          <w:rFonts w:ascii="Arial" w:hAnsi="Arial" w:cs="Arial"/>
          <w:sz w:val="22"/>
        </w:rPr>
      </w:pPr>
      <w:r w:rsidRPr="00132F09">
        <w:rPr>
          <w:rFonts w:ascii="Arial" w:hAnsi="Arial" w:cs="Arial"/>
          <w:sz w:val="22"/>
        </w:rPr>
        <w:t xml:space="preserve">Schon, D. (1983) </w:t>
      </w:r>
      <w:r w:rsidRPr="00132F09">
        <w:rPr>
          <w:rFonts w:ascii="Arial" w:hAnsi="Arial" w:cs="Arial"/>
          <w:i/>
          <w:iCs/>
          <w:sz w:val="22"/>
        </w:rPr>
        <w:t>The reflective practitioner: How professionals think in action</w:t>
      </w:r>
      <w:r w:rsidRPr="00132F09">
        <w:rPr>
          <w:rFonts w:ascii="Arial" w:hAnsi="Arial" w:cs="Arial"/>
          <w:sz w:val="22"/>
        </w:rPr>
        <w:t>. New York: Basic Books.</w:t>
      </w:r>
    </w:p>
    <w:p w14:paraId="0BB05A71" w14:textId="77777777" w:rsidR="00132F09" w:rsidRPr="00132F09" w:rsidRDefault="00132F09" w:rsidP="00132F09">
      <w:pPr>
        <w:rPr>
          <w:rFonts w:ascii="Arial" w:hAnsi="Arial" w:cs="Arial"/>
          <w:color w:val="FF0000"/>
          <w:sz w:val="22"/>
        </w:rPr>
      </w:pPr>
      <w:r w:rsidRPr="00132F09">
        <w:rPr>
          <w:rFonts w:ascii="Arial" w:hAnsi="Arial" w:cs="Arial"/>
          <w:sz w:val="22"/>
        </w:rPr>
        <w:t xml:space="preserve">Siegel, D. (2012) </w:t>
      </w:r>
      <w:r w:rsidRPr="00132F09">
        <w:rPr>
          <w:rFonts w:ascii="Arial" w:hAnsi="Arial" w:cs="Arial"/>
          <w:i/>
          <w:iCs/>
          <w:sz w:val="22"/>
        </w:rPr>
        <w:t>The developing mind: How relationships and the brain interact to shape who we are</w:t>
      </w:r>
      <w:r w:rsidRPr="00132F09">
        <w:rPr>
          <w:rFonts w:ascii="Arial" w:hAnsi="Arial" w:cs="Arial"/>
          <w:sz w:val="22"/>
        </w:rPr>
        <w:t>. 2nd edn. New York: Guilford Press</w:t>
      </w:r>
      <w:r w:rsidRPr="00132F09">
        <w:rPr>
          <w:rFonts w:ascii="Arial" w:hAnsi="Arial" w:cs="Arial"/>
          <w:color w:val="FF0000"/>
          <w:sz w:val="22"/>
        </w:rPr>
        <w:t>.</w:t>
      </w:r>
    </w:p>
    <w:p w14:paraId="6704D975" w14:textId="6D7F922A" w:rsidR="00631AA3" w:rsidRPr="00D56687" w:rsidRDefault="00631AA3" w:rsidP="005E44B5">
      <w:pPr>
        <w:rPr>
          <w:rFonts w:ascii="Arial" w:hAnsi="Arial" w:cs="Arial"/>
          <w:color w:val="FF0000"/>
          <w:sz w:val="22"/>
        </w:rPr>
      </w:pPr>
    </w:p>
    <w:sectPr w:rsidR="00631AA3" w:rsidRPr="00D56687"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6C80AC" w14:textId="77777777" w:rsidR="00F07530" w:rsidRDefault="00F07530" w:rsidP="003C7C97">
      <w:pPr>
        <w:spacing w:after="0" w:line="240" w:lineRule="auto"/>
      </w:pPr>
      <w:r>
        <w:separator/>
      </w:r>
    </w:p>
  </w:endnote>
  <w:endnote w:type="continuationSeparator" w:id="0">
    <w:p w14:paraId="5330D443" w14:textId="77777777" w:rsidR="00F07530" w:rsidRDefault="00F0753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7485A8" w14:textId="77777777" w:rsidR="00F07530" w:rsidRDefault="00F07530" w:rsidP="003C7C97">
      <w:pPr>
        <w:spacing w:after="0" w:line="240" w:lineRule="auto"/>
      </w:pPr>
      <w:r>
        <w:separator/>
      </w:r>
    </w:p>
  </w:footnote>
  <w:footnote w:type="continuationSeparator" w:id="0">
    <w:p w14:paraId="1DE76FE3" w14:textId="77777777" w:rsidR="00F07530" w:rsidRDefault="00F07530"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1CFC4E1C"/>
    <w:lvl w:ilvl="0" w:tplc="18CEEB5A">
      <w:start w:val="1"/>
      <w:numFmt w:val="bullet"/>
      <w:lvlText w:val=""/>
      <w:lvlJc w:val="left"/>
      <w:pPr>
        <w:ind w:left="720" w:hanging="360"/>
      </w:pPr>
      <w:rPr>
        <w:rFonts w:ascii="Symbol" w:hAnsi="Symbol" w:hint="default"/>
      </w:rPr>
    </w:lvl>
    <w:lvl w:ilvl="1" w:tplc="828E199E">
      <w:start w:val="1"/>
      <w:numFmt w:val="bullet"/>
      <w:lvlText w:val="o"/>
      <w:lvlJc w:val="left"/>
      <w:pPr>
        <w:ind w:left="1440" w:hanging="360"/>
      </w:pPr>
      <w:rPr>
        <w:rFonts w:ascii="Courier New" w:hAnsi="Courier New" w:hint="default"/>
      </w:rPr>
    </w:lvl>
    <w:lvl w:ilvl="2" w:tplc="0B4CD90C">
      <w:start w:val="1"/>
      <w:numFmt w:val="bullet"/>
      <w:lvlText w:val=""/>
      <w:lvlJc w:val="left"/>
      <w:pPr>
        <w:ind w:left="2160" w:hanging="360"/>
      </w:pPr>
      <w:rPr>
        <w:rFonts w:ascii="Wingdings" w:hAnsi="Wingdings" w:hint="default"/>
      </w:rPr>
    </w:lvl>
    <w:lvl w:ilvl="3" w:tplc="27B00CBA">
      <w:start w:val="1"/>
      <w:numFmt w:val="bullet"/>
      <w:lvlText w:val=""/>
      <w:lvlJc w:val="left"/>
      <w:pPr>
        <w:ind w:left="2880" w:hanging="360"/>
      </w:pPr>
      <w:rPr>
        <w:rFonts w:ascii="Symbol" w:hAnsi="Symbol" w:hint="default"/>
      </w:rPr>
    </w:lvl>
    <w:lvl w:ilvl="4" w:tplc="C166DF68">
      <w:start w:val="1"/>
      <w:numFmt w:val="bullet"/>
      <w:lvlText w:val="o"/>
      <w:lvlJc w:val="left"/>
      <w:pPr>
        <w:ind w:left="3600" w:hanging="360"/>
      </w:pPr>
      <w:rPr>
        <w:rFonts w:ascii="Courier New" w:hAnsi="Courier New" w:hint="default"/>
      </w:rPr>
    </w:lvl>
    <w:lvl w:ilvl="5" w:tplc="3D90408A">
      <w:start w:val="1"/>
      <w:numFmt w:val="bullet"/>
      <w:lvlText w:val=""/>
      <w:lvlJc w:val="left"/>
      <w:pPr>
        <w:ind w:left="4320" w:hanging="360"/>
      </w:pPr>
      <w:rPr>
        <w:rFonts w:ascii="Wingdings" w:hAnsi="Wingdings" w:hint="default"/>
      </w:rPr>
    </w:lvl>
    <w:lvl w:ilvl="6" w:tplc="50843B64">
      <w:start w:val="1"/>
      <w:numFmt w:val="bullet"/>
      <w:lvlText w:val=""/>
      <w:lvlJc w:val="left"/>
      <w:pPr>
        <w:ind w:left="5040" w:hanging="360"/>
      </w:pPr>
      <w:rPr>
        <w:rFonts w:ascii="Symbol" w:hAnsi="Symbol" w:hint="default"/>
      </w:rPr>
    </w:lvl>
    <w:lvl w:ilvl="7" w:tplc="B6A42F66">
      <w:start w:val="1"/>
      <w:numFmt w:val="bullet"/>
      <w:lvlText w:val="o"/>
      <w:lvlJc w:val="left"/>
      <w:pPr>
        <w:ind w:left="5760" w:hanging="360"/>
      </w:pPr>
      <w:rPr>
        <w:rFonts w:ascii="Courier New" w:hAnsi="Courier New" w:hint="default"/>
      </w:rPr>
    </w:lvl>
    <w:lvl w:ilvl="8" w:tplc="A8F4189E">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9AB0BBE0"/>
    <w:lvl w:ilvl="0" w:tplc="2DE2A2BC">
      <w:start w:val="1"/>
      <w:numFmt w:val="bullet"/>
      <w:lvlText w:val=""/>
      <w:lvlJc w:val="left"/>
      <w:pPr>
        <w:ind w:left="720" w:hanging="360"/>
      </w:pPr>
      <w:rPr>
        <w:rFonts w:ascii="Symbol" w:hAnsi="Symbol" w:hint="default"/>
      </w:rPr>
    </w:lvl>
    <w:lvl w:ilvl="1" w:tplc="6FE2D544">
      <w:start w:val="1"/>
      <w:numFmt w:val="bullet"/>
      <w:lvlText w:val="o"/>
      <w:lvlJc w:val="left"/>
      <w:pPr>
        <w:ind w:left="1440" w:hanging="360"/>
      </w:pPr>
      <w:rPr>
        <w:rFonts w:ascii="Courier New" w:hAnsi="Courier New" w:hint="default"/>
      </w:rPr>
    </w:lvl>
    <w:lvl w:ilvl="2" w:tplc="10E69C12">
      <w:start w:val="1"/>
      <w:numFmt w:val="bullet"/>
      <w:lvlText w:val=""/>
      <w:lvlJc w:val="left"/>
      <w:pPr>
        <w:ind w:left="2160" w:hanging="360"/>
      </w:pPr>
      <w:rPr>
        <w:rFonts w:ascii="Wingdings" w:hAnsi="Wingdings" w:hint="default"/>
      </w:rPr>
    </w:lvl>
    <w:lvl w:ilvl="3" w:tplc="FF60CEA6">
      <w:start w:val="1"/>
      <w:numFmt w:val="bullet"/>
      <w:lvlText w:val=""/>
      <w:lvlJc w:val="left"/>
      <w:pPr>
        <w:ind w:left="2880" w:hanging="360"/>
      </w:pPr>
      <w:rPr>
        <w:rFonts w:ascii="Symbol" w:hAnsi="Symbol" w:hint="default"/>
      </w:rPr>
    </w:lvl>
    <w:lvl w:ilvl="4" w:tplc="57108D6E">
      <w:start w:val="1"/>
      <w:numFmt w:val="bullet"/>
      <w:lvlText w:val="o"/>
      <w:lvlJc w:val="left"/>
      <w:pPr>
        <w:ind w:left="3600" w:hanging="360"/>
      </w:pPr>
      <w:rPr>
        <w:rFonts w:ascii="Courier New" w:hAnsi="Courier New" w:hint="default"/>
      </w:rPr>
    </w:lvl>
    <w:lvl w:ilvl="5" w:tplc="1B480756">
      <w:start w:val="1"/>
      <w:numFmt w:val="bullet"/>
      <w:lvlText w:val=""/>
      <w:lvlJc w:val="left"/>
      <w:pPr>
        <w:ind w:left="4320" w:hanging="360"/>
      </w:pPr>
      <w:rPr>
        <w:rFonts w:ascii="Wingdings" w:hAnsi="Wingdings" w:hint="default"/>
      </w:rPr>
    </w:lvl>
    <w:lvl w:ilvl="6" w:tplc="CB54E518">
      <w:start w:val="1"/>
      <w:numFmt w:val="bullet"/>
      <w:lvlText w:val=""/>
      <w:lvlJc w:val="left"/>
      <w:pPr>
        <w:ind w:left="5040" w:hanging="360"/>
      </w:pPr>
      <w:rPr>
        <w:rFonts w:ascii="Symbol" w:hAnsi="Symbol" w:hint="default"/>
      </w:rPr>
    </w:lvl>
    <w:lvl w:ilvl="7" w:tplc="7D1E852A">
      <w:start w:val="1"/>
      <w:numFmt w:val="bullet"/>
      <w:lvlText w:val="o"/>
      <w:lvlJc w:val="left"/>
      <w:pPr>
        <w:ind w:left="5760" w:hanging="360"/>
      </w:pPr>
      <w:rPr>
        <w:rFonts w:ascii="Courier New" w:hAnsi="Courier New" w:hint="default"/>
      </w:rPr>
    </w:lvl>
    <w:lvl w:ilvl="8" w:tplc="348412E4">
      <w:start w:val="1"/>
      <w:numFmt w:val="bullet"/>
      <w:lvlText w:val=""/>
      <w:lvlJc w:val="left"/>
      <w:pPr>
        <w:ind w:left="6480" w:hanging="360"/>
      </w:pPr>
      <w:rPr>
        <w:rFonts w:ascii="Wingdings" w:hAnsi="Wingdings" w:hint="default"/>
      </w:rPr>
    </w:lvl>
  </w:abstractNum>
  <w:abstractNum w:abstractNumId="4" w15:restartNumberingAfterBreak="0">
    <w:nsid w:val="0E062C53"/>
    <w:multiLevelType w:val="hybridMultilevel"/>
    <w:tmpl w:val="9216DB38"/>
    <w:lvl w:ilvl="0" w:tplc="A678CEDE">
      <w:start w:val="1"/>
      <w:numFmt w:val="decimal"/>
      <w:lvlText w:val="%1."/>
      <w:lvlJc w:val="left"/>
      <w:pPr>
        <w:ind w:left="1080" w:hanging="360"/>
      </w:pPr>
      <w:rPr>
        <w:rFonts w:hint="default"/>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3D901C4C"/>
    <w:lvl w:ilvl="0" w:tplc="11EE1848">
      <w:start w:val="1"/>
      <w:numFmt w:val="bullet"/>
      <w:lvlText w:val=""/>
      <w:lvlJc w:val="left"/>
      <w:pPr>
        <w:ind w:left="720" w:hanging="360"/>
      </w:pPr>
      <w:rPr>
        <w:rFonts w:ascii="Symbol" w:hAnsi="Symbol" w:hint="default"/>
      </w:rPr>
    </w:lvl>
    <w:lvl w:ilvl="1" w:tplc="09AECECC">
      <w:start w:val="1"/>
      <w:numFmt w:val="bullet"/>
      <w:lvlText w:val="o"/>
      <w:lvlJc w:val="left"/>
      <w:pPr>
        <w:ind w:left="1440" w:hanging="360"/>
      </w:pPr>
      <w:rPr>
        <w:rFonts w:ascii="Courier New" w:hAnsi="Courier New" w:hint="default"/>
      </w:rPr>
    </w:lvl>
    <w:lvl w:ilvl="2" w:tplc="F1C0E838">
      <w:start w:val="1"/>
      <w:numFmt w:val="bullet"/>
      <w:lvlText w:val=""/>
      <w:lvlJc w:val="left"/>
      <w:pPr>
        <w:ind w:left="2160" w:hanging="360"/>
      </w:pPr>
      <w:rPr>
        <w:rFonts w:ascii="Wingdings" w:hAnsi="Wingdings" w:hint="default"/>
      </w:rPr>
    </w:lvl>
    <w:lvl w:ilvl="3" w:tplc="4DD08890">
      <w:start w:val="1"/>
      <w:numFmt w:val="bullet"/>
      <w:lvlText w:val=""/>
      <w:lvlJc w:val="left"/>
      <w:pPr>
        <w:ind w:left="2880" w:hanging="360"/>
      </w:pPr>
      <w:rPr>
        <w:rFonts w:ascii="Symbol" w:hAnsi="Symbol" w:hint="default"/>
      </w:rPr>
    </w:lvl>
    <w:lvl w:ilvl="4" w:tplc="6A2EF3F2">
      <w:start w:val="1"/>
      <w:numFmt w:val="bullet"/>
      <w:lvlText w:val="o"/>
      <w:lvlJc w:val="left"/>
      <w:pPr>
        <w:ind w:left="3600" w:hanging="360"/>
      </w:pPr>
      <w:rPr>
        <w:rFonts w:ascii="Courier New" w:hAnsi="Courier New" w:hint="default"/>
      </w:rPr>
    </w:lvl>
    <w:lvl w:ilvl="5" w:tplc="172E9466">
      <w:start w:val="1"/>
      <w:numFmt w:val="bullet"/>
      <w:lvlText w:val=""/>
      <w:lvlJc w:val="left"/>
      <w:pPr>
        <w:ind w:left="4320" w:hanging="360"/>
      </w:pPr>
      <w:rPr>
        <w:rFonts w:ascii="Wingdings" w:hAnsi="Wingdings" w:hint="default"/>
      </w:rPr>
    </w:lvl>
    <w:lvl w:ilvl="6" w:tplc="A6AE123C">
      <w:start w:val="1"/>
      <w:numFmt w:val="bullet"/>
      <w:lvlText w:val=""/>
      <w:lvlJc w:val="left"/>
      <w:pPr>
        <w:ind w:left="5040" w:hanging="360"/>
      </w:pPr>
      <w:rPr>
        <w:rFonts w:ascii="Symbol" w:hAnsi="Symbol" w:hint="default"/>
      </w:rPr>
    </w:lvl>
    <w:lvl w:ilvl="7" w:tplc="E5A8ECF8">
      <w:start w:val="1"/>
      <w:numFmt w:val="bullet"/>
      <w:lvlText w:val="o"/>
      <w:lvlJc w:val="left"/>
      <w:pPr>
        <w:ind w:left="5760" w:hanging="360"/>
      </w:pPr>
      <w:rPr>
        <w:rFonts w:ascii="Courier New" w:hAnsi="Courier New" w:hint="default"/>
      </w:rPr>
    </w:lvl>
    <w:lvl w:ilvl="8" w:tplc="ADE489EE">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B6C89D74"/>
    <w:lvl w:ilvl="0" w:tplc="1A2A03A0">
      <w:start w:val="1"/>
      <w:numFmt w:val="bullet"/>
      <w:lvlText w:val=""/>
      <w:lvlJc w:val="left"/>
      <w:pPr>
        <w:ind w:left="720" w:hanging="360"/>
      </w:pPr>
      <w:rPr>
        <w:rFonts w:ascii="Symbol" w:hAnsi="Symbol" w:hint="default"/>
      </w:rPr>
    </w:lvl>
    <w:lvl w:ilvl="1" w:tplc="70C247B2">
      <w:start w:val="1"/>
      <w:numFmt w:val="bullet"/>
      <w:lvlText w:val="o"/>
      <w:lvlJc w:val="left"/>
      <w:pPr>
        <w:ind w:left="1440" w:hanging="360"/>
      </w:pPr>
      <w:rPr>
        <w:rFonts w:ascii="Courier New" w:hAnsi="Courier New" w:hint="default"/>
      </w:rPr>
    </w:lvl>
    <w:lvl w:ilvl="2" w:tplc="CFAA4F12">
      <w:start w:val="1"/>
      <w:numFmt w:val="bullet"/>
      <w:lvlText w:val=""/>
      <w:lvlJc w:val="left"/>
      <w:pPr>
        <w:ind w:left="2160" w:hanging="360"/>
      </w:pPr>
      <w:rPr>
        <w:rFonts w:ascii="Wingdings" w:hAnsi="Wingdings" w:hint="default"/>
      </w:rPr>
    </w:lvl>
    <w:lvl w:ilvl="3" w:tplc="BEEAC4A4">
      <w:start w:val="1"/>
      <w:numFmt w:val="bullet"/>
      <w:lvlText w:val=""/>
      <w:lvlJc w:val="left"/>
      <w:pPr>
        <w:ind w:left="2880" w:hanging="360"/>
      </w:pPr>
      <w:rPr>
        <w:rFonts w:ascii="Symbol" w:hAnsi="Symbol" w:hint="default"/>
      </w:rPr>
    </w:lvl>
    <w:lvl w:ilvl="4" w:tplc="58344D3C">
      <w:start w:val="1"/>
      <w:numFmt w:val="bullet"/>
      <w:lvlText w:val="o"/>
      <w:lvlJc w:val="left"/>
      <w:pPr>
        <w:ind w:left="3600" w:hanging="360"/>
      </w:pPr>
      <w:rPr>
        <w:rFonts w:ascii="Courier New" w:hAnsi="Courier New" w:hint="default"/>
      </w:rPr>
    </w:lvl>
    <w:lvl w:ilvl="5" w:tplc="521C4E86">
      <w:start w:val="1"/>
      <w:numFmt w:val="bullet"/>
      <w:lvlText w:val=""/>
      <w:lvlJc w:val="left"/>
      <w:pPr>
        <w:ind w:left="4320" w:hanging="360"/>
      </w:pPr>
      <w:rPr>
        <w:rFonts w:ascii="Wingdings" w:hAnsi="Wingdings" w:hint="default"/>
      </w:rPr>
    </w:lvl>
    <w:lvl w:ilvl="6" w:tplc="D5744456">
      <w:start w:val="1"/>
      <w:numFmt w:val="bullet"/>
      <w:lvlText w:val=""/>
      <w:lvlJc w:val="left"/>
      <w:pPr>
        <w:ind w:left="5040" w:hanging="360"/>
      </w:pPr>
      <w:rPr>
        <w:rFonts w:ascii="Symbol" w:hAnsi="Symbol" w:hint="default"/>
      </w:rPr>
    </w:lvl>
    <w:lvl w:ilvl="7" w:tplc="FE4A18D6">
      <w:start w:val="1"/>
      <w:numFmt w:val="bullet"/>
      <w:lvlText w:val="o"/>
      <w:lvlJc w:val="left"/>
      <w:pPr>
        <w:ind w:left="5760" w:hanging="360"/>
      </w:pPr>
      <w:rPr>
        <w:rFonts w:ascii="Courier New" w:hAnsi="Courier New" w:hint="default"/>
      </w:rPr>
    </w:lvl>
    <w:lvl w:ilvl="8" w:tplc="1BEEE95E">
      <w:start w:val="1"/>
      <w:numFmt w:val="bullet"/>
      <w:lvlText w:val=""/>
      <w:lvlJc w:val="left"/>
      <w:pPr>
        <w:ind w:left="6480" w:hanging="360"/>
      </w:pPr>
      <w:rPr>
        <w:rFonts w:ascii="Wingdings" w:hAnsi="Wingdings" w:hint="default"/>
      </w:rPr>
    </w:lvl>
  </w:abstractNum>
  <w:abstractNum w:abstractNumId="14" w15:restartNumberingAfterBreak="0">
    <w:nsid w:val="436F3ED7"/>
    <w:multiLevelType w:val="multilevel"/>
    <w:tmpl w:val="16A66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224439"/>
    <w:multiLevelType w:val="hybridMultilevel"/>
    <w:tmpl w:val="12E8D50E"/>
    <w:lvl w:ilvl="0" w:tplc="338CCD74">
      <w:start w:val="1"/>
      <w:numFmt w:val="bullet"/>
      <w:lvlText w:val=""/>
      <w:lvlJc w:val="left"/>
      <w:pPr>
        <w:ind w:left="720" w:hanging="360"/>
      </w:pPr>
      <w:rPr>
        <w:rFonts w:ascii="Symbol" w:hAnsi="Symbol" w:hint="default"/>
      </w:rPr>
    </w:lvl>
    <w:lvl w:ilvl="1" w:tplc="67185DC2">
      <w:start w:val="1"/>
      <w:numFmt w:val="bullet"/>
      <w:lvlText w:val="o"/>
      <w:lvlJc w:val="left"/>
      <w:pPr>
        <w:ind w:left="1440" w:hanging="360"/>
      </w:pPr>
      <w:rPr>
        <w:rFonts w:ascii="Courier New" w:hAnsi="Courier New" w:hint="default"/>
      </w:rPr>
    </w:lvl>
    <w:lvl w:ilvl="2" w:tplc="3564BE82">
      <w:start w:val="1"/>
      <w:numFmt w:val="bullet"/>
      <w:lvlText w:val=""/>
      <w:lvlJc w:val="left"/>
      <w:pPr>
        <w:ind w:left="2160" w:hanging="360"/>
      </w:pPr>
      <w:rPr>
        <w:rFonts w:ascii="Wingdings" w:hAnsi="Wingdings" w:hint="default"/>
      </w:rPr>
    </w:lvl>
    <w:lvl w:ilvl="3" w:tplc="1DD869A6">
      <w:start w:val="1"/>
      <w:numFmt w:val="bullet"/>
      <w:lvlText w:val=""/>
      <w:lvlJc w:val="left"/>
      <w:pPr>
        <w:ind w:left="2880" w:hanging="360"/>
      </w:pPr>
      <w:rPr>
        <w:rFonts w:ascii="Symbol" w:hAnsi="Symbol" w:hint="default"/>
      </w:rPr>
    </w:lvl>
    <w:lvl w:ilvl="4" w:tplc="62FAA54C">
      <w:start w:val="1"/>
      <w:numFmt w:val="bullet"/>
      <w:lvlText w:val="o"/>
      <w:lvlJc w:val="left"/>
      <w:pPr>
        <w:ind w:left="3600" w:hanging="360"/>
      </w:pPr>
      <w:rPr>
        <w:rFonts w:ascii="Courier New" w:hAnsi="Courier New" w:hint="default"/>
      </w:rPr>
    </w:lvl>
    <w:lvl w:ilvl="5" w:tplc="E6A6191C">
      <w:start w:val="1"/>
      <w:numFmt w:val="bullet"/>
      <w:lvlText w:val=""/>
      <w:lvlJc w:val="left"/>
      <w:pPr>
        <w:ind w:left="4320" w:hanging="360"/>
      </w:pPr>
      <w:rPr>
        <w:rFonts w:ascii="Wingdings" w:hAnsi="Wingdings" w:hint="default"/>
      </w:rPr>
    </w:lvl>
    <w:lvl w:ilvl="6" w:tplc="84EA9CC8">
      <w:start w:val="1"/>
      <w:numFmt w:val="bullet"/>
      <w:lvlText w:val=""/>
      <w:lvlJc w:val="left"/>
      <w:pPr>
        <w:ind w:left="5040" w:hanging="360"/>
      </w:pPr>
      <w:rPr>
        <w:rFonts w:ascii="Symbol" w:hAnsi="Symbol" w:hint="default"/>
      </w:rPr>
    </w:lvl>
    <w:lvl w:ilvl="7" w:tplc="0C06C3EE">
      <w:start w:val="1"/>
      <w:numFmt w:val="bullet"/>
      <w:lvlText w:val="o"/>
      <w:lvlJc w:val="left"/>
      <w:pPr>
        <w:ind w:left="5760" w:hanging="360"/>
      </w:pPr>
      <w:rPr>
        <w:rFonts w:ascii="Courier New" w:hAnsi="Courier New" w:hint="default"/>
      </w:rPr>
    </w:lvl>
    <w:lvl w:ilvl="8" w:tplc="F3C09506">
      <w:start w:val="1"/>
      <w:numFmt w:val="bullet"/>
      <w:lvlText w:val=""/>
      <w:lvlJc w:val="left"/>
      <w:pPr>
        <w:ind w:left="6480" w:hanging="360"/>
      </w:pPr>
      <w:rPr>
        <w:rFonts w:ascii="Wingdings" w:hAnsi="Wingdings" w:hint="default"/>
      </w:rPr>
    </w:lvl>
  </w:abstractNum>
  <w:abstractNum w:abstractNumId="18"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CFD1B28"/>
    <w:multiLevelType w:val="multilevel"/>
    <w:tmpl w:val="215E8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EE417EF"/>
    <w:multiLevelType w:val="multilevel"/>
    <w:tmpl w:val="B172F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126354"/>
    <w:multiLevelType w:val="hybridMultilevel"/>
    <w:tmpl w:val="E5F46C02"/>
    <w:lvl w:ilvl="0" w:tplc="F41EA7C4">
      <w:start w:val="1"/>
      <w:numFmt w:val="bullet"/>
      <w:lvlText w:val=""/>
      <w:lvlJc w:val="left"/>
      <w:pPr>
        <w:ind w:left="720" w:hanging="360"/>
      </w:pPr>
      <w:rPr>
        <w:rFonts w:ascii="Symbol" w:hAnsi="Symbol" w:hint="default"/>
      </w:rPr>
    </w:lvl>
    <w:lvl w:ilvl="1" w:tplc="7FBCEB2C">
      <w:start w:val="1"/>
      <w:numFmt w:val="bullet"/>
      <w:lvlText w:val="o"/>
      <w:lvlJc w:val="left"/>
      <w:pPr>
        <w:ind w:left="1440" w:hanging="360"/>
      </w:pPr>
      <w:rPr>
        <w:rFonts w:ascii="Courier New" w:hAnsi="Courier New" w:hint="default"/>
      </w:rPr>
    </w:lvl>
    <w:lvl w:ilvl="2" w:tplc="9DA89F1C">
      <w:start w:val="1"/>
      <w:numFmt w:val="bullet"/>
      <w:lvlText w:val=""/>
      <w:lvlJc w:val="left"/>
      <w:pPr>
        <w:ind w:left="2160" w:hanging="360"/>
      </w:pPr>
      <w:rPr>
        <w:rFonts w:ascii="Wingdings" w:hAnsi="Wingdings" w:hint="default"/>
      </w:rPr>
    </w:lvl>
    <w:lvl w:ilvl="3" w:tplc="6C78A948">
      <w:start w:val="1"/>
      <w:numFmt w:val="bullet"/>
      <w:lvlText w:val=""/>
      <w:lvlJc w:val="left"/>
      <w:pPr>
        <w:ind w:left="2880" w:hanging="360"/>
      </w:pPr>
      <w:rPr>
        <w:rFonts w:ascii="Symbol" w:hAnsi="Symbol" w:hint="default"/>
      </w:rPr>
    </w:lvl>
    <w:lvl w:ilvl="4" w:tplc="C2941EDE">
      <w:start w:val="1"/>
      <w:numFmt w:val="bullet"/>
      <w:lvlText w:val="o"/>
      <w:lvlJc w:val="left"/>
      <w:pPr>
        <w:ind w:left="3600" w:hanging="360"/>
      </w:pPr>
      <w:rPr>
        <w:rFonts w:ascii="Courier New" w:hAnsi="Courier New" w:hint="default"/>
      </w:rPr>
    </w:lvl>
    <w:lvl w:ilvl="5" w:tplc="74D0DC62">
      <w:start w:val="1"/>
      <w:numFmt w:val="bullet"/>
      <w:lvlText w:val=""/>
      <w:lvlJc w:val="left"/>
      <w:pPr>
        <w:ind w:left="4320" w:hanging="360"/>
      </w:pPr>
      <w:rPr>
        <w:rFonts w:ascii="Wingdings" w:hAnsi="Wingdings" w:hint="default"/>
      </w:rPr>
    </w:lvl>
    <w:lvl w:ilvl="6" w:tplc="2C4E3132">
      <w:start w:val="1"/>
      <w:numFmt w:val="bullet"/>
      <w:lvlText w:val=""/>
      <w:lvlJc w:val="left"/>
      <w:pPr>
        <w:ind w:left="5040" w:hanging="360"/>
      </w:pPr>
      <w:rPr>
        <w:rFonts w:ascii="Symbol" w:hAnsi="Symbol" w:hint="default"/>
      </w:rPr>
    </w:lvl>
    <w:lvl w:ilvl="7" w:tplc="D592E7F4">
      <w:start w:val="1"/>
      <w:numFmt w:val="bullet"/>
      <w:lvlText w:val="o"/>
      <w:lvlJc w:val="left"/>
      <w:pPr>
        <w:ind w:left="5760" w:hanging="360"/>
      </w:pPr>
      <w:rPr>
        <w:rFonts w:ascii="Courier New" w:hAnsi="Courier New" w:hint="default"/>
      </w:rPr>
    </w:lvl>
    <w:lvl w:ilvl="8" w:tplc="FEFE0D48">
      <w:start w:val="1"/>
      <w:numFmt w:val="bullet"/>
      <w:lvlText w:val=""/>
      <w:lvlJc w:val="left"/>
      <w:pPr>
        <w:ind w:left="6480" w:hanging="360"/>
      </w:pPr>
      <w:rPr>
        <w:rFonts w:ascii="Wingdings" w:hAnsi="Wingdings" w:hint="default"/>
      </w:rPr>
    </w:lvl>
  </w:abstractNum>
  <w:abstractNum w:abstractNumId="2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7972676">
    <w:abstractNumId w:val="12"/>
  </w:num>
  <w:num w:numId="2" w16cid:durableId="61147705">
    <w:abstractNumId w:val="13"/>
  </w:num>
  <w:num w:numId="3" w16cid:durableId="1717851676">
    <w:abstractNumId w:val="1"/>
  </w:num>
  <w:num w:numId="4" w16cid:durableId="771978381">
    <w:abstractNumId w:val="3"/>
  </w:num>
  <w:num w:numId="5" w16cid:durableId="834303877">
    <w:abstractNumId w:val="17"/>
  </w:num>
  <w:num w:numId="6" w16cid:durableId="971329645">
    <w:abstractNumId w:val="27"/>
  </w:num>
  <w:num w:numId="7" w16cid:durableId="52895227">
    <w:abstractNumId w:val="9"/>
  </w:num>
  <w:num w:numId="8" w16cid:durableId="351032333">
    <w:abstractNumId w:val="2"/>
  </w:num>
  <w:num w:numId="9" w16cid:durableId="1067413603">
    <w:abstractNumId w:val="15"/>
  </w:num>
  <w:num w:numId="10" w16cid:durableId="931426930">
    <w:abstractNumId w:val="30"/>
  </w:num>
  <w:num w:numId="11" w16cid:durableId="1422484198">
    <w:abstractNumId w:val="25"/>
  </w:num>
  <w:num w:numId="12" w16cid:durableId="552929862">
    <w:abstractNumId w:val="26"/>
  </w:num>
  <w:num w:numId="13" w16cid:durableId="587203086">
    <w:abstractNumId w:val="31"/>
  </w:num>
  <w:num w:numId="14" w16cid:durableId="389156196">
    <w:abstractNumId w:val="20"/>
  </w:num>
  <w:num w:numId="15" w16cid:durableId="1393503788">
    <w:abstractNumId w:val="6"/>
  </w:num>
  <w:num w:numId="16" w16cid:durableId="1579359955">
    <w:abstractNumId w:val="18"/>
  </w:num>
  <w:num w:numId="17" w16cid:durableId="806699681">
    <w:abstractNumId w:val="19"/>
  </w:num>
  <w:num w:numId="18" w16cid:durableId="1314750107">
    <w:abstractNumId w:val="16"/>
  </w:num>
  <w:num w:numId="19" w16cid:durableId="1766919701">
    <w:abstractNumId w:val="24"/>
  </w:num>
  <w:num w:numId="20" w16cid:durableId="1957908719">
    <w:abstractNumId w:val="11"/>
  </w:num>
  <w:num w:numId="21" w16cid:durableId="1132019979">
    <w:abstractNumId w:val="5"/>
  </w:num>
  <w:num w:numId="22" w16cid:durableId="1457524365">
    <w:abstractNumId w:val="8"/>
  </w:num>
  <w:num w:numId="23" w16cid:durableId="1386294306">
    <w:abstractNumId w:val="33"/>
  </w:num>
  <w:num w:numId="24" w16cid:durableId="1838374920">
    <w:abstractNumId w:val="28"/>
  </w:num>
  <w:num w:numId="25" w16cid:durableId="1827044992">
    <w:abstractNumId w:val="10"/>
  </w:num>
  <w:num w:numId="26" w16cid:durableId="895820667">
    <w:abstractNumId w:val="21"/>
  </w:num>
  <w:num w:numId="27" w16cid:durableId="817497522">
    <w:abstractNumId w:val="35"/>
  </w:num>
  <w:num w:numId="28" w16cid:durableId="725690465">
    <w:abstractNumId w:val="0"/>
  </w:num>
  <w:num w:numId="29" w16cid:durableId="1814372142">
    <w:abstractNumId w:val="29"/>
  </w:num>
  <w:num w:numId="30" w16cid:durableId="258563261">
    <w:abstractNumId w:val="32"/>
  </w:num>
  <w:num w:numId="31" w16cid:durableId="1306274523">
    <w:abstractNumId w:val="34"/>
  </w:num>
  <w:num w:numId="32" w16cid:durableId="1396465663">
    <w:abstractNumId w:val="7"/>
  </w:num>
  <w:num w:numId="33" w16cid:durableId="2003313661">
    <w:abstractNumId w:val="4"/>
  </w:num>
  <w:num w:numId="34" w16cid:durableId="1522668326">
    <w:abstractNumId w:val="14"/>
  </w:num>
  <w:num w:numId="35" w16cid:durableId="325865856">
    <w:abstractNumId w:val="23"/>
  </w:num>
  <w:num w:numId="36" w16cid:durableId="62065476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57100"/>
    <w:rsid w:val="0006186F"/>
    <w:rsid w:val="00070818"/>
    <w:rsid w:val="00071953"/>
    <w:rsid w:val="0008238F"/>
    <w:rsid w:val="00082EC6"/>
    <w:rsid w:val="00085388"/>
    <w:rsid w:val="000D41DC"/>
    <w:rsid w:val="000E7045"/>
    <w:rsid w:val="00117D64"/>
    <w:rsid w:val="00125D37"/>
    <w:rsid w:val="00127C1A"/>
    <w:rsid w:val="00132F09"/>
    <w:rsid w:val="00150D81"/>
    <w:rsid w:val="001634B4"/>
    <w:rsid w:val="00166CEB"/>
    <w:rsid w:val="00183CB9"/>
    <w:rsid w:val="00184A9A"/>
    <w:rsid w:val="001947DF"/>
    <w:rsid w:val="00195F95"/>
    <w:rsid w:val="001B22BB"/>
    <w:rsid w:val="001B619C"/>
    <w:rsid w:val="001D1D3C"/>
    <w:rsid w:val="002205D4"/>
    <w:rsid w:val="002205DF"/>
    <w:rsid w:val="00221BDF"/>
    <w:rsid w:val="00222C3A"/>
    <w:rsid w:val="00226D31"/>
    <w:rsid w:val="00231FCC"/>
    <w:rsid w:val="00236401"/>
    <w:rsid w:val="002370CE"/>
    <w:rsid w:val="00242974"/>
    <w:rsid w:val="0026481C"/>
    <w:rsid w:val="0028046C"/>
    <w:rsid w:val="002844BA"/>
    <w:rsid w:val="002976D4"/>
    <w:rsid w:val="002A5577"/>
    <w:rsid w:val="002B4AA4"/>
    <w:rsid w:val="002C2204"/>
    <w:rsid w:val="002E71BA"/>
    <w:rsid w:val="002F5066"/>
    <w:rsid w:val="003003FD"/>
    <w:rsid w:val="00310245"/>
    <w:rsid w:val="00316C95"/>
    <w:rsid w:val="00344174"/>
    <w:rsid w:val="003458DB"/>
    <w:rsid w:val="003523D3"/>
    <w:rsid w:val="00364C35"/>
    <w:rsid w:val="00373EBC"/>
    <w:rsid w:val="00377434"/>
    <w:rsid w:val="00386531"/>
    <w:rsid w:val="00396F60"/>
    <w:rsid w:val="003A51D6"/>
    <w:rsid w:val="003A6693"/>
    <w:rsid w:val="003B125E"/>
    <w:rsid w:val="003B2A5E"/>
    <w:rsid w:val="003C7C97"/>
    <w:rsid w:val="003E3303"/>
    <w:rsid w:val="004007A0"/>
    <w:rsid w:val="00406B8D"/>
    <w:rsid w:val="00410068"/>
    <w:rsid w:val="0041618E"/>
    <w:rsid w:val="00416EB0"/>
    <w:rsid w:val="0042295C"/>
    <w:rsid w:val="00426EEC"/>
    <w:rsid w:val="004466C3"/>
    <w:rsid w:val="004552CE"/>
    <w:rsid w:val="00461899"/>
    <w:rsid w:val="0048010B"/>
    <w:rsid w:val="00481FF7"/>
    <w:rsid w:val="004C26DF"/>
    <w:rsid w:val="00500295"/>
    <w:rsid w:val="00501AAF"/>
    <w:rsid w:val="00527AFA"/>
    <w:rsid w:val="005419DA"/>
    <w:rsid w:val="005678AC"/>
    <w:rsid w:val="005679BD"/>
    <w:rsid w:val="005709B1"/>
    <w:rsid w:val="00572B3B"/>
    <w:rsid w:val="005836D2"/>
    <w:rsid w:val="00587C58"/>
    <w:rsid w:val="005A21AA"/>
    <w:rsid w:val="005A7FD4"/>
    <w:rsid w:val="005B1A84"/>
    <w:rsid w:val="005D1AF9"/>
    <w:rsid w:val="005D3CD1"/>
    <w:rsid w:val="005D5457"/>
    <w:rsid w:val="005D739F"/>
    <w:rsid w:val="005E2699"/>
    <w:rsid w:val="005E44B5"/>
    <w:rsid w:val="00612DEA"/>
    <w:rsid w:val="00614572"/>
    <w:rsid w:val="006232DF"/>
    <w:rsid w:val="00631AA3"/>
    <w:rsid w:val="00631F2E"/>
    <w:rsid w:val="006457C0"/>
    <w:rsid w:val="00652BB7"/>
    <w:rsid w:val="00661758"/>
    <w:rsid w:val="00672718"/>
    <w:rsid w:val="0067612C"/>
    <w:rsid w:val="00676FEB"/>
    <w:rsid w:val="00687BCA"/>
    <w:rsid w:val="006912C4"/>
    <w:rsid w:val="006A5CFC"/>
    <w:rsid w:val="006A74E0"/>
    <w:rsid w:val="006C5138"/>
    <w:rsid w:val="006C689B"/>
    <w:rsid w:val="006E005C"/>
    <w:rsid w:val="006E6B1B"/>
    <w:rsid w:val="006E6EE5"/>
    <w:rsid w:val="006F0029"/>
    <w:rsid w:val="00704216"/>
    <w:rsid w:val="007138EF"/>
    <w:rsid w:val="00730130"/>
    <w:rsid w:val="00745EF4"/>
    <w:rsid w:val="007632A9"/>
    <w:rsid w:val="0076674B"/>
    <w:rsid w:val="00770126"/>
    <w:rsid w:val="00774092"/>
    <w:rsid w:val="00782830"/>
    <w:rsid w:val="0078664A"/>
    <w:rsid w:val="007B0F6D"/>
    <w:rsid w:val="007B2967"/>
    <w:rsid w:val="007C62C3"/>
    <w:rsid w:val="007D25AA"/>
    <w:rsid w:val="007F0873"/>
    <w:rsid w:val="00805726"/>
    <w:rsid w:val="00815117"/>
    <w:rsid w:val="00824CB1"/>
    <w:rsid w:val="008346C9"/>
    <w:rsid w:val="008520F8"/>
    <w:rsid w:val="00855F34"/>
    <w:rsid w:val="0087117B"/>
    <w:rsid w:val="008826B6"/>
    <w:rsid w:val="008B0B22"/>
    <w:rsid w:val="008C58B0"/>
    <w:rsid w:val="008C591B"/>
    <w:rsid w:val="008C6182"/>
    <w:rsid w:val="0090779E"/>
    <w:rsid w:val="00926458"/>
    <w:rsid w:val="00933720"/>
    <w:rsid w:val="00971A1A"/>
    <w:rsid w:val="009A79A3"/>
    <w:rsid w:val="009C7E52"/>
    <w:rsid w:val="009D3847"/>
    <w:rsid w:val="009E4934"/>
    <w:rsid w:val="009F25D2"/>
    <w:rsid w:val="009F40A7"/>
    <w:rsid w:val="009F5CE6"/>
    <w:rsid w:val="00A035CD"/>
    <w:rsid w:val="00A31E2F"/>
    <w:rsid w:val="00A50E80"/>
    <w:rsid w:val="00A513B0"/>
    <w:rsid w:val="00A63F7F"/>
    <w:rsid w:val="00A667CE"/>
    <w:rsid w:val="00A75042"/>
    <w:rsid w:val="00A774BC"/>
    <w:rsid w:val="00A80692"/>
    <w:rsid w:val="00A82678"/>
    <w:rsid w:val="00A841B2"/>
    <w:rsid w:val="00A93729"/>
    <w:rsid w:val="00A946CB"/>
    <w:rsid w:val="00A9795D"/>
    <w:rsid w:val="00AA77C8"/>
    <w:rsid w:val="00AC7BE2"/>
    <w:rsid w:val="00AE35BF"/>
    <w:rsid w:val="00AE6191"/>
    <w:rsid w:val="00B1067E"/>
    <w:rsid w:val="00B318D7"/>
    <w:rsid w:val="00B81790"/>
    <w:rsid w:val="00B81BBC"/>
    <w:rsid w:val="00BD03D5"/>
    <w:rsid w:val="00C1457F"/>
    <w:rsid w:val="00C3215E"/>
    <w:rsid w:val="00C426EA"/>
    <w:rsid w:val="00C45272"/>
    <w:rsid w:val="00C47770"/>
    <w:rsid w:val="00C75856"/>
    <w:rsid w:val="00C85A7C"/>
    <w:rsid w:val="00C95214"/>
    <w:rsid w:val="00CC3F59"/>
    <w:rsid w:val="00CD4774"/>
    <w:rsid w:val="00CE1732"/>
    <w:rsid w:val="00D10AAF"/>
    <w:rsid w:val="00D27540"/>
    <w:rsid w:val="00D4006B"/>
    <w:rsid w:val="00D40D7A"/>
    <w:rsid w:val="00D5338F"/>
    <w:rsid w:val="00D56687"/>
    <w:rsid w:val="00D64A0D"/>
    <w:rsid w:val="00D676C3"/>
    <w:rsid w:val="00D72334"/>
    <w:rsid w:val="00D750B4"/>
    <w:rsid w:val="00D813D7"/>
    <w:rsid w:val="00D81C18"/>
    <w:rsid w:val="00D8461A"/>
    <w:rsid w:val="00D95CAF"/>
    <w:rsid w:val="00DA37C9"/>
    <w:rsid w:val="00DB60B6"/>
    <w:rsid w:val="00DC1CC6"/>
    <w:rsid w:val="00DD5135"/>
    <w:rsid w:val="00DF0DA9"/>
    <w:rsid w:val="00DF1067"/>
    <w:rsid w:val="00E03E36"/>
    <w:rsid w:val="00E067A8"/>
    <w:rsid w:val="00E13924"/>
    <w:rsid w:val="00E15FD5"/>
    <w:rsid w:val="00E1725A"/>
    <w:rsid w:val="00E269A2"/>
    <w:rsid w:val="00E33758"/>
    <w:rsid w:val="00E53E5E"/>
    <w:rsid w:val="00E64325"/>
    <w:rsid w:val="00E673C5"/>
    <w:rsid w:val="00E67967"/>
    <w:rsid w:val="00E82723"/>
    <w:rsid w:val="00EA29A5"/>
    <w:rsid w:val="00EC107C"/>
    <w:rsid w:val="00EC7EBE"/>
    <w:rsid w:val="00EC7FD2"/>
    <w:rsid w:val="00ED5964"/>
    <w:rsid w:val="00F06E6C"/>
    <w:rsid w:val="00F07530"/>
    <w:rsid w:val="00F1720B"/>
    <w:rsid w:val="00F36ADC"/>
    <w:rsid w:val="00F605C6"/>
    <w:rsid w:val="00F6785B"/>
    <w:rsid w:val="00F9012D"/>
    <w:rsid w:val="00F915D6"/>
    <w:rsid w:val="00FA6B85"/>
    <w:rsid w:val="00FE0DD2"/>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5191478A-F3BD-4CAC-B9DB-FCD752459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4007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1967</TotalTime>
  <Pages>6</Pages>
  <Words>1645</Words>
  <Characters>9381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Izzie-louise Hickling</cp:lastModifiedBy>
  <cp:revision>46</cp:revision>
  <dcterms:created xsi:type="dcterms:W3CDTF">2026-04-14T17:41:00Z</dcterms:created>
  <dcterms:modified xsi:type="dcterms:W3CDTF">2026-04-18T11:04:00Z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