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id w:val="853231621"/>
        <w:docPartObj>
          <w:docPartGallery w:val="autotext"/>
        </w:docPartObj>
      </w:sdtPr>
      <w:sdtEndPr>
        <w:rPr>
          <w:lang w:val="zh-CN"/>
        </w:rPr>
      </w:sdtEndPr>
      <w:sdtContent>
        <w:p/>
        <w:p>
          <w:pPr>
            <w:jc w:val="center"/>
            <w:rPr>
              <w:rFonts w:ascii="Times New Roman" w:hAnsi="Times New Roman" w:cs="Times New Roman"/>
              <w:b/>
              <w:bCs/>
              <w:sz w:val="36"/>
              <w:szCs w:val="36"/>
            </w:rPr>
          </w:pPr>
        </w:p>
        <w:p>
          <w:pPr>
            <w:jc w:val="center"/>
            <w:rPr>
              <w:rFonts w:ascii="Times New Roman" w:hAnsi="Times New Roman" w:cs="Times New Roman"/>
              <w:b/>
              <w:bCs/>
              <w:sz w:val="36"/>
              <w:szCs w:val="36"/>
            </w:rPr>
          </w:pPr>
        </w:p>
        <w:p>
          <w:pPr>
            <w:jc w:val="center"/>
            <w:rPr>
              <w:rFonts w:ascii="Times New Roman" w:hAnsi="Times New Roman" w:cs="Times New Roman"/>
              <w:b/>
              <w:bCs/>
              <w:sz w:val="36"/>
              <w:szCs w:val="36"/>
            </w:rPr>
          </w:pPr>
        </w:p>
        <w:p>
          <w:pPr>
            <w:jc w:val="center"/>
            <w:rPr>
              <w:rFonts w:ascii="Times New Roman" w:hAnsi="Times New Roman" w:cs="Times New Roman"/>
              <w:b/>
              <w:bCs/>
              <w:sz w:val="36"/>
              <w:szCs w:val="36"/>
            </w:rPr>
          </w:pPr>
        </w:p>
        <w:p>
          <w:pPr>
            <w:jc w:val="center"/>
            <w:rPr>
              <w:rFonts w:ascii="Times New Roman" w:hAnsi="Times New Roman" w:cs="Times New Roman"/>
              <w:b/>
              <w:bCs/>
              <w:sz w:val="36"/>
              <w:szCs w:val="36"/>
            </w:rPr>
          </w:pPr>
          <w:r>
            <w:rPr>
              <w:rFonts w:hint="eastAsia" w:ascii="Times New Roman" w:hAnsi="Times New Roman" w:cs="Times New Roman"/>
              <w:b/>
              <w:bCs/>
              <w:sz w:val="36"/>
              <w:szCs w:val="36"/>
            </w:rPr>
            <w:t>Analysis for the entry of HCC into the Singapore market based on marketing mix</w:t>
          </w:r>
        </w:p>
        <w:p>
          <w:pPr>
            <w:widowControl/>
            <w:spacing w:line="360" w:lineRule="auto"/>
            <w:jc w:val="center"/>
            <w:rPr>
              <w:rFonts w:ascii="Times New Roman" w:hAnsi="Times New Roman" w:eastAsia="宋体" w:cs="Times New Roman"/>
              <w:b/>
              <w:bCs/>
              <w:kern w:val="0"/>
              <w:sz w:val="24"/>
              <w:szCs w:val="24"/>
              <w:lang w:val="en-US"/>
            </w:rPr>
          </w:pPr>
        </w:p>
        <w:p>
          <w:pPr>
            <w:widowControl/>
            <w:spacing w:line="360" w:lineRule="auto"/>
            <w:jc w:val="center"/>
            <w:rPr>
              <w:rFonts w:ascii="Times New Roman" w:hAnsi="Times New Roman" w:eastAsia="宋体" w:cs="Times New Roman"/>
              <w:b/>
              <w:bCs/>
              <w:kern w:val="0"/>
              <w:sz w:val="24"/>
              <w:szCs w:val="24"/>
              <w:lang w:val="en-US"/>
            </w:rPr>
          </w:pPr>
        </w:p>
        <w:p>
          <w:pPr>
            <w:widowControl/>
            <w:spacing w:line="360" w:lineRule="auto"/>
            <w:jc w:val="center"/>
            <w:rPr>
              <w:rFonts w:ascii="Times New Roman" w:hAnsi="Times New Roman" w:eastAsia="宋体" w:cs="Times New Roman"/>
              <w:b/>
              <w:bCs/>
              <w:kern w:val="0"/>
              <w:sz w:val="24"/>
              <w:szCs w:val="24"/>
              <w:lang w:val="en-US"/>
            </w:rPr>
          </w:pPr>
          <w:r>
            <w:rPr>
              <w:rFonts w:ascii="Times New Roman" w:hAnsi="Times New Roman" w:eastAsia="宋体" w:cs="Times New Roman"/>
              <w:b/>
              <w:bCs/>
              <w:kern w:val="0"/>
              <w:sz w:val="24"/>
              <w:szCs w:val="24"/>
              <w:lang w:val="en-US"/>
            </w:rPr>
            <w:t>M</w:t>
          </w:r>
          <w:r>
            <w:rPr>
              <w:rFonts w:hint="eastAsia" w:ascii="Times New Roman" w:hAnsi="Times New Roman" w:eastAsia="宋体" w:cs="Times New Roman"/>
              <w:b/>
              <w:bCs/>
              <w:kern w:val="0"/>
              <w:sz w:val="24"/>
              <w:szCs w:val="24"/>
              <w:lang w:val="en-US"/>
            </w:rPr>
            <w:t>odule</w:t>
          </w:r>
          <w:r>
            <w:rPr>
              <w:rFonts w:ascii="Times New Roman" w:hAnsi="Times New Roman" w:eastAsia="宋体" w:cs="Times New Roman"/>
              <w:b/>
              <w:bCs/>
              <w:kern w:val="0"/>
              <w:sz w:val="24"/>
              <w:szCs w:val="24"/>
              <w:lang w:val="en-US"/>
            </w:rPr>
            <w:t xml:space="preserve"> N</w:t>
          </w:r>
          <w:r>
            <w:rPr>
              <w:rFonts w:hint="eastAsia" w:ascii="Times New Roman" w:hAnsi="Times New Roman" w:eastAsia="宋体" w:cs="Times New Roman"/>
              <w:b/>
              <w:bCs/>
              <w:kern w:val="0"/>
              <w:sz w:val="24"/>
              <w:szCs w:val="24"/>
              <w:lang w:val="en-US"/>
            </w:rPr>
            <w:t>ame</w:t>
          </w:r>
          <w:r>
            <w:rPr>
              <w:rFonts w:ascii="Times New Roman" w:hAnsi="Times New Roman" w:eastAsia="宋体" w:cs="Times New Roman"/>
              <w:b/>
              <w:bCs/>
              <w:kern w:val="0"/>
              <w:sz w:val="24"/>
              <w:szCs w:val="24"/>
              <w:lang w:val="en-US"/>
            </w:rPr>
            <w:t xml:space="preserve">: </w:t>
          </w:r>
          <w:r>
            <w:rPr>
              <w:rFonts w:hint="eastAsia" w:ascii="Times New Roman" w:hAnsi="Times New Roman" w:eastAsia="宋体" w:cs="Times New Roman"/>
              <w:b/>
              <w:bCs/>
              <w:kern w:val="0"/>
              <w:sz w:val="24"/>
              <w:szCs w:val="24"/>
              <w:lang w:val="en-US"/>
            </w:rPr>
            <w:t>Global Marketing Strategy (M3X9086)</w:t>
          </w:r>
        </w:p>
        <w:p>
          <w:pPr>
            <w:widowControl/>
            <w:spacing w:line="360" w:lineRule="auto"/>
            <w:jc w:val="center"/>
            <w:rPr>
              <w:rFonts w:ascii="Times New Roman" w:hAnsi="Times New Roman" w:eastAsia="宋体" w:cs="Times New Roman"/>
              <w:b/>
              <w:bCs/>
              <w:kern w:val="0"/>
              <w:sz w:val="24"/>
              <w:szCs w:val="24"/>
              <w:lang w:val="en-US"/>
            </w:rPr>
          </w:pPr>
          <w:r>
            <w:rPr>
              <w:rFonts w:ascii="Times New Roman" w:hAnsi="Times New Roman" w:eastAsia="宋体" w:cs="Times New Roman"/>
              <w:b/>
              <w:bCs/>
              <w:kern w:val="0"/>
              <w:sz w:val="24"/>
              <w:szCs w:val="24"/>
              <w:lang w:val="en-US"/>
            </w:rPr>
            <w:t>S</w:t>
          </w:r>
          <w:r>
            <w:rPr>
              <w:rFonts w:hint="eastAsia" w:ascii="Times New Roman" w:hAnsi="Times New Roman" w:eastAsia="宋体" w:cs="Times New Roman"/>
              <w:b/>
              <w:bCs/>
              <w:kern w:val="0"/>
              <w:sz w:val="24"/>
              <w:szCs w:val="24"/>
              <w:lang w:val="en-US"/>
            </w:rPr>
            <w:t>tudent</w:t>
          </w:r>
          <w:r>
            <w:rPr>
              <w:rFonts w:ascii="Times New Roman" w:hAnsi="Times New Roman" w:eastAsia="宋体" w:cs="Times New Roman"/>
              <w:b/>
              <w:bCs/>
              <w:kern w:val="0"/>
              <w:sz w:val="24"/>
              <w:szCs w:val="24"/>
              <w:lang w:val="en-US"/>
            </w:rPr>
            <w:t xml:space="preserve"> Name: Ji</w:t>
          </w:r>
          <w:r>
            <w:rPr>
              <w:rFonts w:hint="eastAsia" w:ascii="Times New Roman" w:hAnsi="Times New Roman" w:eastAsia="宋体" w:cs="Times New Roman"/>
              <w:b/>
              <w:bCs/>
              <w:kern w:val="0"/>
              <w:sz w:val="24"/>
              <w:szCs w:val="24"/>
              <w:lang w:val="en-US"/>
            </w:rPr>
            <w:t>ng Wu</w:t>
          </w:r>
        </w:p>
        <w:p>
          <w:pPr>
            <w:widowControl/>
            <w:spacing w:line="360" w:lineRule="auto"/>
            <w:jc w:val="center"/>
            <w:rPr>
              <w:rFonts w:ascii="Times New Roman" w:hAnsi="Times New Roman" w:eastAsia="宋体" w:cs="Times New Roman"/>
              <w:b/>
              <w:bCs/>
              <w:kern w:val="0"/>
              <w:sz w:val="24"/>
              <w:szCs w:val="24"/>
              <w:lang w:val="en-US"/>
            </w:rPr>
          </w:pPr>
          <w:r>
            <w:rPr>
              <w:rFonts w:ascii="Times New Roman" w:hAnsi="Times New Roman" w:eastAsia="宋体" w:cs="Times New Roman"/>
              <w:b/>
              <w:bCs/>
              <w:kern w:val="0"/>
              <w:sz w:val="24"/>
              <w:szCs w:val="24"/>
              <w:lang w:val="en-US"/>
            </w:rPr>
            <w:t>Student Number: 190</w:t>
          </w:r>
          <w:r>
            <w:rPr>
              <w:rFonts w:hint="eastAsia" w:ascii="Times New Roman" w:hAnsi="Times New Roman" w:eastAsia="宋体" w:cs="Times New Roman"/>
              <w:b/>
              <w:bCs/>
              <w:kern w:val="0"/>
              <w:sz w:val="24"/>
              <w:szCs w:val="24"/>
              <w:lang w:val="en-US"/>
            </w:rPr>
            <w:t>0279</w:t>
          </w:r>
        </w:p>
        <w:p>
          <w:pPr>
            <w:widowControl/>
            <w:spacing w:line="360" w:lineRule="auto"/>
            <w:jc w:val="left"/>
            <w:rPr>
              <w:rFonts w:ascii="Times New Roman" w:hAnsi="Times New Roman" w:eastAsia="宋体" w:cs="Times New Roman"/>
              <w:b/>
              <w:bCs/>
              <w:kern w:val="0"/>
              <w:sz w:val="24"/>
              <w:szCs w:val="24"/>
              <w:lang w:val="en-US"/>
            </w:rPr>
          </w:pPr>
        </w:p>
        <w:p>
          <w:pPr>
            <w:widowControl/>
            <w:spacing w:line="360" w:lineRule="auto"/>
            <w:jc w:val="right"/>
            <w:rPr>
              <w:rFonts w:ascii="Times New Roman" w:hAnsi="Times New Roman" w:eastAsia="宋体" w:cs="Times New Roman"/>
              <w:b/>
              <w:bCs/>
              <w:kern w:val="0"/>
              <w:sz w:val="24"/>
              <w:szCs w:val="24"/>
              <w:lang w:val="en-US"/>
            </w:rPr>
          </w:pPr>
        </w:p>
        <w:p>
          <w:pPr>
            <w:widowControl/>
            <w:spacing w:line="360" w:lineRule="auto"/>
            <w:jc w:val="right"/>
            <w:rPr>
              <w:rFonts w:ascii="Times New Roman" w:hAnsi="Times New Roman" w:eastAsia="宋体" w:cs="Times New Roman"/>
              <w:b/>
              <w:bCs/>
              <w:kern w:val="0"/>
              <w:sz w:val="24"/>
              <w:szCs w:val="24"/>
              <w:lang w:val="en-US"/>
            </w:rPr>
          </w:pPr>
        </w:p>
        <w:p>
          <w:pPr>
            <w:widowControl/>
            <w:spacing w:line="360" w:lineRule="auto"/>
            <w:jc w:val="center"/>
            <w:rPr>
              <w:rFonts w:ascii="Times New Roman" w:hAnsi="Times New Roman" w:eastAsia="宋体" w:cs="Times New Roman"/>
              <w:b/>
              <w:bCs/>
              <w:kern w:val="0"/>
              <w:sz w:val="24"/>
              <w:szCs w:val="24"/>
              <w:lang w:val="en-US"/>
            </w:rPr>
          </w:pPr>
          <w:r>
            <w:rPr>
              <w:rFonts w:ascii="Times New Roman" w:hAnsi="Times New Roman" w:eastAsia="宋体" w:cs="Times New Roman"/>
              <w:b/>
              <w:bCs/>
              <w:kern w:val="0"/>
              <w:sz w:val="24"/>
              <w:szCs w:val="24"/>
              <w:lang w:val="en-US"/>
            </w:rPr>
            <w:t>2</w:t>
          </w:r>
          <w:r>
            <w:rPr>
              <w:rFonts w:hint="eastAsia" w:eastAsia="宋体" w:cs="Times New Roman"/>
              <w:b/>
              <w:bCs/>
              <w:kern w:val="0"/>
              <w:sz w:val="24"/>
              <w:szCs w:val="24"/>
              <w:lang w:val="en-US" w:eastAsia="zh-CN"/>
            </w:rPr>
            <w:t>5</w:t>
          </w:r>
          <w:r>
            <w:rPr>
              <w:rFonts w:hint="eastAsia" w:ascii="Times New Roman" w:hAnsi="Times New Roman" w:eastAsia="宋体" w:cs="Times New Roman"/>
              <w:b/>
              <w:bCs/>
              <w:kern w:val="0"/>
              <w:sz w:val="24"/>
              <w:szCs w:val="24"/>
              <w:lang w:val="en-US"/>
            </w:rPr>
            <w:t>/0</w:t>
          </w:r>
          <w:r>
            <w:rPr>
              <w:rFonts w:hint="eastAsia" w:eastAsia="宋体" w:cs="Times New Roman"/>
              <w:b/>
              <w:bCs/>
              <w:kern w:val="0"/>
              <w:sz w:val="24"/>
              <w:szCs w:val="24"/>
              <w:lang w:val="en-US" w:eastAsia="zh-CN"/>
            </w:rPr>
            <w:t>5</w:t>
          </w:r>
          <w:r>
            <w:rPr>
              <w:rFonts w:hint="eastAsia" w:ascii="Times New Roman" w:hAnsi="Times New Roman" w:eastAsia="宋体" w:cs="Times New Roman"/>
              <w:b/>
              <w:bCs/>
              <w:kern w:val="0"/>
              <w:sz w:val="24"/>
              <w:szCs w:val="24"/>
              <w:lang w:val="en-US"/>
            </w:rPr>
            <w:t>/</w:t>
          </w:r>
          <w:r>
            <w:rPr>
              <w:rFonts w:ascii="Times New Roman" w:hAnsi="Times New Roman" w:eastAsia="宋体" w:cs="Times New Roman"/>
              <w:b/>
              <w:bCs/>
              <w:kern w:val="0"/>
              <w:sz w:val="24"/>
              <w:szCs w:val="24"/>
              <w:lang w:val="en-US"/>
            </w:rPr>
            <w:t>2020</w:t>
          </w:r>
        </w:p>
        <w:p>
          <w:pPr>
            <w:widowControl/>
            <w:spacing w:line="360" w:lineRule="auto"/>
            <w:jc w:val="center"/>
            <w:rPr>
              <w:rFonts w:ascii="Times New Roman" w:hAnsi="Times New Roman" w:eastAsia="宋体" w:cs="Times New Roman"/>
              <w:b/>
              <w:bCs/>
              <w:kern w:val="0"/>
              <w:sz w:val="24"/>
              <w:szCs w:val="24"/>
              <w:lang w:val="en-US"/>
            </w:rPr>
          </w:pPr>
        </w:p>
        <w:p>
          <w:pPr>
            <w:widowControl/>
            <w:jc w:val="left"/>
            <w:rPr>
              <w:rFonts w:ascii="Calibri" w:hAnsi="Calibri" w:eastAsia="宋体" w:cs="Times New Roman"/>
              <w:kern w:val="0"/>
              <w:sz w:val="20"/>
              <w:szCs w:val="20"/>
              <w:lang w:val="en-US"/>
            </w:rPr>
          </w:pPr>
        </w:p>
        <w:p>
          <w:pPr>
            <w:widowControl/>
            <w:jc w:val="left"/>
            <w:rPr>
              <w:rFonts w:ascii="Times" w:hAnsi="Times" w:cs="Adobe Hebrew" w:eastAsiaTheme="minorEastAsia"/>
              <w:sz w:val="22"/>
              <w:szCs w:val="22"/>
            </w:rPr>
          </w:pPr>
          <w:r>
            <w:rPr>
              <w:rFonts w:ascii="Calibri" w:hAnsi="Calibri" w:eastAsia="宋体" w:cs="Times New Roman"/>
              <w:kern w:val="0"/>
              <w:sz w:val="20"/>
              <w:szCs w:val="20"/>
              <w:lang w:val="en-US" w:eastAsia="en-GB"/>
            </w:rPr>
            <w:drawing>
              <wp:anchor distT="0" distB="0" distL="114300" distR="114300" simplePos="0" relativeHeight="251734016" behindDoc="0" locked="0" layoutInCell="1" allowOverlap="1">
                <wp:simplePos x="0" y="0"/>
                <wp:positionH relativeFrom="margin">
                  <wp:posOffset>2972435</wp:posOffset>
                </wp:positionH>
                <wp:positionV relativeFrom="paragraph">
                  <wp:posOffset>2098675</wp:posOffset>
                </wp:positionV>
                <wp:extent cx="2355215" cy="926465"/>
                <wp:effectExtent l="0" t="0" r="6985" b="6985"/>
                <wp:wrapNone/>
                <wp:docPr id="18" name="Picture 11" descr="http://www.southwaleschamber.co.uk/UserFiles/Image/Uni%20of%20S%20Wales%20Trinity%20St%20Davi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1" descr="http://www.southwaleschamber.co.uk/UserFiles/Image/Uni%20of%20S%20Wales%20Trinity%20St%20David.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2355215" cy="926465"/>
                        </a:xfrm>
                        <a:prstGeom prst="rect">
                          <a:avLst/>
                        </a:prstGeom>
                        <a:noFill/>
                        <a:ln>
                          <a:noFill/>
                        </a:ln>
                      </pic:spPr>
                    </pic:pic>
                  </a:graphicData>
                </a:graphic>
              </wp:anchor>
            </w:drawing>
          </w:r>
          <w:r>
            <w:br w:type="page"/>
          </w:r>
        </w:p>
      </w:sdtContent>
    </w:sdt>
    <w:p>
      <w:pPr>
        <w:pStyle w:val="2"/>
        <w:rPr>
          <w:rFonts w:ascii="Times" w:hAnsi="Times" w:cs="Adobe Hebrew" w:eastAsiaTheme="minorEastAsia"/>
          <w:b w:val="0"/>
          <w:sz w:val="22"/>
          <w:szCs w:val="22"/>
        </w:rPr>
      </w:pPr>
      <w:bookmarkStart w:id="0" w:name="_Toc12678"/>
      <w:r>
        <w:rPr>
          <w:rFonts w:ascii="Times" w:hAnsi="Times" w:cs="Adobe Hebrew" w:eastAsiaTheme="minorEastAsia"/>
          <w:sz w:val="22"/>
          <w:szCs w:val="22"/>
        </w:rPr>
        <w:t xml:space="preserve">Executive </w:t>
      </w:r>
      <w:r>
        <w:rPr>
          <w:rFonts w:ascii="Times" w:hAnsi="Times" w:cs="Adobe Hebrew" w:eastAsiaTheme="minorEastAsia"/>
          <w:b w:val="0"/>
          <w:sz w:val="22"/>
          <w:szCs w:val="22"/>
        </w:rPr>
        <w:t>S</w:t>
      </w:r>
      <w:r>
        <w:rPr>
          <w:rFonts w:ascii="Times" w:hAnsi="Times" w:cs="Adobe Hebrew" w:eastAsiaTheme="minorEastAsia"/>
          <w:sz w:val="22"/>
          <w:szCs w:val="22"/>
        </w:rPr>
        <w:t>ummary</w:t>
      </w:r>
      <w:bookmarkEnd w:id="0"/>
    </w:p>
    <w:p>
      <w:pPr>
        <w:jc w:val="both"/>
        <w:rPr>
          <w:rFonts w:ascii="Times" w:hAnsi="Times" w:cs="Adobe Hebrew" w:eastAsiaTheme="minorEastAsia"/>
          <w:bCs/>
          <w:sz w:val="22"/>
          <w:szCs w:val="22"/>
        </w:rPr>
      </w:pPr>
      <w:r>
        <w:rPr>
          <w:rFonts w:ascii="Times" w:hAnsi="Times" w:cs="Adobe Hebrew" w:eastAsiaTheme="minorEastAsia"/>
          <w:bCs/>
          <w:sz w:val="22"/>
          <w:szCs w:val="22"/>
        </w:rPr>
        <w:t>Welsh Lamb is a red meat production project organized by Hybu Cig Cymru (HCC) to provide customers with high quality red meat products. The entry of Welsh Lamb into Singapore was very helpful for HCC to achieve its organizational goals. Upon entering the new target market, HCC need take various measures in terms of product, price, place, promotion and service to help Welsh Lamb adapt to the macro and industry environment in Singapore based on the marketing mix.</w:t>
      </w:r>
    </w:p>
    <w:p>
      <w:pPr>
        <w:jc w:val="both"/>
        <w:rPr>
          <w:rFonts w:ascii="Times" w:hAnsi="Times" w:cs="Adobe Hebrew" w:eastAsiaTheme="minorEastAsia"/>
          <w:bCs/>
          <w:sz w:val="22"/>
          <w:szCs w:val="22"/>
        </w:rPr>
      </w:pPr>
    </w:p>
    <w:p>
      <w:pPr>
        <w:jc w:val="both"/>
        <w:rPr>
          <w:rFonts w:ascii="Times" w:hAnsi="Times" w:cs="Adobe Hebrew" w:eastAsiaTheme="minorEastAsia"/>
          <w:bCs/>
          <w:sz w:val="22"/>
          <w:szCs w:val="22"/>
        </w:rPr>
      </w:pPr>
      <w:r>
        <w:rPr>
          <w:rFonts w:ascii="Times" w:hAnsi="Times" w:cs="Adobe Hebrew" w:eastAsiaTheme="minorEastAsia"/>
          <w:bCs/>
          <w:sz w:val="22"/>
          <w:szCs w:val="22"/>
        </w:rPr>
        <w:t>In terms of product, HCC needs to focus on the packaging of the product to ensure that the meat is properly preserved to meet the quality requirements in the Singapore market. In addition, antimicrobial packaging and anti-biodegradable packaging can be used as suitable methods for HCC.</w:t>
      </w:r>
    </w:p>
    <w:p>
      <w:pPr>
        <w:jc w:val="both"/>
        <w:rPr>
          <w:rFonts w:ascii="Times" w:hAnsi="Times" w:cs="Adobe Hebrew" w:eastAsiaTheme="minorEastAsia"/>
          <w:bCs/>
          <w:sz w:val="22"/>
          <w:szCs w:val="22"/>
        </w:rPr>
      </w:pPr>
    </w:p>
    <w:p>
      <w:pPr>
        <w:jc w:val="both"/>
        <w:rPr>
          <w:rFonts w:ascii="Times" w:hAnsi="Times" w:cs="Adobe Hebrew" w:eastAsiaTheme="minorEastAsia"/>
          <w:bCs/>
          <w:sz w:val="22"/>
          <w:szCs w:val="22"/>
        </w:rPr>
      </w:pPr>
      <w:r>
        <w:rPr>
          <w:rFonts w:ascii="Times" w:hAnsi="Times" w:cs="Adobe Hebrew" w:eastAsiaTheme="minorEastAsia"/>
          <w:bCs/>
          <w:sz w:val="22"/>
          <w:szCs w:val="22"/>
        </w:rPr>
        <w:t>In terms of price, HCC needs to set a low price at the initial stage of market entry to cope with the risks in the competitive environment of the Singapore market, so as to better penetrate the market. With the increase of stability of the customer group, HCC can gradually increase the price to make up for the possible losses in the early stage of entry. Moreover, HCC also needs to be aware of the risks in the economic environment. HCC needs to use SGD, the Singapore currency, to deal with the foreign exchange risks.</w:t>
      </w:r>
    </w:p>
    <w:p>
      <w:pPr>
        <w:jc w:val="both"/>
        <w:rPr>
          <w:rFonts w:ascii="Times" w:hAnsi="Times" w:cs="Adobe Hebrew" w:eastAsiaTheme="minorEastAsia"/>
          <w:bCs/>
          <w:sz w:val="22"/>
          <w:szCs w:val="22"/>
        </w:rPr>
      </w:pPr>
    </w:p>
    <w:p>
      <w:pPr>
        <w:jc w:val="both"/>
        <w:rPr>
          <w:rFonts w:ascii="Times" w:hAnsi="Times" w:cs="Adobe Hebrew" w:eastAsiaTheme="minorEastAsia"/>
          <w:bCs/>
          <w:sz w:val="22"/>
          <w:szCs w:val="22"/>
        </w:rPr>
      </w:pPr>
      <w:r>
        <w:rPr>
          <w:rFonts w:ascii="Times" w:hAnsi="Times" w:cs="Adobe Hebrew" w:eastAsiaTheme="minorEastAsia"/>
          <w:bCs/>
          <w:sz w:val="22"/>
          <w:szCs w:val="22"/>
        </w:rPr>
        <w:t>In terms of place, HCC needs to find local meat partners who can leverage their experience in the Singapore market to ensure product delivery. HCC can also establish cooperation with intermediaries of competitors, such as Poultry Hub, Sasha's Fine Foods and the Butchers’ Kitchen.</w:t>
      </w:r>
    </w:p>
    <w:p>
      <w:pPr>
        <w:jc w:val="both"/>
        <w:rPr>
          <w:rFonts w:ascii="Times" w:hAnsi="Times" w:cs="Adobe Hebrew" w:eastAsiaTheme="minorEastAsia"/>
          <w:bCs/>
          <w:sz w:val="22"/>
          <w:szCs w:val="22"/>
        </w:rPr>
      </w:pPr>
    </w:p>
    <w:p>
      <w:pPr>
        <w:jc w:val="both"/>
        <w:rPr>
          <w:rFonts w:ascii="Times" w:hAnsi="Times" w:cs="Adobe Hebrew" w:eastAsiaTheme="minorEastAsia"/>
          <w:bCs/>
          <w:sz w:val="22"/>
          <w:szCs w:val="22"/>
        </w:rPr>
      </w:pPr>
      <w:r>
        <w:rPr>
          <w:rFonts w:ascii="Times" w:hAnsi="Times" w:cs="Adobe Hebrew" w:eastAsiaTheme="minorEastAsia"/>
          <w:bCs/>
          <w:sz w:val="22"/>
          <w:szCs w:val="22"/>
        </w:rPr>
        <w:t>In terms of promotion, HCC needs to place advertisements in retail stores, supermarkets and transportation hubs, and the contents of the advertisements should focus on environmental protection, so as to adapt to the cultural environment of Singapore. Furthermore, HCC needs to promote the benefits of eating red meat to reduce the cultural trend of eating vegetarian protein. Moreover, online advertising needs to focus on young people in order to attract young Singaporeans who prefer foreign products.</w:t>
      </w:r>
    </w:p>
    <w:p>
      <w:pPr>
        <w:jc w:val="both"/>
        <w:rPr>
          <w:rFonts w:ascii="Times" w:hAnsi="Times" w:cs="Adobe Hebrew" w:eastAsiaTheme="minorEastAsia"/>
          <w:bCs/>
          <w:sz w:val="22"/>
          <w:szCs w:val="22"/>
        </w:rPr>
      </w:pPr>
    </w:p>
    <w:p>
      <w:pPr>
        <w:jc w:val="both"/>
        <w:rPr>
          <w:rFonts w:ascii="Times" w:hAnsi="Times" w:cs="Adobe Hebrew" w:eastAsiaTheme="minorEastAsia"/>
          <w:bCs/>
          <w:sz w:val="22"/>
          <w:szCs w:val="22"/>
        </w:rPr>
      </w:pPr>
      <w:r>
        <w:rPr>
          <w:rFonts w:ascii="Times" w:hAnsi="Times" w:cs="Adobe Hebrew" w:eastAsiaTheme="minorEastAsia"/>
          <w:bCs/>
          <w:sz w:val="22"/>
          <w:szCs w:val="22"/>
        </w:rPr>
        <w:t>On the service side, considering the product life cycle of meat, HCC needs a multi-background marketing team to support warranty and customer service.</w:t>
      </w:r>
    </w:p>
    <w:p>
      <w:pPr>
        <w:jc w:val="both"/>
        <w:rPr>
          <w:rFonts w:ascii="Times" w:hAnsi="Times" w:cs="Adobe Hebrew" w:eastAsiaTheme="minorEastAsia"/>
          <w:bCs/>
          <w:sz w:val="22"/>
          <w:szCs w:val="22"/>
        </w:rPr>
      </w:pPr>
    </w:p>
    <w:p>
      <w:pPr>
        <w:jc w:val="both"/>
        <w:rPr>
          <w:rFonts w:ascii="Times" w:hAnsi="Times" w:cs="Adobe Hebrew" w:eastAsiaTheme="minorEastAsia"/>
          <w:bCs/>
          <w:sz w:val="22"/>
          <w:szCs w:val="22"/>
        </w:rPr>
      </w:pPr>
      <w:r>
        <w:rPr>
          <w:rFonts w:ascii="Times" w:hAnsi="Times" w:cs="Adobe Hebrew" w:eastAsiaTheme="minorEastAsia"/>
          <w:bCs/>
          <w:sz w:val="22"/>
          <w:szCs w:val="22"/>
        </w:rPr>
        <w:t>Through these measures, Welsh Lamb can actively respond to the external environment and industry environment in Singapore's needs and challenges, so as to smoothly enter the Singapore market.</w:t>
      </w:r>
    </w:p>
    <w:p>
      <w:pPr>
        <w:rPr>
          <w:rFonts w:ascii="Times" w:hAnsi="Times" w:cs="Adobe Hebrew" w:eastAsiaTheme="minorEastAsia"/>
          <w:b/>
          <w:sz w:val="22"/>
          <w:szCs w:val="22"/>
        </w:rPr>
      </w:pPr>
      <w:r>
        <w:rPr>
          <w:rFonts w:ascii="Times" w:hAnsi="Times" w:cs="Adobe Hebrew" w:eastAsiaTheme="minorEastAsia"/>
          <w:b/>
          <w:sz w:val="22"/>
          <w:szCs w:val="22"/>
        </w:rPr>
        <w:br w:type="page"/>
      </w:r>
    </w:p>
    <w:sdt>
      <w:sdtPr>
        <w:rPr>
          <w:lang w:val="zh-CN"/>
        </w:rPr>
        <w:id w:val="-1871212498"/>
        <w:docPartObj>
          <w:docPartGallery w:val="Table of Contents"/>
          <w:docPartUnique/>
        </w:docPartObj>
      </w:sdtPr>
      <w:sdtEndPr>
        <w:rPr>
          <w:rFonts w:ascii="Times New Roman" w:hAnsi="Times New Roman" w:eastAsia="Times New Roman" w:cs="Times New Roman"/>
          <w:b/>
          <w:bCs/>
          <w:color w:val="auto"/>
          <w:sz w:val="22"/>
          <w:szCs w:val="22"/>
          <w:lang w:val="zh-CN"/>
        </w:rPr>
      </w:sdtEndPr>
      <w:sdtContent>
        <w:p>
          <w:pPr>
            <w:pStyle w:val="20"/>
            <w:jc w:val="center"/>
            <w:rPr>
              <w:rFonts w:hint="default" w:ascii="Times New Roman" w:hAnsi="Times New Roman" w:cs="Times New Roman"/>
              <w:b/>
              <w:bCs/>
              <w:sz w:val="22"/>
              <w:szCs w:val="22"/>
            </w:rPr>
          </w:pPr>
          <w:r>
            <w:rPr>
              <w:rFonts w:hint="default" w:ascii="Times New Roman" w:hAnsi="Times New Roman" w:cs="Times New Roman"/>
              <w:b/>
              <w:bCs/>
              <w:sz w:val="22"/>
              <w:szCs w:val="22"/>
              <w:lang w:val="zh-CN"/>
            </w:rPr>
            <w:t>Content</w:t>
          </w:r>
        </w:p>
        <w:p>
          <w:pPr>
            <w:pStyle w:val="7"/>
            <w:tabs>
              <w:tab w:val="right" w:leader="dot" w:pos="8306"/>
            </w:tabs>
            <w:rPr>
              <w:rFonts w:hint="default" w:ascii="Times New Roman" w:hAnsi="Times New Roman" w:cs="Times New Roman"/>
              <w:sz w:val="22"/>
              <w:szCs w:val="22"/>
            </w:rPr>
          </w:pP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TOC \o "1-3" \h \z \u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HYPERLINK \l _Toc12678 </w:instrText>
          </w:r>
          <w:r>
            <w:rPr>
              <w:rFonts w:hint="default" w:ascii="Times New Roman" w:hAnsi="Times New Roman" w:cs="Times New Roman"/>
              <w:sz w:val="22"/>
              <w:szCs w:val="22"/>
            </w:rPr>
            <w:fldChar w:fldCharType="separate"/>
          </w:r>
          <w:r>
            <w:rPr>
              <w:rFonts w:hint="default" w:ascii="Times New Roman" w:hAnsi="Times New Roman" w:cs="Times New Roman" w:eastAsiaTheme="minorEastAsia"/>
              <w:sz w:val="22"/>
              <w:szCs w:val="22"/>
            </w:rPr>
            <w:t>Executive Summary</w:t>
          </w:r>
          <w:r>
            <w:rPr>
              <w:rFonts w:hint="default" w:ascii="Times New Roman" w:hAnsi="Times New Roman" w:cs="Times New Roman"/>
              <w:sz w:val="22"/>
              <w:szCs w:val="22"/>
            </w:rPr>
            <w:tab/>
          </w: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PAGEREF _Toc12678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rPr>
            <w:t>2</w:t>
          </w:r>
          <w:r>
            <w:rPr>
              <w:rFonts w:hint="default" w:ascii="Times New Roman" w:hAnsi="Times New Roman" w:cs="Times New Roman"/>
              <w:sz w:val="22"/>
              <w:szCs w:val="22"/>
            </w:rPr>
            <w:fldChar w:fldCharType="end"/>
          </w:r>
          <w:r>
            <w:rPr>
              <w:rFonts w:hint="default" w:ascii="Times New Roman" w:hAnsi="Times New Roman" w:cs="Times New Roman"/>
              <w:sz w:val="22"/>
              <w:szCs w:val="22"/>
            </w:rPr>
            <w:fldChar w:fldCharType="end"/>
          </w:r>
        </w:p>
        <w:p>
          <w:pPr>
            <w:pStyle w:val="7"/>
            <w:tabs>
              <w:tab w:val="right" w:leader="dot" w:pos="8306"/>
            </w:tabs>
            <w:rPr>
              <w:rFonts w:hint="default" w:ascii="Times New Roman" w:hAnsi="Times New Roman" w:cs="Times New Roman"/>
              <w:sz w:val="22"/>
              <w:szCs w:val="22"/>
            </w:rPr>
          </w:pPr>
          <w:r>
            <w:rPr>
              <w:rFonts w:hint="default" w:ascii="Times New Roman" w:hAnsi="Times New Roman" w:cs="Times New Roman"/>
              <w:bCs/>
              <w:sz w:val="22"/>
              <w:szCs w:val="22"/>
              <w:lang w:val="zh-CN"/>
            </w:rPr>
            <w:fldChar w:fldCharType="begin"/>
          </w:r>
          <w:r>
            <w:rPr>
              <w:rFonts w:hint="default" w:ascii="Times New Roman" w:hAnsi="Times New Roman" w:cs="Times New Roman"/>
              <w:bCs/>
              <w:sz w:val="22"/>
              <w:szCs w:val="22"/>
              <w:lang w:val="zh-CN"/>
            </w:rPr>
            <w:instrText xml:space="preserve"> HYPERLINK \l _Toc27031 </w:instrText>
          </w:r>
          <w:r>
            <w:rPr>
              <w:rFonts w:hint="default" w:ascii="Times New Roman" w:hAnsi="Times New Roman" w:cs="Times New Roman"/>
              <w:bCs/>
              <w:sz w:val="22"/>
              <w:szCs w:val="22"/>
              <w:lang w:val="zh-CN"/>
            </w:rPr>
            <w:fldChar w:fldCharType="separate"/>
          </w:r>
          <w:r>
            <w:rPr>
              <w:rFonts w:hint="default" w:ascii="Times New Roman" w:hAnsi="Times New Roman" w:cs="Times New Roman"/>
              <w:sz w:val="22"/>
              <w:szCs w:val="22"/>
            </w:rPr>
            <w:t>1.0 Introduction</w:t>
          </w:r>
          <w:r>
            <w:rPr>
              <w:rFonts w:hint="default" w:ascii="Times New Roman" w:hAnsi="Times New Roman" w:cs="Times New Roman"/>
              <w:sz w:val="22"/>
              <w:szCs w:val="22"/>
            </w:rPr>
            <w:tab/>
          </w: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PAGEREF _Toc27031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rPr>
            <w:t>4</w:t>
          </w:r>
          <w:r>
            <w:rPr>
              <w:rFonts w:hint="default" w:ascii="Times New Roman" w:hAnsi="Times New Roman" w:cs="Times New Roman"/>
              <w:sz w:val="22"/>
              <w:szCs w:val="22"/>
            </w:rPr>
            <w:fldChar w:fldCharType="end"/>
          </w:r>
          <w:r>
            <w:rPr>
              <w:rFonts w:hint="default" w:ascii="Times New Roman" w:hAnsi="Times New Roman" w:cs="Times New Roman"/>
              <w:bCs/>
              <w:sz w:val="22"/>
              <w:szCs w:val="22"/>
              <w:lang w:val="zh-CN"/>
            </w:rPr>
            <w:fldChar w:fldCharType="end"/>
          </w:r>
        </w:p>
        <w:p>
          <w:pPr>
            <w:pStyle w:val="7"/>
            <w:tabs>
              <w:tab w:val="right" w:leader="dot" w:pos="8306"/>
            </w:tabs>
            <w:rPr>
              <w:rFonts w:hint="default" w:ascii="Times New Roman" w:hAnsi="Times New Roman" w:cs="Times New Roman"/>
              <w:sz w:val="22"/>
              <w:szCs w:val="22"/>
            </w:rPr>
          </w:pPr>
          <w:r>
            <w:rPr>
              <w:rFonts w:hint="default" w:ascii="Times New Roman" w:hAnsi="Times New Roman" w:cs="Times New Roman"/>
              <w:bCs/>
              <w:sz w:val="22"/>
              <w:szCs w:val="22"/>
              <w:lang w:val="zh-CN"/>
            </w:rPr>
            <w:fldChar w:fldCharType="begin"/>
          </w:r>
          <w:r>
            <w:rPr>
              <w:rFonts w:hint="default" w:ascii="Times New Roman" w:hAnsi="Times New Roman" w:cs="Times New Roman"/>
              <w:bCs/>
              <w:sz w:val="22"/>
              <w:szCs w:val="22"/>
              <w:lang w:val="zh-CN"/>
            </w:rPr>
            <w:instrText xml:space="preserve"> HYPERLINK \l _Toc32008 </w:instrText>
          </w:r>
          <w:r>
            <w:rPr>
              <w:rFonts w:hint="default" w:ascii="Times New Roman" w:hAnsi="Times New Roman" w:cs="Times New Roman"/>
              <w:bCs/>
              <w:sz w:val="22"/>
              <w:szCs w:val="22"/>
              <w:lang w:val="zh-CN"/>
            </w:rPr>
            <w:fldChar w:fldCharType="separate"/>
          </w:r>
          <w:r>
            <w:rPr>
              <w:rFonts w:hint="default" w:ascii="Times New Roman" w:hAnsi="Times New Roman" w:cs="Times New Roman"/>
              <w:sz w:val="22"/>
              <w:szCs w:val="22"/>
            </w:rPr>
            <w:t>2.0 The Marketing Mix Analysis</w:t>
          </w:r>
          <w:r>
            <w:rPr>
              <w:rFonts w:hint="default" w:ascii="Times New Roman" w:hAnsi="Times New Roman" w:cs="Times New Roman"/>
              <w:sz w:val="22"/>
              <w:szCs w:val="22"/>
            </w:rPr>
            <w:tab/>
          </w: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PAGEREF _Toc32008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rPr>
            <w:t>4</w:t>
          </w:r>
          <w:r>
            <w:rPr>
              <w:rFonts w:hint="default" w:ascii="Times New Roman" w:hAnsi="Times New Roman" w:cs="Times New Roman"/>
              <w:sz w:val="22"/>
              <w:szCs w:val="22"/>
            </w:rPr>
            <w:fldChar w:fldCharType="end"/>
          </w:r>
          <w:r>
            <w:rPr>
              <w:rFonts w:hint="default" w:ascii="Times New Roman" w:hAnsi="Times New Roman" w:cs="Times New Roman"/>
              <w:bCs/>
              <w:sz w:val="22"/>
              <w:szCs w:val="22"/>
              <w:lang w:val="zh-CN"/>
            </w:rPr>
            <w:fldChar w:fldCharType="end"/>
          </w:r>
        </w:p>
        <w:p>
          <w:pPr>
            <w:pStyle w:val="8"/>
            <w:tabs>
              <w:tab w:val="right" w:leader="dot" w:pos="8306"/>
            </w:tabs>
            <w:rPr>
              <w:rFonts w:hint="default" w:ascii="Times New Roman" w:hAnsi="Times New Roman" w:cs="Times New Roman"/>
              <w:sz w:val="22"/>
              <w:szCs w:val="22"/>
            </w:rPr>
          </w:pPr>
          <w:r>
            <w:rPr>
              <w:rFonts w:hint="default" w:ascii="Times New Roman" w:hAnsi="Times New Roman" w:cs="Times New Roman"/>
              <w:bCs/>
              <w:sz w:val="22"/>
              <w:szCs w:val="22"/>
              <w:lang w:val="zh-CN"/>
            </w:rPr>
            <w:fldChar w:fldCharType="begin"/>
          </w:r>
          <w:r>
            <w:rPr>
              <w:rFonts w:hint="default" w:ascii="Times New Roman" w:hAnsi="Times New Roman" w:cs="Times New Roman"/>
              <w:bCs/>
              <w:sz w:val="22"/>
              <w:szCs w:val="22"/>
              <w:lang w:val="zh-CN"/>
            </w:rPr>
            <w:instrText xml:space="preserve"> HYPERLINK \l _Toc9465 </w:instrText>
          </w:r>
          <w:r>
            <w:rPr>
              <w:rFonts w:hint="default" w:ascii="Times New Roman" w:hAnsi="Times New Roman" w:cs="Times New Roman"/>
              <w:bCs/>
              <w:sz w:val="22"/>
              <w:szCs w:val="22"/>
              <w:lang w:val="zh-CN"/>
            </w:rPr>
            <w:fldChar w:fldCharType="separate"/>
          </w:r>
          <w:r>
            <w:rPr>
              <w:rFonts w:hint="default" w:ascii="Times New Roman" w:hAnsi="Times New Roman" w:cs="Times New Roman"/>
              <w:sz w:val="22"/>
              <w:szCs w:val="22"/>
            </w:rPr>
            <w:t>2.1 Product: Branding and Packaging</w:t>
          </w:r>
          <w:r>
            <w:rPr>
              <w:rFonts w:hint="default" w:ascii="Times New Roman" w:hAnsi="Times New Roman" w:cs="Times New Roman"/>
              <w:sz w:val="22"/>
              <w:szCs w:val="22"/>
            </w:rPr>
            <w:tab/>
          </w: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PAGEREF _Toc9465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rPr>
            <w:t>5</w:t>
          </w:r>
          <w:r>
            <w:rPr>
              <w:rFonts w:hint="default" w:ascii="Times New Roman" w:hAnsi="Times New Roman" w:cs="Times New Roman"/>
              <w:sz w:val="22"/>
              <w:szCs w:val="22"/>
            </w:rPr>
            <w:fldChar w:fldCharType="end"/>
          </w:r>
          <w:r>
            <w:rPr>
              <w:rFonts w:hint="default" w:ascii="Times New Roman" w:hAnsi="Times New Roman" w:cs="Times New Roman"/>
              <w:bCs/>
              <w:sz w:val="22"/>
              <w:szCs w:val="22"/>
              <w:lang w:val="zh-CN"/>
            </w:rPr>
            <w:fldChar w:fldCharType="end"/>
          </w:r>
        </w:p>
        <w:p>
          <w:pPr>
            <w:pStyle w:val="8"/>
            <w:tabs>
              <w:tab w:val="right" w:leader="dot" w:pos="8306"/>
            </w:tabs>
            <w:rPr>
              <w:rFonts w:hint="default" w:ascii="Times New Roman" w:hAnsi="Times New Roman" w:cs="Times New Roman"/>
              <w:sz w:val="22"/>
              <w:szCs w:val="22"/>
            </w:rPr>
          </w:pPr>
          <w:r>
            <w:rPr>
              <w:rFonts w:hint="default" w:ascii="Times New Roman" w:hAnsi="Times New Roman" w:cs="Times New Roman"/>
              <w:bCs/>
              <w:sz w:val="22"/>
              <w:szCs w:val="22"/>
              <w:lang w:val="zh-CN"/>
            </w:rPr>
            <w:fldChar w:fldCharType="begin"/>
          </w:r>
          <w:r>
            <w:rPr>
              <w:rFonts w:hint="default" w:ascii="Times New Roman" w:hAnsi="Times New Roman" w:cs="Times New Roman"/>
              <w:bCs/>
              <w:sz w:val="22"/>
              <w:szCs w:val="22"/>
              <w:lang w:val="zh-CN"/>
            </w:rPr>
            <w:instrText xml:space="preserve"> HYPERLINK \l _Toc1736 </w:instrText>
          </w:r>
          <w:r>
            <w:rPr>
              <w:rFonts w:hint="default" w:ascii="Times New Roman" w:hAnsi="Times New Roman" w:cs="Times New Roman"/>
              <w:bCs/>
              <w:sz w:val="22"/>
              <w:szCs w:val="22"/>
              <w:lang w:val="zh-CN"/>
            </w:rPr>
            <w:fldChar w:fldCharType="separate"/>
          </w:r>
          <w:r>
            <w:rPr>
              <w:rFonts w:hint="default" w:ascii="Times New Roman" w:hAnsi="Times New Roman" w:cs="Times New Roman"/>
              <w:sz w:val="22"/>
              <w:szCs w:val="22"/>
            </w:rPr>
            <w:t>2.2 Price: Market Penetration Pricing</w:t>
          </w:r>
          <w:r>
            <w:rPr>
              <w:rFonts w:hint="default" w:ascii="Times New Roman" w:hAnsi="Times New Roman" w:cs="Times New Roman"/>
              <w:sz w:val="22"/>
              <w:szCs w:val="22"/>
            </w:rPr>
            <w:tab/>
          </w: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PAGEREF _Toc1736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rPr>
            <w:t>5</w:t>
          </w:r>
          <w:r>
            <w:rPr>
              <w:rFonts w:hint="default" w:ascii="Times New Roman" w:hAnsi="Times New Roman" w:cs="Times New Roman"/>
              <w:sz w:val="22"/>
              <w:szCs w:val="22"/>
            </w:rPr>
            <w:fldChar w:fldCharType="end"/>
          </w:r>
          <w:r>
            <w:rPr>
              <w:rFonts w:hint="default" w:ascii="Times New Roman" w:hAnsi="Times New Roman" w:cs="Times New Roman"/>
              <w:bCs/>
              <w:sz w:val="22"/>
              <w:szCs w:val="22"/>
              <w:lang w:val="zh-CN"/>
            </w:rPr>
            <w:fldChar w:fldCharType="end"/>
          </w:r>
        </w:p>
        <w:p>
          <w:pPr>
            <w:pStyle w:val="8"/>
            <w:tabs>
              <w:tab w:val="right" w:leader="dot" w:pos="8306"/>
            </w:tabs>
            <w:rPr>
              <w:rFonts w:hint="default" w:ascii="Times New Roman" w:hAnsi="Times New Roman" w:cs="Times New Roman"/>
              <w:sz w:val="22"/>
              <w:szCs w:val="22"/>
            </w:rPr>
          </w:pPr>
          <w:r>
            <w:rPr>
              <w:rFonts w:hint="default" w:ascii="Times New Roman" w:hAnsi="Times New Roman" w:cs="Times New Roman"/>
              <w:bCs/>
              <w:sz w:val="22"/>
              <w:szCs w:val="22"/>
              <w:lang w:val="zh-CN"/>
            </w:rPr>
            <w:fldChar w:fldCharType="begin"/>
          </w:r>
          <w:r>
            <w:rPr>
              <w:rFonts w:hint="default" w:ascii="Times New Roman" w:hAnsi="Times New Roman" w:cs="Times New Roman"/>
              <w:bCs/>
              <w:sz w:val="22"/>
              <w:szCs w:val="22"/>
              <w:lang w:val="zh-CN"/>
            </w:rPr>
            <w:instrText xml:space="preserve"> HYPERLINK \l _Toc4906 </w:instrText>
          </w:r>
          <w:r>
            <w:rPr>
              <w:rFonts w:hint="default" w:ascii="Times New Roman" w:hAnsi="Times New Roman" w:cs="Times New Roman"/>
              <w:bCs/>
              <w:sz w:val="22"/>
              <w:szCs w:val="22"/>
              <w:lang w:val="zh-CN"/>
            </w:rPr>
            <w:fldChar w:fldCharType="separate"/>
          </w:r>
          <w:r>
            <w:rPr>
              <w:rFonts w:hint="default" w:ascii="Times New Roman" w:hAnsi="Times New Roman" w:cs="Times New Roman"/>
              <w:sz w:val="22"/>
              <w:szCs w:val="22"/>
            </w:rPr>
            <w:t>2.3 Place: Distribution Channel Development</w:t>
          </w:r>
          <w:r>
            <w:rPr>
              <w:rFonts w:hint="default" w:ascii="Times New Roman" w:hAnsi="Times New Roman" w:cs="Times New Roman"/>
              <w:sz w:val="22"/>
              <w:szCs w:val="22"/>
            </w:rPr>
            <w:tab/>
          </w: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PAGEREF _Toc4906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rPr>
            <w:t>6</w:t>
          </w:r>
          <w:r>
            <w:rPr>
              <w:rFonts w:hint="default" w:ascii="Times New Roman" w:hAnsi="Times New Roman" w:cs="Times New Roman"/>
              <w:sz w:val="22"/>
              <w:szCs w:val="22"/>
            </w:rPr>
            <w:fldChar w:fldCharType="end"/>
          </w:r>
          <w:r>
            <w:rPr>
              <w:rFonts w:hint="default" w:ascii="Times New Roman" w:hAnsi="Times New Roman" w:cs="Times New Roman"/>
              <w:bCs/>
              <w:sz w:val="22"/>
              <w:szCs w:val="22"/>
              <w:lang w:val="zh-CN"/>
            </w:rPr>
            <w:fldChar w:fldCharType="end"/>
          </w:r>
        </w:p>
        <w:p>
          <w:pPr>
            <w:pStyle w:val="8"/>
            <w:tabs>
              <w:tab w:val="right" w:leader="dot" w:pos="8306"/>
            </w:tabs>
            <w:rPr>
              <w:rFonts w:hint="default" w:ascii="Times New Roman" w:hAnsi="Times New Roman" w:cs="Times New Roman"/>
              <w:sz w:val="22"/>
              <w:szCs w:val="22"/>
            </w:rPr>
          </w:pPr>
          <w:r>
            <w:rPr>
              <w:rFonts w:hint="default" w:ascii="Times New Roman" w:hAnsi="Times New Roman" w:cs="Times New Roman"/>
              <w:bCs/>
              <w:sz w:val="22"/>
              <w:szCs w:val="22"/>
              <w:lang w:val="zh-CN"/>
            </w:rPr>
            <w:fldChar w:fldCharType="begin"/>
          </w:r>
          <w:r>
            <w:rPr>
              <w:rFonts w:hint="default" w:ascii="Times New Roman" w:hAnsi="Times New Roman" w:cs="Times New Roman"/>
              <w:bCs/>
              <w:sz w:val="22"/>
              <w:szCs w:val="22"/>
              <w:lang w:val="zh-CN"/>
            </w:rPr>
            <w:instrText xml:space="preserve"> HYPERLINK \l _Toc23683 </w:instrText>
          </w:r>
          <w:r>
            <w:rPr>
              <w:rFonts w:hint="default" w:ascii="Times New Roman" w:hAnsi="Times New Roman" w:cs="Times New Roman"/>
              <w:bCs/>
              <w:sz w:val="22"/>
              <w:szCs w:val="22"/>
              <w:lang w:val="zh-CN"/>
            </w:rPr>
            <w:fldChar w:fldCharType="separate"/>
          </w:r>
          <w:r>
            <w:rPr>
              <w:rFonts w:hint="default" w:ascii="Times New Roman" w:hAnsi="Times New Roman" w:cs="Times New Roman"/>
              <w:sz w:val="22"/>
              <w:szCs w:val="22"/>
            </w:rPr>
            <w:t>2.4 Promotion: Advertising and Sales-Promotions</w:t>
          </w:r>
          <w:r>
            <w:rPr>
              <w:rFonts w:hint="default" w:ascii="Times New Roman" w:hAnsi="Times New Roman" w:cs="Times New Roman"/>
              <w:sz w:val="22"/>
              <w:szCs w:val="22"/>
            </w:rPr>
            <w:tab/>
          </w: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PAGEREF _Toc23683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rPr>
            <w:t>7</w:t>
          </w:r>
          <w:r>
            <w:rPr>
              <w:rFonts w:hint="default" w:ascii="Times New Roman" w:hAnsi="Times New Roman" w:cs="Times New Roman"/>
              <w:sz w:val="22"/>
              <w:szCs w:val="22"/>
            </w:rPr>
            <w:fldChar w:fldCharType="end"/>
          </w:r>
          <w:r>
            <w:rPr>
              <w:rFonts w:hint="default" w:ascii="Times New Roman" w:hAnsi="Times New Roman" w:cs="Times New Roman"/>
              <w:bCs/>
              <w:sz w:val="22"/>
              <w:szCs w:val="22"/>
              <w:lang w:val="zh-CN"/>
            </w:rPr>
            <w:fldChar w:fldCharType="end"/>
          </w:r>
        </w:p>
        <w:p>
          <w:pPr>
            <w:pStyle w:val="8"/>
            <w:tabs>
              <w:tab w:val="right" w:leader="dot" w:pos="8306"/>
            </w:tabs>
            <w:rPr>
              <w:rFonts w:hint="default" w:ascii="Times New Roman" w:hAnsi="Times New Roman" w:cs="Times New Roman"/>
              <w:sz w:val="22"/>
              <w:szCs w:val="22"/>
            </w:rPr>
          </w:pPr>
          <w:r>
            <w:rPr>
              <w:rFonts w:hint="default" w:ascii="Times New Roman" w:hAnsi="Times New Roman" w:cs="Times New Roman"/>
              <w:bCs/>
              <w:sz w:val="22"/>
              <w:szCs w:val="22"/>
              <w:lang w:val="zh-CN"/>
            </w:rPr>
            <w:fldChar w:fldCharType="begin"/>
          </w:r>
          <w:r>
            <w:rPr>
              <w:rFonts w:hint="default" w:ascii="Times New Roman" w:hAnsi="Times New Roman" w:cs="Times New Roman"/>
              <w:bCs/>
              <w:sz w:val="22"/>
              <w:szCs w:val="22"/>
              <w:lang w:val="zh-CN"/>
            </w:rPr>
            <w:instrText xml:space="preserve"> HYPERLINK \l _Toc26922 </w:instrText>
          </w:r>
          <w:r>
            <w:rPr>
              <w:rFonts w:hint="default" w:ascii="Times New Roman" w:hAnsi="Times New Roman" w:cs="Times New Roman"/>
              <w:bCs/>
              <w:sz w:val="22"/>
              <w:szCs w:val="22"/>
              <w:lang w:val="zh-CN"/>
            </w:rPr>
            <w:fldChar w:fldCharType="separate"/>
          </w:r>
          <w:r>
            <w:rPr>
              <w:rFonts w:hint="default" w:ascii="Times New Roman" w:hAnsi="Times New Roman" w:cs="Times New Roman"/>
              <w:sz w:val="22"/>
              <w:szCs w:val="22"/>
            </w:rPr>
            <w:t>2.5 Service Mix: People, Processes, and Physical Evidence</w:t>
          </w:r>
          <w:r>
            <w:rPr>
              <w:rFonts w:hint="default" w:ascii="Times New Roman" w:hAnsi="Times New Roman" w:cs="Times New Roman"/>
              <w:sz w:val="22"/>
              <w:szCs w:val="22"/>
            </w:rPr>
            <w:tab/>
          </w: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PAGEREF _Toc26922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rPr>
            <w:t>8</w:t>
          </w:r>
          <w:r>
            <w:rPr>
              <w:rFonts w:hint="default" w:ascii="Times New Roman" w:hAnsi="Times New Roman" w:cs="Times New Roman"/>
              <w:sz w:val="22"/>
              <w:szCs w:val="22"/>
            </w:rPr>
            <w:fldChar w:fldCharType="end"/>
          </w:r>
          <w:r>
            <w:rPr>
              <w:rFonts w:hint="default" w:ascii="Times New Roman" w:hAnsi="Times New Roman" w:cs="Times New Roman"/>
              <w:bCs/>
              <w:sz w:val="22"/>
              <w:szCs w:val="22"/>
              <w:lang w:val="zh-CN"/>
            </w:rPr>
            <w:fldChar w:fldCharType="end"/>
          </w:r>
        </w:p>
        <w:p>
          <w:pPr>
            <w:pStyle w:val="7"/>
            <w:tabs>
              <w:tab w:val="right" w:leader="dot" w:pos="8306"/>
            </w:tabs>
            <w:rPr>
              <w:rFonts w:hint="default" w:ascii="Times New Roman" w:hAnsi="Times New Roman" w:cs="Times New Roman"/>
              <w:sz w:val="22"/>
              <w:szCs w:val="22"/>
            </w:rPr>
          </w:pPr>
          <w:r>
            <w:rPr>
              <w:rFonts w:hint="default" w:ascii="Times New Roman" w:hAnsi="Times New Roman" w:cs="Times New Roman"/>
              <w:bCs/>
              <w:sz w:val="22"/>
              <w:szCs w:val="22"/>
              <w:lang w:val="zh-CN"/>
            </w:rPr>
            <w:fldChar w:fldCharType="begin"/>
          </w:r>
          <w:r>
            <w:rPr>
              <w:rFonts w:hint="default" w:ascii="Times New Roman" w:hAnsi="Times New Roman" w:cs="Times New Roman"/>
              <w:bCs/>
              <w:sz w:val="22"/>
              <w:szCs w:val="22"/>
              <w:lang w:val="zh-CN"/>
            </w:rPr>
            <w:instrText xml:space="preserve"> HYPERLINK \l _Toc11406 </w:instrText>
          </w:r>
          <w:r>
            <w:rPr>
              <w:rFonts w:hint="default" w:ascii="Times New Roman" w:hAnsi="Times New Roman" w:cs="Times New Roman"/>
              <w:bCs/>
              <w:sz w:val="22"/>
              <w:szCs w:val="22"/>
              <w:lang w:val="zh-CN"/>
            </w:rPr>
            <w:fldChar w:fldCharType="separate"/>
          </w:r>
          <w:r>
            <w:rPr>
              <w:rFonts w:hint="default" w:ascii="Times New Roman" w:hAnsi="Times New Roman" w:cs="Times New Roman"/>
              <w:sz w:val="22"/>
              <w:szCs w:val="22"/>
            </w:rPr>
            <w:t>3.0 Concl</w:t>
          </w:r>
          <w:r>
            <w:rPr>
              <w:rFonts w:hint="default" w:ascii="Times New Roman" w:hAnsi="Times New Roman" w:cs="Times New Roman" w:eastAsiaTheme="minorEastAsia"/>
              <w:sz w:val="22"/>
              <w:szCs w:val="22"/>
            </w:rPr>
            <w:t>usion</w:t>
          </w:r>
          <w:r>
            <w:rPr>
              <w:rFonts w:hint="default" w:ascii="Times New Roman" w:hAnsi="Times New Roman" w:cs="Times New Roman"/>
              <w:sz w:val="22"/>
              <w:szCs w:val="22"/>
            </w:rPr>
            <w:tab/>
          </w: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PAGEREF _Toc11406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rPr>
            <w:t>9</w:t>
          </w:r>
          <w:r>
            <w:rPr>
              <w:rFonts w:hint="default" w:ascii="Times New Roman" w:hAnsi="Times New Roman" w:cs="Times New Roman"/>
              <w:sz w:val="22"/>
              <w:szCs w:val="22"/>
            </w:rPr>
            <w:fldChar w:fldCharType="end"/>
          </w:r>
          <w:r>
            <w:rPr>
              <w:rFonts w:hint="default" w:ascii="Times New Roman" w:hAnsi="Times New Roman" w:cs="Times New Roman"/>
              <w:bCs/>
              <w:sz w:val="22"/>
              <w:szCs w:val="22"/>
              <w:lang w:val="zh-CN"/>
            </w:rPr>
            <w:fldChar w:fldCharType="end"/>
          </w:r>
        </w:p>
        <w:p>
          <w:pPr>
            <w:pStyle w:val="7"/>
            <w:tabs>
              <w:tab w:val="right" w:leader="dot" w:pos="8306"/>
            </w:tabs>
            <w:rPr>
              <w:rFonts w:hint="default" w:ascii="Times New Roman" w:hAnsi="Times New Roman" w:cs="Times New Roman"/>
              <w:sz w:val="22"/>
              <w:szCs w:val="22"/>
            </w:rPr>
          </w:pPr>
          <w:r>
            <w:rPr>
              <w:rFonts w:hint="default" w:ascii="Times New Roman" w:hAnsi="Times New Roman" w:cs="Times New Roman"/>
              <w:bCs/>
              <w:sz w:val="22"/>
              <w:szCs w:val="22"/>
              <w:lang w:val="zh-CN"/>
            </w:rPr>
            <w:fldChar w:fldCharType="begin"/>
          </w:r>
          <w:r>
            <w:rPr>
              <w:rFonts w:hint="default" w:ascii="Times New Roman" w:hAnsi="Times New Roman" w:cs="Times New Roman"/>
              <w:bCs/>
              <w:sz w:val="22"/>
              <w:szCs w:val="22"/>
              <w:lang w:val="zh-CN"/>
            </w:rPr>
            <w:instrText xml:space="preserve"> HYPERLINK \l _Toc31750 </w:instrText>
          </w:r>
          <w:r>
            <w:rPr>
              <w:rFonts w:hint="default" w:ascii="Times New Roman" w:hAnsi="Times New Roman" w:cs="Times New Roman"/>
              <w:bCs/>
              <w:sz w:val="22"/>
              <w:szCs w:val="22"/>
              <w:lang w:val="zh-CN"/>
            </w:rPr>
            <w:fldChar w:fldCharType="separate"/>
          </w:r>
          <w:r>
            <w:rPr>
              <w:rFonts w:hint="default" w:ascii="Times New Roman" w:hAnsi="Times New Roman" w:cs="Times New Roman"/>
              <w:sz w:val="22"/>
              <w:szCs w:val="22"/>
            </w:rPr>
            <w:t>4.0 References</w:t>
          </w:r>
          <w:r>
            <w:rPr>
              <w:rFonts w:hint="default" w:ascii="Times New Roman" w:hAnsi="Times New Roman" w:cs="Times New Roman"/>
              <w:sz w:val="22"/>
              <w:szCs w:val="22"/>
            </w:rPr>
            <w:tab/>
          </w: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PAGEREF _Toc31750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rPr>
            <w:t>10</w:t>
          </w:r>
          <w:r>
            <w:rPr>
              <w:rFonts w:hint="default" w:ascii="Times New Roman" w:hAnsi="Times New Roman" w:cs="Times New Roman"/>
              <w:sz w:val="22"/>
              <w:szCs w:val="22"/>
            </w:rPr>
            <w:fldChar w:fldCharType="end"/>
          </w:r>
          <w:r>
            <w:rPr>
              <w:rFonts w:hint="default" w:ascii="Times New Roman" w:hAnsi="Times New Roman" w:cs="Times New Roman"/>
              <w:bCs/>
              <w:sz w:val="22"/>
              <w:szCs w:val="22"/>
              <w:lang w:val="zh-CN"/>
            </w:rPr>
            <w:fldChar w:fldCharType="end"/>
          </w:r>
        </w:p>
        <w:p>
          <w:pPr>
            <w:rPr>
              <w:sz w:val="22"/>
              <w:szCs w:val="22"/>
            </w:rPr>
          </w:pPr>
          <w:r>
            <w:rPr>
              <w:rFonts w:hint="default" w:ascii="Times New Roman" w:hAnsi="Times New Roman" w:cs="Times New Roman"/>
              <w:bCs/>
              <w:sz w:val="22"/>
              <w:szCs w:val="22"/>
              <w:lang w:val="zh-CN"/>
            </w:rPr>
            <w:fldChar w:fldCharType="end"/>
          </w:r>
        </w:p>
      </w:sdtContent>
    </w:sdt>
    <w:p>
      <w:pPr>
        <w:rPr>
          <w:rFonts w:eastAsiaTheme="minorEastAsia"/>
          <w:b/>
          <w:sz w:val="22"/>
          <w:szCs w:val="22"/>
        </w:rPr>
      </w:pPr>
    </w:p>
    <w:p>
      <w:pPr>
        <w:rPr>
          <w:rFonts w:ascii="Times" w:hAnsi="Times" w:cs="Adobe Hebrew" w:eastAsiaTheme="minorEastAsia"/>
          <w:b/>
          <w:sz w:val="22"/>
          <w:szCs w:val="22"/>
        </w:rPr>
      </w:pPr>
    </w:p>
    <w:p>
      <w:pPr>
        <w:rPr>
          <w:rFonts w:ascii="Times" w:hAnsi="Times" w:cs="Adobe Hebrew" w:eastAsiaTheme="minorEastAsia"/>
          <w:b/>
          <w:sz w:val="22"/>
          <w:szCs w:val="22"/>
        </w:rPr>
      </w:pPr>
      <w:r>
        <w:rPr>
          <w:rFonts w:ascii="Times" w:hAnsi="Times" w:cs="Adobe Hebrew" w:eastAsiaTheme="minorEastAsia"/>
          <w:b/>
          <w:sz w:val="22"/>
          <w:szCs w:val="22"/>
        </w:rPr>
        <w:br w:type="page"/>
      </w:r>
    </w:p>
    <w:p>
      <w:pPr>
        <w:pStyle w:val="2"/>
        <w:rPr>
          <w:rFonts w:ascii="Times" w:hAnsi="Times" w:cs="Adobe Hebrew" w:eastAsiaTheme="minorEastAsia"/>
          <w:b w:val="0"/>
          <w:sz w:val="22"/>
          <w:szCs w:val="22"/>
        </w:rPr>
      </w:pPr>
      <w:bookmarkStart w:id="1" w:name="_Toc27031"/>
      <w:r>
        <w:rPr>
          <w:rFonts w:hint="eastAsia" w:ascii="Times" w:hAnsi="Times" w:cs="Adobe Hebrew"/>
          <w:sz w:val="22"/>
          <w:szCs w:val="22"/>
        </w:rPr>
        <w:t>1.0</w:t>
      </w:r>
      <w:r>
        <w:rPr>
          <w:rFonts w:ascii="Times" w:hAnsi="Times" w:cs="Adobe Hebrew"/>
          <w:sz w:val="22"/>
          <w:szCs w:val="22"/>
        </w:rPr>
        <w:t xml:space="preserve"> Introduction</w:t>
      </w:r>
      <w:bookmarkEnd w:id="1"/>
    </w:p>
    <w:p>
      <w:pPr>
        <w:spacing w:line="360" w:lineRule="auto"/>
        <w:contextualSpacing/>
        <w:jc w:val="both"/>
        <w:rPr>
          <w:rFonts w:ascii="Times" w:hAnsi="Times" w:cs="Adobe Hebrew"/>
          <w:sz w:val="22"/>
          <w:szCs w:val="22"/>
        </w:rPr>
      </w:pPr>
      <w:r>
        <w:rPr>
          <w:rFonts w:ascii="Times" w:hAnsi="Times" w:cs="Adobe Hebrew"/>
          <w:sz w:val="22"/>
          <w:szCs w:val="22"/>
        </w:rPr>
        <w:t xml:space="preserve">Welsh Lamb is a red meat production program under Hybu Cig Cymru (HCC) organization (HCC, 2020a). With an ambition to produce high-quality red meat to customers both within and outside the UK, HCC invests ample amount in research and development in red meat production. As means of trade and transportation between countries improves, global expansion can be a </w:t>
      </w:r>
      <w:bookmarkStart w:id="12" w:name="_GoBack"/>
      <w:bookmarkEnd w:id="12"/>
      <w:r>
        <w:rPr>
          <w:rFonts w:ascii="Times" w:hAnsi="Times" w:cs="Adobe Hebrew"/>
          <w:sz w:val="22"/>
          <w:szCs w:val="22"/>
        </w:rPr>
        <w:t xml:space="preserve">promising strategic movement for the future development of Welsh Lamb and HCC. </w:t>
      </w:r>
    </w:p>
    <w:p>
      <w:pPr>
        <w:spacing w:line="360" w:lineRule="auto"/>
        <w:contextualSpacing/>
        <w:jc w:val="both"/>
        <w:rPr>
          <w:rFonts w:ascii="Times" w:hAnsi="Times" w:cs="Adobe Hebrew"/>
          <w:sz w:val="22"/>
          <w:szCs w:val="22"/>
        </w:rPr>
      </w:pPr>
    </w:p>
    <w:p>
      <w:pPr>
        <w:spacing w:line="360" w:lineRule="auto"/>
        <w:contextualSpacing/>
        <w:jc w:val="both"/>
        <w:rPr>
          <w:rFonts w:ascii="Times" w:hAnsi="Times" w:cs="Adobe Hebrew"/>
          <w:sz w:val="22"/>
          <w:szCs w:val="22"/>
        </w:rPr>
      </w:pPr>
      <w:r>
        <w:rPr>
          <w:rFonts w:ascii="Times" w:hAnsi="Times" w:cs="Adobe Hebrew"/>
          <w:sz w:val="22"/>
          <w:szCs w:val="22"/>
        </w:rPr>
        <w:t>Singapore is the next target country that Welsh Lamb is going to enter and compete in. A</w:t>
      </w:r>
      <w:r>
        <w:rPr>
          <w:rFonts w:hint="eastAsia" w:ascii="Times" w:hAnsi="Times" w:cs="Adobe Hebrew"/>
          <w:sz w:val="22"/>
          <w:szCs w:val="22"/>
        </w:rPr>
        <w:t>nd</w:t>
      </w:r>
      <w:r>
        <w:rPr>
          <w:rFonts w:ascii="Times" w:hAnsi="Times" w:cs="Adobe Hebrew"/>
          <w:sz w:val="22"/>
          <w:szCs w:val="22"/>
        </w:rPr>
        <w:t xml:space="preserve"> the recommended market entry strategy is the indirect export approach. In order to respond to the opportunities and challenges in the Singapore market, HCC needs to take various measures. As a theoretical framework for marketing management, market</w:t>
      </w:r>
      <w:r>
        <w:rPr>
          <w:rFonts w:hint="eastAsia" w:ascii="Times" w:hAnsi="Times" w:cs="Adobe Hebrew"/>
          <w:sz w:val="22"/>
          <w:szCs w:val="22"/>
        </w:rPr>
        <w:t>ing</w:t>
      </w:r>
      <w:r>
        <w:rPr>
          <w:rFonts w:ascii="Times" w:hAnsi="Times" w:cs="Adobe Hebrew"/>
          <w:sz w:val="22"/>
          <w:szCs w:val="22"/>
        </w:rPr>
        <w:t xml:space="preserve"> mix will be used to analyze how to implement marketing management through various measures so as to increase market share and </w:t>
      </w:r>
      <w:r>
        <w:rPr>
          <w:rFonts w:hint="eastAsia" w:ascii="Times" w:hAnsi="Times" w:cs="Adobe Hebrew"/>
          <w:sz w:val="22"/>
          <w:szCs w:val="22"/>
        </w:rPr>
        <w:t>deliver</w:t>
      </w:r>
      <w:r>
        <w:rPr>
          <w:rFonts w:ascii="Times" w:hAnsi="Times" w:cs="Adobe Hebrew"/>
          <w:sz w:val="22"/>
          <w:szCs w:val="22"/>
        </w:rPr>
        <w:t xml:space="preserve"> more value to customers (Gillespie &amp; Hennessey, 2016).</w:t>
      </w:r>
    </w:p>
    <w:p>
      <w:pPr>
        <w:spacing w:line="360" w:lineRule="auto"/>
        <w:contextualSpacing/>
        <w:jc w:val="both"/>
        <w:rPr>
          <w:rFonts w:hint="eastAsia" w:ascii="Times" w:hAnsi="Times" w:cs="Adobe Hebrew"/>
          <w:sz w:val="22"/>
          <w:szCs w:val="22"/>
        </w:rPr>
      </w:pPr>
    </w:p>
    <w:p>
      <w:pPr>
        <w:spacing w:line="360" w:lineRule="auto"/>
        <w:contextualSpacing/>
        <w:jc w:val="both"/>
        <w:rPr>
          <w:rFonts w:ascii="Times" w:hAnsi="Times" w:cs="Adobe Hebrew" w:eastAsiaTheme="minorEastAsia"/>
          <w:sz w:val="22"/>
          <w:szCs w:val="22"/>
        </w:rPr>
      </w:pPr>
      <w:r>
        <w:rPr>
          <w:rFonts w:ascii="Times" w:hAnsi="Times" w:cs="Adobe Hebrew"/>
          <w:sz w:val="22"/>
          <w:szCs w:val="22"/>
        </w:rPr>
        <w:t xml:space="preserve">This </w:t>
      </w:r>
      <w:r>
        <w:rPr>
          <w:rFonts w:hint="eastAsia" w:ascii="Times" w:hAnsi="Times" w:cs="Adobe Hebrew"/>
          <w:sz w:val="22"/>
          <w:szCs w:val="22"/>
        </w:rPr>
        <w:t>report</w:t>
      </w:r>
      <w:r>
        <w:rPr>
          <w:rFonts w:ascii="Times" w:hAnsi="Times" w:cs="Adobe Hebrew"/>
          <w:sz w:val="22"/>
          <w:szCs w:val="22"/>
        </w:rPr>
        <w:t xml:space="preserve"> will cover the implementation details regarding the marketing mix and incorporate with cultural analysis and competitor analysis, after which recommendation will be given regarding Welsh Lamb’s market expansion plan. </w:t>
      </w:r>
    </w:p>
    <w:p>
      <w:pPr>
        <w:pStyle w:val="2"/>
        <w:rPr>
          <w:rFonts w:ascii="Times" w:hAnsi="Times" w:cs="Adobe Hebrew"/>
          <w:b w:val="0"/>
          <w:sz w:val="22"/>
          <w:szCs w:val="22"/>
        </w:rPr>
      </w:pPr>
      <w:bookmarkStart w:id="2" w:name="_Toc32008"/>
      <w:r>
        <w:rPr>
          <w:rFonts w:hint="eastAsia" w:ascii="Times" w:hAnsi="Times" w:cs="Adobe Hebrew"/>
          <w:sz w:val="22"/>
          <w:szCs w:val="22"/>
        </w:rPr>
        <w:t>2.0</w:t>
      </w:r>
      <w:r>
        <w:rPr>
          <w:rFonts w:ascii="Times" w:hAnsi="Times" w:cs="Adobe Hebrew"/>
          <w:sz w:val="22"/>
          <w:szCs w:val="22"/>
        </w:rPr>
        <w:t xml:space="preserve"> The Marketing Mix Analysis</w:t>
      </w:r>
      <w:bookmarkEnd w:id="2"/>
    </w:p>
    <w:p>
      <w:pPr>
        <w:spacing w:line="360" w:lineRule="auto"/>
        <w:contextualSpacing/>
        <w:jc w:val="both"/>
        <w:rPr>
          <w:bCs/>
          <w:sz w:val="22"/>
          <w:szCs w:val="22"/>
        </w:rPr>
      </w:pPr>
      <w:r>
        <w:rPr>
          <w:rFonts w:eastAsia="宋体"/>
          <w:bCs/>
          <w:sz w:val="22"/>
          <w:szCs w:val="22"/>
        </w:rPr>
        <w:t>The marketing mix provides a theoretical framework for the company to exchange value in the target market, achieve marketing objectives and make marketing decisions</w:t>
      </w:r>
      <w:r>
        <w:t xml:space="preserve"> (</w:t>
      </w:r>
      <w:r>
        <w:rPr>
          <w:rFonts w:eastAsia="宋体"/>
          <w:bCs/>
          <w:sz w:val="22"/>
          <w:szCs w:val="22"/>
        </w:rPr>
        <w:t>Mayer, Melitz &amp; Ottaviano, 2011). Based on the marketing mix, the measures HCC needs to take in Singapore will be analyzed from product, price, promotion, place and service.</w:t>
      </w:r>
    </w:p>
    <w:p>
      <w:pPr>
        <w:pStyle w:val="3"/>
        <w:rPr>
          <w:rFonts w:ascii="Times" w:hAnsi="Times" w:cs="Adobe Hebrew"/>
          <w:b w:val="0"/>
          <w:sz w:val="22"/>
          <w:szCs w:val="22"/>
        </w:rPr>
      </w:pPr>
      <w:bookmarkStart w:id="3" w:name="_Toc9465"/>
      <w:r>
        <w:rPr>
          <w:rFonts w:hint="eastAsia" w:ascii="Times" w:hAnsi="Times" w:cs="Adobe Hebrew"/>
          <w:sz w:val="22"/>
          <w:szCs w:val="22"/>
        </w:rPr>
        <w:t>2.1</w:t>
      </w:r>
      <w:r>
        <w:rPr>
          <w:rFonts w:ascii="Times" w:hAnsi="Times" w:cs="Adobe Hebrew"/>
          <w:sz w:val="22"/>
          <w:szCs w:val="22"/>
        </w:rPr>
        <w:t xml:space="preserve"> Product: Branding and Packaging</w:t>
      </w:r>
      <w:bookmarkEnd w:id="3"/>
    </w:p>
    <w:p>
      <w:pPr>
        <w:spacing w:line="360" w:lineRule="auto"/>
        <w:contextualSpacing/>
        <w:jc w:val="both"/>
        <w:rPr>
          <w:rFonts w:ascii="Times" w:hAnsi="Times" w:cs="Adobe Hebrew"/>
          <w:sz w:val="22"/>
          <w:szCs w:val="22"/>
        </w:rPr>
      </w:pPr>
      <w:r>
        <w:rPr>
          <w:rFonts w:ascii="Times" w:hAnsi="Times" w:cs="Adobe Hebrew"/>
          <w:sz w:val="22"/>
          <w:szCs w:val="22"/>
        </w:rPr>
        <w:t xml:space="preserve">Food in Singapore suggests multiple identities and food heritage because of its multi-cultural environment and history (Henderson, 2014). With welcome and wide acceptance of cuisines, there is huge demand for different kind of meat. The product that Welsh Lamb is selling is lamb, a generally consumed type of red meat, which is a perishable product (HCC, 2020b). The branding for meat should highlight the origin of the lamb and emphasize the fine characteristics of the offered product such as the freshness, texture and tastes. Such product does not require to be put in fancy and redundant packaging in order to be sold. Instead, what it needs is the sufficient protection such as ice pack surroundings to properly preserve and contain the perfect condition of the meat (Vernon, 2015). </w:t>
      </w:r>
    </w:p>
    <w:p>
      <w:pPr>
        <w:spacing w:line="360" w:lineRule="auto"/>
        <w:contextualSpacing/>
        <w:jc w:val="both"/>
        <w:rPr>
          <w:rFonts w:ascii="Times" w:hAnsi="Times" w:cs="Adobe Hebrew"/>
          <w:sz w:val="22"/>
          <w:szCs w:val="22"/>
        </w:rPr>
      </w:pPr>
    </w:p>
    <w:p>
      <w:pPr>
        <w:spacing w:line="360" w:lineRule="auto"/>
        <w:contextualSpacing/>
        <w:jc w:val="both"/>
        <w:rPr>
          <w:rFonts w:hint="eastAsia" w:ascii="Times" w:hAnsi="Times" w:cs="Adobe Hebrew" w:eastAsiaTheme="minorEastAsia"/>
          <w:sz w:val="22"/>
          <w:szCs w:val="22"/>
        </w:rPr>
      </w:pPr>
      <w:r>
        <w:rPr>
          <w:rFonts w:ascii="Times" w:hAnsi="Times" w:cs="Adobe Hebrew"/>
          <w:sz w:val="22"/>
          <w:szCs w:val="22"/>
        </w:rPr>
        <w:t>In addition, antimicrobial packaging and anti-biodegrading packaging should be applied to the product. The protection provided by the packaging has a significant impact on meat product’s shelf-life extension and food safety (Quintavalla &amp; Vicini, 2002). Efforts to prevent specific microorganisms from developing can provide customers with higher safety and quality products. One of Welsh Lamb’s major competitors Yurun has encountered quality control problem in the Singapore market (Yurun Group, 2020). To solve the problem, new production lines of advanced technology in meat preservation and packaging and higher sanitary standards are designated for producing qualified meat for the Singapore market (Yurun Group, 2020), which is one thing for Welsh Lamb to notice.</w:t>
      </w:r>
    </w:p>
    <w:p>
      <w:pPr>
        <w:pStyle w:val="3"/>
        <w:rPr>
          <w:rFonts w:ascii="Times" w:hAnsi="Times" w:cs="Adobe Hebrew"/>
          <w:b w:val="0"/>
          <w:sz w:val="22"/>
          <w:szCs w:val="22"/>
        </w:rPr>
      </w:pPr>
      <w:bookmarkStart w:id="4" w:name="_Toc1736"/>
      <w:r>
        <w:rPr>
          <w:rFonts w:hint="eastAsia" w:ascii="Times" w:hAnsi="Times" w:cs="Adobe Hebrew"/>
          <w:sz w:val="22"/>
          <w:szCs w:val="22"/>
        </w:rPr>
        <w:t>2.2</w:t>
      </w:r>
      <w:r>
        <w:rPr>
          <w:rFonts w:ascii="Times" w:hAnsi="Times" w:cs="Adobe Hebrew"/>
          <w:sz w:val="22"/>
          <w:szCs w:val="22"/>
        </w:rPr>
        <w:t xml:space="preserve"> Price: Market Penetration Pricing</w:t>
      </w:r>
      <w:bookmarkEnd w:id="4"/>
      <w:r>
        <w:rPr>
          <w:rFonts w:ascii="Times" w:hAnsi="Times" w:cs="Adobe Hebrew"/>
          <w:sz w:val="22"/>
          <w:szCs w:val="22"/>
        </w:rPr>
        <w:t xml:space="preserve"> </w:t>
      </w:r>
    </w:p>
    <w:p>
      <w:pPr>
        <w:spacing w:line="360" w:lineRule="auto"/>
        <w:contextualSpacing/>
        <w:jc w:val="both"/>
        <w:rPr>
          <w:rFonts w:ascii="Times" w:hAnsi="Times" w:cs="Adobe Hebrew"/>
          <w:sz w:val="22"/>
          <w:szCs w:val="22"/>
        </w:rPr>
      </w:pPr>
      <w:r>
        <w:rPr>
          <w:rFonts w:ascii="Times" w:hAnsi="Times" w:cs="Adobe Hebrew"/>
          <w:sz w:val="22"/>
          <w:szCs w:val="22"/>
        </w:rPr>
        <w:t xml:space="preserve">The pricing decision should take into consideration the existing competitors in the market. In the long-term, the existing competitors’ pricing tends to fluctuates around the market equilibrium </w:t>
      </w:r>
      <w:r>
        <w:rPr>
          <w:rFonts w:hint="eastAsia" w:ascii="Times" w:hAnsi="Times" w:cs="Adobe Hebrew"/>
          <w:sz w:val="22"/>
          <w:szCs w:val="22"/>
        </w:rPr>
        <w:t>(</w:t>
      </w:r>
      <w:r>
        <w:rPr>
          <w:rFonts w:ascii="Times" w:hAnsi="Times" w:cs="Adobe Hebrew"/>
          <w:sz w:val="22"/>
          <w:szCs w:val="22"/>
        </w:rPr>
        <w:t xml:space="preserve">Gillespie &amp; Hennessey, 2016). Hence, analysis regarding the price-fluctuation cycle of competitive lamb products in the Singapore market can be conducted. If the cost-oriented price is below the market equilibrium in Singapore, Welsh Lamb can kickstart by offering its product at the market price. When the cost-oriented price is above the market equilibrium in Singapore, then, to avoid a loss in profits, the pricing strategy must be combined with vigorous efforts in advertising and promotion to differentiate the product from other competitors. Otherwise, the market expansion of Welsh Lamb may turn out to be a huge loss for HCC. </w:t>
      </w:r>
    </w:p>
    <w:p>
      <w:pPr>
        <w:spacing w:line="360" w:lineRule="auto"/>
        <w:contextualSpacing/>
        <w:jc w:val="both"/>
        <w:rPr>
          <w:rFonts w:ascii="Times" w:hAnsi="Times" w:cs="Adobe Hebrew"/>
          <w:sz w:val="22"/>
          <w:szCs w:val="22"/>
        </w:rPr>
      </w:pPr>
    </w:p>
    <w:p>
      <w:pPr>
        <w:spacing w:line="360" w:lineRule="auto"/>
        <w:contextualSpacing/>
        <w:jc w:val="both"/>
        <w:rPr>
          <w:rFonts w:ascii="Times" w:hAnsi="Times" w:cs="Adobe Hebrew"/>
          <w:sz w:val="22"/>
          <w:szCs w:val="22"/>
        </w:rPr>
      </w:pPr>
      <w:r>
        <w:rPr>
          <w:rFonts w:ascii="Times" w:hAnsi="Times" w:cs="Adobe Hebrew"/>
          <w:sz w:val="22"/>
          <w:szCs w:val="22"/>
        </w:rPr>
        <w:t>However, the long-term objective of Welsh Lamb is to take a proportion of market in Singapore. In order to steadily achieve a market place, the HCC may have to start with a discounted price lower than the market competitive price to better penetrate the market. Such strategy may not generate profits at early stage since the goal of the early phase is to attract as many customers as possible to buy and try out the product. As the customer group size increases and stabilizes, Welsh Lamb can graduate adjusts its price bit by bit until it reaches the market-competitive level. After that, if the efforts to differentiate Welsh Lamb pay off, the price can be lifted to a higher level. The loss made in the early penetration phase then can be offset by the later generated profit</w:t>
      </w:r>
      <w:r>
        <w:rPr>
          <w:rFonts w:ascii="Times" w:hAnsi="Times" w:eastAsia="宋体" w:cs="宋体"/>
          <w:sz w:val="22"/>
          <w:szCs w:val="22"/>
        </w:rPr>
        <w:t xml:space="preserve">s </w:t>
      </w:r>
      <w:r>
        <w:rPr>
          <w:rFonts w:ascii="Times" w:hAnsi="Times" w:cs="Adobe Hebrew"/>
          <w:sz w:val="22"/>
          <w:szCs w:val="22"/>
        </w:rPr>
        <w:t>(Spann, Fischer &amp; Tellis, 2014).</w:t>
      </w:r>
    </w:p>
    <w:p>
      <w:pPr>
        <w:spacing w:line="360" w:lineRule="auto"/>
        <w:contextualSpacing/>
        <w:jc w:val="both"/>
        <w:rPr>
          <w:rFonts w:ascii="Times" w:hAnsi="Times" w:cs="Adobe Hebrew" w:eastAsiaTheme="minorEastAsia"/>
          <w:sz w:val="22"/>
          <w:szCs w:val="22"/>
        </w:rPr>
      </w:pPr>
    </w:p>
    <w:p>
      <w:pPr>
        <w:spacing w:line="360" w:lineRule="auto"/>
        <w:contextualSpacing/>
        <w:jc w:val="both"/>
        <w:rPr>
          <w:rFonts w:ascii="Times" w:hAnsi="Times" w:cs="Adobe Hebrew" w:eastAsiaTheme="minorEastAsia"/>
          <w:sz w:val="22"/>
          <w:szCs w:val="22"/>
        </w:rPr>
      </w:pPr>
      <w:r>
        <w:rPr>
          <w:rFonts w:ascii="Times" w:hAnsi="Times" w:cs="Adobe Hebrew"/>
          <w:sz w:val="22"/>
          <w:szCs w:val="22"/>
        </w:rPr>
        <w:t>When it comes to the exchange rates, the currency market is to some extent unpredictable and volatile. Due to the Brexit situation, it is likely that the exchange rates for British pounds would experience fierce fluctuation in the short run and can hardly stabilize even from the long run perspective. The better option is to be a risk-avoider during the market entry phase. That is, the initial capital is recommended to be in the form of Singapore currency SGD rather than in British pounds. If HCC later needs to extract profits from Singapore market, it should take advantage of the arbitrage opportunities in the currency market so that the organization would not suffer a loss in the exchange. Such capital management tend to maintain healthy cash flows (Lazaridis &amp; Tryfonidis, 2006).</w:t>
      </w:r>
    </w:p>
    <w:p>
      <w:pPr>
        <w:pStyle w:val="3"/>
        <w:rPr>
          <w:rFonts w:ascii="Times" w:hAnsi="Times" w:cs="Adobe Hebrew"/>
          <w:b w:val="0"/>
          <w:sz w:val="22"/>
          <w:szCs w:val="22"/>
        </w:rPr>
      </w:pPr>
      <w:bookmarkStart w:id="5" w:name="_Toc4906"/>
      <w:r>
        <w:rPr>
          <w:rFonts w:hint="eastAsia" w:ascii="Times" w:hAnsi="Times" w:cs="Adobe Hebrew"/>
          <w:sz w:val="22"/>
          <w:szCs w:val="22"/>
        </w:rPr>
        <w:t>2.3</w:t>
      </w:r>
      <w:r>
        <w:rPr>
          <w:rFonts w:ascii="Times" w:hAnsi="Times" w:cs="Adobe Hebrew"/>
          <w:sz w:val="22"/>
          <w:szCs w:val="22"/>
        </w:rPr>
        <w:t xml:space="preserve"> Place: Distribution Channel Development</w:t>
      </w:r>
      <w:bookmarkEnd w:id="5"/>
    </w:p>
    <w:p>
      <w:pPr>
        <w:spacing w:line="360" w:lineRule="auto"/>
        <w:contextualSpacing/>
        <w:jc w:val="both"/>
        <w:rPr>
          <w:rFonts w:ascii="Times" w:hAnsi="Times" w:cs="Adobe Hebrew" w:eastAsiaTheme="minorEastAsia"/>
          <w:sz w:val="22"/>
          <w:szCs w:val="22"/>
        </w:rPr>
      </w:pPr>
      <w:r>
        <w:rPr>
          <w:rFonts w:ascii="Times" w:hAnsi="Times" w:cs="Adobe Hebrew"/>
          <w:sz w:val="22"/>
          <w:szCs w:val="22"/>
        </w:rPr>
        <w:t xml:space="preserve">In Welsh Lamb’s expansion, exclusive coverage is recommended to select specialist partners. The distribution channel development requires an integrated system that can facilitate cautious operation and initiate immediate response to urgencies. HCC needs to find reliable middlemen to make sure of the oversea product delivery. Local wholesalers and retailers who specializes in meat storage and selling are the most preferable partners for Welsh Lamb. They have been in and around the Singapore meat market for a long time since over the years they have accumulated adequate experience, and have been familiar with cold-chain logistics in the local network (Gillespie &amp; Hennessey, 2016), and some may also have a mature e-commerce platform that can be make good use of. To find the most suitable partners, HCC can contact those middlemen who are already working closely with existing competitors such as </w:t>
      </w:r>
      <w:bookmarkStart w:id="6" w:name="_Hlk41027746"/>
      <w:r>
        <w:rPr>
          <w:rFonts w:ascii="Times" w:hAnsi="Times" w:cs="Adobe Hebrew"/>
          <w:sz w:val="22"/>
          <w:szCs w:val="22"/>
        </w:rPr>
        <w:t>Poultry Hub, Sasha's Fine Foods and the Butchers’ Kitchen</w:t>
      </w:r>
      <w:bookmarkEnd w:id="6"/>
      <w:r>
        <w:rPr>
          <w:rFonts w:ascii="Times" w:hAnsi="Times" w:cs="Adobe Hebrew"/>
          <w:sz w:val="22"/>
          <w:szCs w:val="22"/>
        </w:rPr>
        <w:t>.</w:t>
      </w:r>
    </w:p>
    <w:p>
      <w:pPr>
        <w:pStyle w:val="3"/>
        <w:rPr>
          <w:rFonts w:ascii="Times" w:hAnsi="Times" w:cs="Adobe Hebrew"/>
          <w:b w:val="0"/>
          <w:sz w:val="22"/>
          <w:szCs w:val="22"/>
        </w:rPr>
      </w:pPr>
      <w:bookmarkStart w:id="7" w:name="_Toc23683"/>
      <w:r>
        <w:rPr>
          <w:rFonts w:hint="eastAsia" w:ascii="Times" w:hAnsi="Times" w:cs="Adobe Hebrew"/>
          <w:sz w:val="22"/>
          <w:szCs w:val="22"/>
        </w:rPr>
        <w:t>2.4</w:t>
      </w:r>
      <w:r>
        <w:rPr>
          <w:rFonts w:ascii="Times" w:hAnsi="Times" w:cs="Adobe Hebrew"/>
          <w:sz w:val="22"/>
          <w:szCs w:val="22"/>
        </w:rPr>
        <w:t xml:space="preserve"> Promotion: Advertising and Sales-Promotions</w:t>
      </w:r>
      <w:bookmarkEnd w:id="7"/>
    </w:p>
    <w:p>
      <w:pPr>
        <w:spacing w:line="360" w:lineRule="auto"/>
        <w:contextualSpacing/>
        <w:jc w:val="both"/>
        <w:rPr>
          <w:rFonts w:ascii="Times" w:hAnsi="Times" w:cs="Adobe Hebrew"/>
          <w:sz w:val="22"/>
          <w:szCs w:val="22"/>
        </w:rPr>
      </w:pPr>
      <w:r>
        <w:rPr>
          <w:rFonts w:ascii="Times" w:hAnsi="Times" w:cs="Adobe Hebrew"/>
          <w:sz w:val="22"/>
          <w:szCs w:val="22"/>
        </w:rPr>
        <w:t>To promote and increase the brand awareness in Singapore, the selection of type of advertising is extrem</w:t>
      </w:r>
      <w:r>
        <w:rPr>
          <w:sz w:val="22"/>
          <w:szCs w:val="22"/>
        </w:rPr>
        <w:t>ely important (McMurtry &amp; Hiam, 2017). What Welsh Lamb offers are consumption goods, which people have almost daily demand to pur</w:t>
      </w:r>
      <w:r>
        <w:rPr>
          <w:rFonts w:ascii="Times" w:hAnsi="Times" w:cs="Adobe Hebrew"/>
          <w:sz w:val="22"/>
          <w:szCs w:val="22"/>
        </w:rPr>
        <w:t>chase on a daily except for vegetarians. To let people getting more aware that a new brand is entering their local market can be facilitated through advertising. Given that meat is purchased from either local small retailers or supermarkets, posters can be put on the advertising board at the retailer stores, supermarkets, and transportation junctions.</w:t>
      </w:r>
    </w:p>
    <w:p>
      <w:pPr>
        <w:spacing w:line="360" w:lineRule="auto"/>
        <w:contextualSpacing/>
        <w:jc w:val="both"/>
        <w:rPr>
          <w:rFonts w:ascii="Times" w:hAnsi="Times" w:cs="Adobe Hebrew" w:eastAsiaTheme="minorEastAsia"/>
          <w:sz w:val="22"/>
          <w:szCs w:val="22"/>
        </w:rPr>
      </w:pPr>
    </w:p>
    <w:p>
      <w:pPr>
        <w:spacing w:line="360" w:lineRule="auto"/>
        <w:contextualSpacing/>
        <w:jc w:val="both"/>
        <w:rPr>
          <w:rFonts w:ascii="Times" w:hAnsi="Times" w:cs="Adobe Hebrew"/>
          <w:sz w:val="22"/>
          <w:szCs w:val="22"/>
        </w:rPr>
      </w:pPr>
      <w:r>
        <w:rPr>
          <w:rFonts w:ascii="Times" w:hAnsi="Times" w:cs="Adobe Hebrew"/>
          <w:sz w:val="22"/>
          <w:szCs w:val="22"/>
        </w:rPr>
        <w:t>In Singapore, there is an increasing cultural trend of environmentally friendly products (Belcher, 2006). The administration encourages the use of biodegradable packaging to protect the environment. The advertising for Welsh Lamb thus can focus on highlighting the natural origin of its products and its effort spent on environmental protection and sustainability (Naspetti &amp; Zanoli, 2012), which is similar as what has been done by the Butcher’s Kitchen, an Australian brand offering fresh organic meat products (Tay and Yap, 2019).</w:t>
      </w:r>
    </w:p>
    <w:p>
      <w:pPr>
        <w:spacing w:line="360" w:lineRule="auto"/>
        <w:contextualSpacing/>
        <w:jc w:val="both"/>
        <w:rPr>
          <w:rFonts w:ascii="Times" w:hAnsi="Times" w:cs="Adobe Hebrew"/>
          <w:sz w:val="22"/>
          <w:szCs w:val="22"/>
        </w:rPr>
      </w:pPr>
    </w:p>
    <w:p>
      <w:pPr>
        <w:spacing w:line="360" w:lineRule="auto"/>
        <w:contextualSpacing/>
        <w:jc w:val="both"/>
        <w:rPr>
          <w:rFonts w:ascii="Times" w:hAnsi="Times" w:cs="Adobe Hebrew"/>
          <w:sz w:val="22"/>
          <w:szCs w:val="22"/>
        </w:rPr>
      </w:pPr>
      <w:r>
        <w:rPr>
          <w:rFonts w:ascii="Times" w:hAnsi="Times" w:cs="Adobe Hebrew"/>
          <w:sz w:val="22"/>
          <w:szCs w:val="22"/>
        </w:rPr>
        <w:t>However, several cultural challenges need to be treated seriously. As frozen meat and vegan-based protein substitutes experience a strong growth in retail in recent years (Catherine, 2014), Welsh Lamb needs to advertise vigorously on the benefits of consuming fresh red meat, which should aim to attract as many non-vegan customers as possible.</w:t>
      </w:r>
    </w:p>
    <w:p>
      <w:pPr>
        <w:spacing w:line="360" w:lineRule="auto"/>
        <w:contextualSpacing/>
        <w:jc w:val="both"/>
        <w:rPr>
          <w:rFonts w:ascii="Times" w:hAnsi="Times" w:cs="Adobe Hebrew"/>
          <w:sz w:val="22"/>
          <w:szCs w:val="22"/>
        </w:rPr>
      </w:pPr>
    </w:p>
    <w:p>
      <w:pPr>
        <w:spacing w:line="360" w:lineRule="auto"/>
        <w:contextualSpacing/>
        <w:jc w:val="both"/>
        <w:rPr>
          <w:rFonts w:ascii="Times" w:hAnsi="Times" w:cs="Adobe Hebrew"/>
          <w:sz w:val="22"/>
          <w:szCs w:val="22"/>
        </w:rPr>
      </w:pPr>
      <w:r>
        <w:rPr>
          <w:rFonts w:ascii="Times" w:hAnsi="Times" w:cs="Adobe Hebrew"/>
          <w:sz w:val="22"/>
          <w:szCs w:val="22"/>
        </w:rPr>
        <w:t>Furthermore, Singapore has a strong culture of valuing domestic brands and tradition more than that comes from the foreign culture. Only the younger generation suggests a clear tendency of preferring foreign-made products (Lee &amp; Nguyen, 2014). Fortunately, Singapore is highly advanced in internet coverage and technology, which has penetrated more than 70% of Singapore’s family (Mirza, 2011). E-commerce has become a trend for the younger generation and it is driving the older to take on the trend</w:t>
      </w:r>
      <w:r>
        <w:t xml:space="preserve"> (</w:t>
      </w:r>
      <w:r>
        <w:rPr>
          <w:rFonts w:ascii="Times" w:hAnsi="Times" w:cs="Adobe Hebrew"/>
          <w:sz w:val="22"/>
          <w:szCs w:val="22"/>
        </w:rPr>
        <w:t xml:space="preserve">Hernán, Martín, &amp; Jiménez, 2010). Therefore, main target group should aim at the younger generation, which means the advertisement put on e-commerce channels and social media needs to be tailored to serve the younger group’s interests. </w:t>
      </w:r>
    </w:p>
    <w:p>
      <w:pPr>
        <w:spacing w:line="360" w:lineRule="auto"/>
        <w:contextualSpacing/>
        <w:jc w:val="both"/>
        <w:rPr>
          <w:rFonts w:ascii="Times" w:hAnsi="Times" w:cs="Adobe Hebrew"/>
          <w:sz w:val="22"/>
          <w:szCs w:val="22"/>
        </w:rPr>
      </w:pPr>
    </w:p>
    <w:p>
      <w:pPr>
        <w:spacing w:line="360" w:lineRule="auto"/>
        <w:contextualSpacing/>
        <w:jc w:val="both"/>
        <w:rPr>
          <w:rFonts w:ascii="Times" w:hAnsi="Times" w:cs="Adobe Hebrew" w:eastAsiaTheme="minorEastAsia"/>
          <w:sz w:val="22"/>
          <w:szCs w:val="22"/>
        </w:rPr>
      </w:pPr>
      <w:r>
        <w:rPr>
          <w:rFonts w:ascii="Times" w:hAnsi="Times" w:cs="Adobe Hebrew"/>
          <w:sz w:val="22"/>
          <w:szCs w:val="22"/>
        </w:rPr>
        <w:t>By relying on the effective cooperation with local wholesalers and retailers, the distribution channel will lead Welsh Lamb to its target customers. In cooperation with the market penetration pricing strategy, e-coupons can be widely distributed to target customer group on the e-platforms (Kumar, Rangachari, Jhingran, &amp; Mohan, 1998). For the older group who values their domestic brands and tradition, the advertisement may be put in the sales brochure that the older group would normally read and share to increase the brand awareness among the older group.</w:t>
      </w:r>
    </w:p>
    <w:p>
      <w:pPr>
        <w:pStyle w:val="3"/>
        <w:rPr>
          <w:rFonts w:ascii="Times" w:hAnsi="Times" w:cs="Adobe Hebrew"/>
          <w:b w:val="0"/>
          <w:sz w:val="22"/>
          <w:szCs w:val="22"/>
        </w:rPr>
      </w:pPr>
      <w:bookmarkStart w:id="8" w:name="_Toc26922"/>
      <w:r>
        <w:rPr>
          <w:rFonts w:hint="eastAsia" w:ascii="Times" w:hAnsi="Times" w:cs="Adobe Hebrew"/>
          <w:sz w:val="22"/>
          <w:szCs w:val="22"/>
        </w:rPr>
        <w:t>2.5</w:t>
      </w:r>
      <w:r>
        <w:rPr>
          <w:rFonts w:ascii="Times" w:hAnsi="Times" w:cs="Adobe Hebrew"/>
          <w:sz w:val="22"/>
          <w:szCs w:val="22"/>
        </w:rPr>
        <w:t xml:space="preserve"> Service Mix: People, Processes, and Physical Evidence</w:t>
      </w:r>
      <w:bookmarkEnd w:id="8"/>
    </w:p>
    <w:p>
      <w:pPr>
        <w:spacing w:line="360" w:lineRule="auto"/>
        <w:contextualSpacing/>
        <w:jc w:val="both"/>
        <w:rPr>
          <w:rFonts w:ascii="Times" w:hAnsi="Times" w:cs="Adobe Hebrew"/>
          <w:sz w:val="22"/>
          <w:szCs w:val="22"/>
        </w:rPr>
      </w:pPr>
      <w:r>
        <w:rPr>
          <w:rFonts w:ascii="Times" w:hAnsi="Times" w:cs="Adobe Hebrew"/>
          <w:sz w:val="22"/>
          <w:szCs w:val="22"/>
        </w:rPr>
        <w:t>Warranties and after-sales services are the major component in the service mix. The quality of the meat degenerates quickly when placed under undesirable conditions, and once degeneration starts the process cannot be reversed. Therefore, the product should consider the produce lifecycles seriously and contracts with not just the logistics company but also the local distributors on the specific terms regarding liabilities, damage, and compensation in case of the product goes bad during transportation.</w:t>
      </w:r>
    </w:p>
    <w:p>
      <w:pPr>
        <w:spacing w:line="360" w:lineRule="auto"/>
        <w:contextualSpacing/>
        <w:jc w:val="both"/>
        <w:rPr>
          <w:rFonts w:ascii="Times" w:hAnsi="Times" w:cs="Adobe Hebrew"/>
          <w:sz w:val="22"/>
          <w:szCs w:val="22"/>
        </w:rPr>
      </w:pPr>
    </w:p>
    <w:p>
      <w:pPr>
        <w:spacing w:line="360" w:lineRule="auto"/>
        <w:contextualSpacing/>
        <w:jc w:val="both"/>
        <w:rPr>
          <w:rFonts w:ascii="Times" w:hAnsi="Times" w:cs="Adobe Hebrew" w:eastAsiaTheme="minorEastAsia"/>
          <w:sz w:val="22"/>
          <w:szCs w:val="22"/>
        </w:rPr>
      </w:pPr>
      <w:r>
        <w:rPr>
          <w:rFonts w:ascii="Times" w:hAnsi="Times" w:cs="Adobe Hebrew"/>
          <w:sz w:val="22"/>
          <w:szCs w:val="22"/>
        </w:rPr>
        <w:t>A multi-based team need to be built to ensure that the processes of service are being performed and facilitated. The team’s function is to handle the marketing activities, feedback management and advertising campaigns specifically for the Singapore market. The team members shall have multi-cultural backgrounds, preferably both in Europe and the East Asia because those who have social and cultural experiences tend to acquire more information and understand the local market more than the new comers. The professional attitudes and commitment to the organization are also prevalent in improving processes of the service mix.</w:t>
      </w:r>
    </w:p>
    <w:p>
      <w:pPr>
        <w:pStyle w:val="2"/>
        <w:rPr>
          <w:b w:val="0"/>
          <w:sz w:val="22"/>
          <w:szCs w:val="22"/>
        </w:rPr>
      </w:pPr>
      <w:bookmarkStart w:id="9" w:name="_Toc11406"/>
      <w:r>
        <w:rPr>
          <w:sz w:val="22"/>
          <w:szCs w:val="22"/>
        </w:rPr>
        <w:t>3.0 Concl</w:t>
      </w:r>
      <w:r>
        <w:rPr>
          <w:rFonts w:eastAsiaTheme="minorEastAsia"/>
          <w:sz w:val="22"/>
          <w:szCs w:val="22"/>
        </w:rPr>
        <w:t>usion</w:t>
      </w:r>
      <w:bookmarkEnd w:id="9"/>
    </w:p>
    <w:p>
      <w:pPr>
        <w:spacing w:line="360" w:lineRule="auto"/>
        <w:contextualSpacing/>
        <w:jc w:val="both"/>
        <w:rPr>
          <w:rFonts w:ascii="Times" w:hAnsi="Times" w:cs="Adobe Hebrew"/>
          <w:sz w:val="22"/>
          <w:szCs w:val="22"/>
        </w:rPr>
      </w:pPr>
      <w:r>
        <w:rPr>
          <w:rFonts w:ascii="Times" w:hAnsi="Times" w:cs="Adobe Hebrew"/>
          <w:sz w:val="22"/>
          <w:szCs w:val="22"/>
        </w:rPr>
        <w:t>Welsh Lamb’s expansion plan to the Singapore market should carry out the detailed activities according to the market mix analysis. Through various measures in product, price, place, promote and service, Welsh Lamb can actively face the opportunities and challenges in the Singapore market and smoothly enter the Singapore market. Packaging is essentially predominant in the product, which requires environmental-friendly material and anti-</w:t>
      </w:r>
      <w:r>
        <w:rPr>
          <w:rFonts w:hint="eastAsia" w:ascii="Times" w:hAnsi="Times" w:cs="Adobe Hebrew"/>
          <w:sz w:val="22"/>
          <w:szCs w:val="22"/>
        </w:rPr>
        <w:t>mi</w:t>
      </w:r>
      <w:r>
        <w:rPr>
          <w:rFonts w:ascii="Times" w:hAnsi="Times" w:cs="Adobe Hebrew"/>
          <w:sz w:val="22"/>
          <w:szCs w:val="22"/>
        </w:rPr>
        <w:t xml:space="preserve">crobial and anti-biodegrading features. Finding business partners from professional cross-country carriers and experienced local distributers is the objective of developing a well-functioned distribution channel. Promotion then needs to be catered to the market values and belief, targeted mainly on the younger generation through e-commerce. The pricing strategy chosen is market penetration strategy, with a lower price in the early phase to absorb customers from other competitors. The supportive grants from the Singapore encouragement policy can partly make up for the lower price. Later as the customer base grows, the price can be raised to a higher level that generates profits for the organization. Meanwhile, a team of multi-background marketing experts needs to be established to back up the warranty and customer service, and </w:t>
      </w:r>
      <w:r>
        <w:rPr>
          <w:rFonts w:hint="eastAsia" w:ascii="Times" w:hAnsi="Times" w:cs="Adobe Hebrew"/>
          <w:sz w:val="22"/>
          <w:szCs w:val="22"/>
        </w:rPr>
        <w:t>deal</w:t>
      </w:r>
      <w:r>
        <w:rPr>
          <w:rFonts w:ascii="Times" w:hAnsi="Times" w:cs="Adobe Hebrew"/>
          <w:sz w:val="22"/>
          <w:szCs w:val="22"/>
        </w:rPr>
        <w:t xml:space="preserve"> with the difficulties that Welsh Lam may later encounter in the Singapore market. Following the entry strategy, incorporated with a professional team, Welsh Lamb should be able to earn a market share in Singapore’s red meat market.</w:t>
      </w:r>
    </w:p>
    <w:p>
      <w:pPr>
        <w:spacing w:line="360" w:lineRule="auto"/>
        <w:contextualSpacing/>
        <w:rPr>
          <w:rFonts w:hint="eastAsia" w:ascii="Times" w:hAnsi="Times" w:cs="Adobe Hebrew" w:eastAsiaTheme="minorEastAsia"/>
          <w:b/>
          <w:sz w:val="22"/>
          <w:szCs w:val="22"/>
        </w:rPr>
      </w:pPr>
    </w:p>
    <w:p>
      <w:pPr>
        <w:rPr>
          <w:rFonts w:ascii="Times" w:hAnsi="Times" w:cs="Adobe Hebrew"/>
          <w:color w:val="222222"/>
          <w:sz w:val="22"/>
          <w:szCs w:val="22"/>
        </w:rPr>
      </w:pPr>
      <w:r>
        <w:rPr>
          <w:rFonts w:ascii="Times" w:hAnsi="Times" w:cs="Adobe Hebrew"/>
          <w:color w:val="222222"/>
          <w:sz w:val="22"/>
          <w:szCs w:val="22"/>
        </w:rPr>
        <w:br w:type="page"/>
      </w:r>
    </w:p>
    <w:p>
      <w:pPr>
        <w:pStyle w:val="2"/>
        <w:rPr>
          <w:rFonts w:ascii="Times" w:hAnsi="Times" w:cs="Adobe Hebrew" w:eastAsiaTheme="minorEastAsia"/>
          <w:b w:val="0"/>
          <w:bCs w:val="0"/>
          <w:color w:val="222222"/>
          <w:sz w:val="22"/>
          <w:szCs w:val="22"/>
        </w:rPr>
      </w:pPr>
      <w:bookmarkStart w:id="10" w:name="_Toc31750"/>
      <w:r>
        <w:rPr>
          <w:rFonts w:ascii="Times" w:hAnsi="Times" w:cs="Adobe Hebrew"/>
          <w:color w:val="222222"/>
          <w:sz w:val="22"/>
          <w:szCs w:val="22"/>
        </w:rPr>
        <w:t>4.0 References</w:t>
      </w:r>
      <w:bookmarkEnd w:id="10"/>
    </w:p>
    <w:p>
      <w:pPr>
        <w:spacing w:line="360" w:lineRule="auto"/>
        <w:ind w:left="440" w:hanging="440" w:hangingChars="200"/>
        <w:contextualSpacing/>
        <w:rPr>
          <w:sz w:val="22"/>
          <w:szCs w:val="22"/>
        </w:rPr>
      </w:pPr>
      <w:r>
        <w:rPr>
          <w:sz w:val="22"/>
          <w:szCs w:val="22"/>
        </w:rPr>
        <w:t xml:space="preserve">Belcher, J. N. (2006). Industrial packaging developments for the global meat market. </w:t>
      </w:r>
      <w:r>
        <w:rPr>
          <w:i/>
          <w:iCs/>
          <w:sz w:val="22"/>
          <w:szCs w:val="22"/>
        </w:rPr>
        <w:t>Meat science</w:t>
      </w:r>
      <w:r>
        <w:rPr>
          <w:sz w:val="22"/>
          <w:szCs w:val="22"/>
        </w:rPr>
        <w:t>, 74(1), 143-148.</w:t>
      </w:r>
    </w:p>
    <w:p>
      <w:pPr>
        <w:spacing w:line="360" w:lineRule="auto"/>
        <w:ind w:left="440" w:hanging="440" w:hangingChars="200"/>
        <w:contextualSpacing/>
        <w:rPr>
          <w:sz w:val="22"/>
          <w:szCs w:val="22"/>
        </w:rPr>
      </w:pPr>
    </w:p>
    <w:p>
      <w:pPr>
        <w:shd w:val="clear" w:color="auto" w:fill="FFFFFF"/>
        <w:spacing w:before="100" w:beforeAutospacing="1" w:after="100" w:afterAutospacing="1" w:line="360" w:lineRule="auto"/>
        <w:ind w:left="440" w:hanging="440" w:hangingChars="200"/>
        <w:contextualSpacing/>
        <w:rPr>
          <w:sz w:val="22"/>
          <w:szCs w:val="22"/>
        </w:rPr>
      </w:pPr>
      <w:r>
        <w:rPr>
          <w:sz w:val="22"/>
          <w:szCs w:val="22"/>
        </w:rPr>
        <w:t xml:space="preserve">Catherine, H. J. (2014). Food and culture: in search of a Singapore cuisine, </w:t>
      </w:r>
      <w:r>
        <w:rPr>
          <w:i/>
          <w:sz w:val="22"/>
          <w:szCs w:val="22"/>
        </w:rPr>
        <w:t xml:space="preserve">British Food Journal, </w:t>
      </w:r>
      <w:r>
        <w:rPr>
          <w:sz w:val="22"/>
          <w:szCs w:val="22"/>
        </w:rPr>
        <w:t>116</w:t>
      </w:r>
      <w:r>
        <w:rPr>
          <w:rFonts w:hint="eastAsia" w:eastAsia="宋体"/>
          <w:sz w:val="22"/>
          <w:szCs w:val="22"/>
        </w:rPr>
        <w:t>(</w:t>
      </w:r>
      <w:r>
        <w:rPr>
          <w:rFonts w:eastAsia="宋体"/>
          <w:sz w:val="22"/>
          <w:szCs w:val="22"/>
        </w:rPr>
        <w:t>6</w:t>
      </w:r>
      <w:r>
        <w:rPr>
          <w:rFonts w:hint="eastAsia" w:eastAsia="宋体"/>
          <w:sz w:val="22"/>
          <w:szCs w:val="22"/>
        </w:rPr>
        <w:t>)</w:t>
      </w:r>
      <w:r>
        <w:rPr>
          <w:sz w:val="22"/>
          <w:szCs w:val="22"/>
        </w:rPr>
        <w:t xml:space="preserve">, 904-917. </w:t>
      </w:r>
    </w:p>
    <w:p>
      <w:pPr>
        <w:shd w:val="clear" w:color="auto" w:fill="FFFFFF"/>
        <w:spacing w:before="100" w:beforeAutospacing="1" w:after="100" w:afterAutospacing="1" w:line="360" w:lineRule="auto"/>
        <w:ind w:left="440" w:hanging="440" w:hangingChars="200"/>
        <w:contextualSpacing/>
        <w:rPr>
          <w:sz w:val="22"/>
          <w:szCs w:val="22"/>
        </w:rPr>
      </w:pPr>
    </w:p>
    <w:p>
      <w:pPr>
        <w:ind w:left="440" w:hanging="440" w:hangingChars="200"/>
        <w:rPr>
          <w:sz w:val="22"/>
          <w:szCs w:val="22"/>
          <w:shd w:val="clear" w:color="auto" w:fill="FFFFFF"/>
        </w:rPr>
      </w:pPr>
      <w:r>
        <w:rPr>
          <w:sz w:val="22"/>
          <w:szCs w:val="22"/>
          <w:shd w:val="clear" w:color="auto" w:fill="FFFFFF"/>
        </w:rPr>
        <w:t>Gillespie, K., &amp; Hennessey, H. D. (2016). </w:t>
      </w:r>
      <w:r>
        <w:rPr>
          <w:i/>
          <w:iCs/>
          <w:sz w:val="22"/>
          <w:szCs w:val="22"/>
        </w:rPr>
        <w:t>Global marketing</w:t>
      </w:r>
      <w:r>
        <w:rPr>
          <w:sz w:val="22"/>
          <w:szCs w:val="22"/>
          <w:shd w:val="clear" w:color="auto" w:fill="FFFFFF"/>
        </w:rPr>
        <w:t>. New York: Routledge, Taylor &amp; Francis Group.</w:t>
      </w:r>
    </w:p>
    <w:p>
      <w:pPr>
        <w:spacing w:line="360" w:lineRule="auto"/>
        <w:contextualSpacing/>
        <w:rPr>
          <w:rFonts w:hint="eastAsia" w:eastAsiaTheme="minorEastAsia"/>
          <w:sz w:val="22"/>
          <w:szCs w:val="22"/>
        </w:rPr>
      </w:pPr>
    </w:p>
    <w:p>
      <w:pPr>
        <w:spacing w:line="360" w:lineRule="auto"/>
        <w:ind w:left="440" w:hanging="440" w:hangingChars="200"/>
        <w:contextualSpacing/>
        <w:rPr>
          <w:sz w:val="22"/>
          <w:szCs w:val="22"/>
        </w:rPr>
      </w:pPr>
      <w:r>
        <w:rPr>
          <w:sz w:val="22"/>
          <w:szCs w:val="22"/>
        </w:rPr>
        <w:t xml:space="preserve">HCC. (2020a). </w:t>
      </w:r>
      <w:r>
        <w:rPr>
          <w:i/>
          <w:iCs/>
          <w:sz w:val="22"/>
          <w:szCs w:val="22"/>
        </w:rPr>
        <w:t>Welsh Lamb Industry Achieves Shelf-Life Improvements</w:t>
      </w:r>
      <w:r>
        <w:rPr>
          <w:sz w:val="22"/>
          <w:szCs w:val="22"/>
        </w:rPr>
        <w:t xml:space="preserve"> [Online], Available from: </w:t>
      </w:r>
      <w:r>
        <w:fldChar w:fldCharType="begin"/>
      </w:r>
      <w:r>
        <w:instrText xml:space="preserve"> HYPERLINK "https://meatpromotion.wales/en/news-industry-info/welsh-lamb-industry-achieves-shelf-life-improvements" </w:instrText>
      </w:r>
      <w:r>
        <w:fldChar w:fldCharType="separate"/>
      </w:r>
      <w:r>
        <w:rPr>
          <w:rStyle w:val="12"/>
          <w:sz w:val="22"/>
          <w:szCs w:val="22"/>
        </w:rPr>
        <w:t>https://meatpromotion.wales/en/news-industry-info/welsh-lamb-industry-achieves-shelf-life-improvements</w:t>
      </w:r>
      <w:r>
        <w:rPr>
          <w:rStyle w:val="12"/>
          <w:sz w:val="22"/>
          <w:szCs w:val="22"/>
        </w:rPr>
        <w:fldChar w:fldCharType="end"/>
      </w:r>
      <w:r>
        <w:rPr>
          <w:sz w:val="22"/>
          <w:szCs w:val="22"/>
        </w:rPr>
        <w:t>, [Accessed 4 May 2020].</w:t>
      </w:r>
    </w:p>
    <w:p>
      <w:pPr>
        <w:spacing w:line="360" w:lineRule="auto"/>
        <w:ind w:left="440" w:hanging="440" w:hangingChars="200"/>
        <w:contextualSpacing/>
        <w:rPr>
          <w:sz w:val="22"/>
          <w:szCs w:val="22"/>
        </w:rPr>
      </w:pPr>
    </w:p>
    <w:p>
      <w:pPr>
        <w:spacing w:line="360" w:lineRule="auto"/>
        <w:ind w:left="440" w:hanging="440" w:hangingChars="200"/>
        <w:contextualSpacing/>
        <w:rPr>
          <w:sz w:val="22"/>
          <w:szCs w:val="22"/>
        </w:rPr>
      </w:pPr>
      <w:r>
        <w:rPr>
          <w:sz w:val="22"/>
          <w:szCs w:val="22"/>
        </w:rPr>
        <w:t>HCC. (2020b).</w:t>
      </w:r>
      <w:r>
        <w:t xml:space="preserve"> </w:t>
      </w:r>
      <w:r>
        <w:rPr>
          <w:i/>
          <w:iCs/>
          <w:sz w:val="22"/>
          <w:szCs w:val="22"/>
        </w:rPr>
        <w:t>Marketing</w:t>
      </w:r>
      <w:bookmarkStart w:id="11" w:name="_Hlk41032503"/>
      <w:r>
        <w:rPr>
          <w:sz w:val="22"/>
          <w:szCs w:val="22"/>
        </w:rPr>
        <w:t xml:space="preserve"> [Online], Available from: </w:t>
      </w:r>
      <w:bookmarkEnd w:id="11"/>
      <w:r>
        <w:rPr>
          <w:sz w:val="22"/>
          <w:szCs w:val="22"/>
        </w:rPr>
        <w:fldChar w:fldCharType="begin"/>
      </w:r>
      <w:r>
        <w:rPr>
          <w:sz w:val="22"/>
          <w:szCs w:val="22"/>
        </w:rPr>
        <w:instrText xml:space="preserve"> HYPERLINK "https://meatpromotion.wales/en/about/what-we-do/marketing" </w:instrText>
      </w:r>
      <w:r>
        <w:rPr>
          <w:sz w:val="22"/>
          <w:szCs w:val="22"/>
        </w:rPr>
        <w:fldChar w:fldCharType="separate"/>
      </w:r>
      <w:r>
        <w:rPr>
          <w:rStyle w:val="12"/>
          <w:sz w:val="22"/>
          <w:szCs w:val="22"/>
        </w:rPr>
        <w:t>https://meatpromotion.wales/en/about/what-we-do/marketing</w:t>
      </w:r>
      <w:r>
        <w:rPr>
          <w:sz w:val="22"/>
          <w:szCs w:val="22"/>
        </w:rPr>
        <w:fldChar w:fldCharType="end"/>
      </w:r>
      <w:r>
        <w:rPr>
          <w:sz w:val="22"/>
          <w:szCs w:val="22"/>
        </w:rPr>
        <w:t>, [Accessed 5 May 2020].</w:t>
      </w:r>
    </w:p>
    <w:p>
      <w:pPr>
        <w:spacing w:line="360" w:lineRule="auto"/>
        <w:ind w:left="440" w:hanging="440" w:hangingChars="200"/>
        <w:contextualSpacing/>
        <w:rPr>
          <w:sz w:val="22"/>
          <w:szCs w:val="22"/>
        </w:rPr>
      </w:pPr>
    </w:p>
    <w:p>
      <w:pPr>
        <w:shd w:val="clear" w:color="auto" w:fill="FFFFFF"/>
        <w:spacing w:before="100" w:beforeAutospacing="1" w:after="100" w:afterAutospacing="1" w:line="360" w:lineRule="auto"/>
        <w:ind w:left="440" w:hanging="440" w:hangingChars="200"/>
        <w:contextualSpacing/>
        <w:rPr>
          <w:sz w:val="22"/>
          <w:szCs w:val="22"/>
        </w:rPr>
      </w:pPr>
      <w:r>
        <w:rPr>
          <w:sz w:val="22"/>
          <w:szCs w:val="22"/>
        </w:rPr>
        <w:t>Hernán, B., Martín, J., &amp; Jiménez, J. (2010). Customer behaviour in electronic commerce: The moderating effect of e-purchasing experience</w:t>
      </w:r>
      <w:r>
        <w:rPr>
          <w:i/>
          <w:sz w:val="22"/>
          <w:szCs w:val="22"/>
        </w:rPr>
        <w:t>. Journal of Business Research</w:t>
      </w:r>
      <w:r>
        <w:rPr>
          <w:sz w:val="22"/>
          <w:szCs w:val="22"/>
        </w:rPr>
        <w:t>, 63(9-10), 964–971.</w:t>
      </w:r>
    </w:p>
    <w:p>
      <w:pPr>
        <w:shd w:val="clear" w:color="auto" w:fill="FFFFFF"/>
        <w:spacing w:before="100" w:beforeAutospacing="1" w:after="100" w:afterAutospacing="1" w:line="360" w:lineRule="auto"/>
        <w:ind w:left="440" w:hanging="440" w:hangingChars="200"/>
        <w:contextualSpacing/>
        <w:rPr>
          <w:sz w:val="22"/>
          <w:szCs w:val="22"/>
        </w:rPr>
      </w:pPr>
    </w:p>
    <w:p>
      <w:pPr>
        <w:shd w:val="clear" w:color="auto" w:fill="FFFFFF"/>
        <w:spacing w:before="100" w:beforeAutospacing="1" w:after="100" w:afterAutospacing="1" w:line="360" w:lineRule="auto"/>
        <w:ind w:left="440" w:hanging="440" w:hangingChars="200"/>
        <w:contextualSpacing/>
        <w:rPr>
          <w:i/>
          <w:sz w:val="22"/>
          <w:szCs w:val="22"/>
        </w:rPr>
      </w:pPr>
      <w:r>
        <w:rPr>
          <w:sz w:val="22"/>
          <w:szCs w:val="22"/>
        </w:rPr>
        <w:t xml:space="preserve">Kumar, M., Rangachari, A., Jhingran, A., &amp; Mohan, R. (1998). Sales Promotions on the Internet. </w:t>
      </w:r>
      <w:r>
        <w:rPr>
          <w:i/>
          <w:sz w:val="22"/>
          <w:szCs w:val="22"/>
        </w:rPr>
        <w:t xml:space="preserve">IBM T.J. Watson Research Center. </w:t>
      </w:r>
    </w:p>
    <w:p>
      <w:pPr>
        <w:shd w:val="clear" w:color="auto" w:fill="FFFFFF"/>
        <w:spacing w:before="100" w:beforeAutospacing="1" w:after="100" w:afterAutospacing="1" w:line="360" w:lineRule="auto"/>
        <w:ind w:left="440" w:hanging="440" w:hangingChars="200"/>
        <w:contextualSpacing/>
        <w:rPr>
          <w:sz w:val="22"/>
          <w:szCs w:val="22"/>
        </w:rPr>
      </w:pPr>
    </w:p>
    <w:p>
      <w:pPr>
        <w:widowControl w:val="0"/>
        <w:shd w:val="clear" w:color="auto" w:fill="FFFFFF"/>
        <w:spacing w:before="100" w:beforeAutospacing="1" w:after="100" w:afterAutospacing="1" w:line="360" w:lineRule="auto"/>
        <w:ind w:left="440" w:hanging="440" w:hangingChars="200"/>
        <w:contextualSpacing/>
        <w:rPr>
          <w:rFonts w:eastAsiaTheme="minorHAnsi"/>
          <w:sz w:val="22"/>
          <w:szCs w:val="22"/>
          <w:lang w:eastAsia="en-US"/>
        </w:rPr>
      </w:pPr>
      <w:r>
        <w:rPr>
          <w:rFonts w:eastAsiaTheme="minorHAnsi"/>
          <w:sz w:val="22"/>
          <w:szCs w:val="22"/>
          <w:lang w:eastAsia="en-US"/>
        </w:rPr>
        <w:t xml:space="preserve">Lazaridis, I., &amp; Tryfonidis, D. (2006) Relationship between working capital management and profitability of listed companies in the Athens stock exchange. </w:t>
      </w:r>
      <w:r>
        <w:rPr>
          <w:rFonts w:eastAsiaTheme="minorHAnsi"/>
          <w:i/>
          <w:sz w:val="22"/>
          <w:szCs w:val="22"/>
          <w:lang w:eastAsia="en-US"/>
        </w:rPr>
        <w:t>Journal of financial management and analysis</w:t>
      </w:r>
      <w:r>
        <w:rPr>
          <w:rFonts w:eastAsiaTheme="minorHAnsi"/>
          <w:sz w:val="22"/>
          <w:szCs w:val="22"/>
          <w:lang w:eastAsia="en-US"/>
        </w:rPr>
        <w:t>, 19(1), 256-260.</w:t>
      </w:r>
    </w:p>
    <w:p>
      <w:pPr>
        <w:widowControl w:val="0"/>
        <w:shd w:val="clear" w:color="auto" w:fill="FFFFFF"/>
        <w:spacing w:before="100" w:beforeAutospacing="1" w:after="100" w:afterAutospacing="1" w:line="360" w:lineRule="auto"/>
        <w:ind w:left="440" w:hanging="440" w:hangingChars="200"/>
        <w:contextualSpacing/>
        <w:rPr>
          <w:rFonts w:eastAsiaTheme="minorEastAsia"/>
          <w:kern w:val="2"/>
          <w:sz w:val="22"/>
          <w:szCs w:val="22"/>
        </w:rPr>
      </w:pPr>
    </w:p>
    <w:p>
      <w:pPr>
        <w:shd w:val="clear" w:color="auto" w:fill="FFFFFF"/>
        <w:spacing w:before="100" w:beforeAutospacing="1" w:after="100" w:afterAutospacing="1" w:line="360" w:lineRule="auto"/>
        <w:ind w:left="440" w:hanging="440" w:hangingChars="200"/>
        <w:contextualSpacing/>
        <w:rPr>
          <w:sz w:val="22"/>
          <w:szCs w:val="22"/>
        </w:rPr>
      </w:pPr>
      <w:r>
        <w:rPr>
          <w:sz w:val="22"/>
          <w:szCs w:val="22"/>
        </w:rPr>
        <w:t xml:space="preserve">Lee, J &amp; Nguyen, M. J. (2014) Product attributes and preference for foreign brands among vietnamese consumers. </w:t>
      </w:r>
      <w:r>
        <w:rPr>
          <w:i/>
          <w:iCs/>
          <w:sz w:val="22"/>
          <w:szCs w:val="22"/>
        </w:rPr>
        <w:t>Journal of Retailing &amp; Consumer Services,</w:t>
      </w:r>
      <w:r>
        <w:rPr>
          <w:sz w:val="22"/>
          <w:szCs w:val="22"/>
        </w:rPr>
        <w:t xml:space="preserve"> </w:t>
      </w:r>
      <w:r>
        <w:rPr>
          <w:iCs/>
          <w:sz w:val="22"/>
          <w:szCs w:val="22"/>
        </w:rPr>
        <w:t>35</w:t>
      </w:r>
      <w:r>
        <w:rPr>
          <w:rFonts w:hint="eastAsia" w:eastAsia="宋体"/>
          <w:iCs/>
          <w:sz w:val="22"/>
          <w:szCs w:val="22"/>
        </w:rPr>
        <w:t>(</w:t>
      </w:r>
      <w:r>
        <w:rPr>
          <w:rFonts w:eastAsia="宋体"/>
          <w:iCs/>
          <w:sz w:val="22"/>
          <w:szCs w:val="22"/>
        </w:rPr>
        <w:t>14</w:t>
      </w:r>
      <w:r>
        <w:rPr>
          <w:rFonts w:hint="eastAsia" w:eastAsia="宋体"/>
          <w:iCs/>
          <w:sz w:val="22"/>
          <w:szCs w:val="22"/>
        </w:rPr>
        <w:t>)</w:t>
      </w:r>
      <w:r>
        <w:rPr>
          <w:sz w:val="22"/>
          <w:szCs w:val="22"/>
        </w:rPr>
        <w:t>, 76-83.</w:t>
      </w:r>
    </w:p>
    <w:p>
      <w:pPr>
        <w:shd w:val="clear" w:color="auto" w:fill="FFFFFF"/>
        <w:spacing w:before="100" w:beforeAutospacing="1" w:after="100" w:afterAutospacing="1" w:line="360" w:lineRule="auto"/>
        <w:ind w:left="440" w:hanging="440" w:hangingChars="200"/>
        <w:contextualSpacing/>
        <w:rPr>
          <w:sz w:val="22"/>
          <w:szCs w:val="22"/>
        </w:rPr>
      </w:pPr>
    </w:p>
    <w:p>
      <w:pPr>
        <w:ind w:left="440" w:hanging="440" w:hangingChars="200"/>
        <w:rPr>
          <w:sz w:val="22"/>
          <w:szCs w:val="22"/>
          <w:shd w:val="clear" w:color="auto" w:fill="FFFFFF"/>
        </w:rPr>
      </w:pPr>
      <w:r>
        <w:rPr>
          <w:sz w:val="22"/>
          <w:szCs w:val="22"/>
          <w:shd w:val="clear" w:color="auto" w:fill="FFFFFF"/>
        </w:rPr>
        <w:t>Mayer, T., Melitz, M. J., &amp; Ottaviano, G. I. P. (2011). </w:t>
      </w:r>
      <w:r>
        <w:rPr>
          <w:i/>
          <w:iCs/>
          <w:sz w:val="22"/>
          <w:szCs w:val="22"/>
        </w:rPr>
        <w:t>Market size, competition, and the product mix of exporters</w:t>
      </w:r>
      <w:r>
        <w:rPr>
          <w:sz w:val="22"/>
          <w:szCs w:val="22"/>
          <w:shd w:val="clear" w:color="auto" w:fill="FFFFFF"/>
        </w:rPr>
        <w:t>. London: CEPR.</w:t>
      </w:r>
    </w:p>
    <w:p>
      <w:pPr>
        <w:ind w:left="440" w:hanging="440" w:hangingChars="200"/>
        <w:rPr>
          <w:sz w:val="22"/>
          <w:szCs w:val="22"/>
        </w:rPr>
      </w:pPr>
    </w:p>
    <w:p>
      <w:pPr>
        <w:ind w:left="440" w:hanging="440" w:hangingChars="200"/>
        <w:rPr>
          <w:sz w:val="22"/>
          <w:szCs w:val="22"/>
          <w:shd w:val="clear" w:color="auto" w:fill="FFFFFF"/>
        </w:rPr>
      </w:pPr>
      <w:r>
        <w:rPr>
          <w:sz w:val="22"/>
          <w:szCs w:val="22"/>
          <w:shd w:val="clear" w:color="auto" w:fill="FFFFFF"/>
        </w:rPr>
        <w:t>McMurtry, J. M., &amp; Hiam, A. (2017). </w:t>
      </w:r>
      <w:r>
        <w:rPr>
          <w:i/>
          <w:iCs/>
          <w:sz w:val="22"/>
          <w:szCs w:val="22"/>
        </w:rPr>
        <w:t>Marketing</w:t>
      </w:r>
      <w:r>
        <w:rPr>
          <w:sz w:val="22"/>
          <w:szCs w:val="22"/>
          <w:shd w:val="clear" w:color="auto" w:fill="FFFFFF"/>
        </w:rPr>
        <w:t>. Hoboken, NJ: John Wiley &amp; Sons, Inc.</w:t>
      </w:r>
    </w:p>
    <w:p>
      <w:pPr>
        <w:ind w:left="440" w:hanging="440" w:hangingChars="200"/>
        <w:rPr>
          <w:sz w:val="22"/>
          <w:szCs w:val="22"/>
        </w:rPr>
      </w:pPr>
    </w:p>
    <w:p>
      <w:pPr>
        <w:spacing w:line="360" w:lineRule="auto"/>
        <w:ind w:left="440" w:hanging="440" w:hangingChars="200"/>
        <w:contextualSpacing/>
        <w:rPr>
          <w:sz w:val="22"/>
          <w:szCs w:val="22"/>
        </w:rPr>
      </w:pPr>
      <w:r>
        <w:rPr>
          <w:sz w:val="22"/>
          <w:szCs w:val="22"/>
        </w:rPr>
        <w:t xml:space="preserve">Mirza, H. (2011) </w:t>
      </w:r>
      <w:r>
        <w:rPr>
          <w:i/>
          <w:iCs/>
          <w:sz w:val="22"/>
          <w:szCs w:val="22"/>
        </w:rPr>
        <w:t>Multinationals and the Growth of the Singapore Economy</w:t>
      </w:r>
      <w:r>
        <w:rPr>
          <w:sz w:val="22"/>
          <w:szCs w:val="22"/>
        </w:rPr>
        <w:t>. Routledge.</w:t>
      </w:r>
    </w:p>
    <w:p>
      <w:pPr>
        <w:spacing w:line="360" w:lineRule="auto"/>
        <w:ind w:left="440" w:hanging="440" w:hangingChars="200"/>
        <w:contextualSpacing/>
        <w:rPr>
          <w:sz w:val="22"/>
          <w:szCs w:val="22"/>
        </w:rPr>
      </w:pPr>
    </w:p>
    <w:p>
      <w:pPr>
        <w:ind w:left="440" w:hanging="440" w:hangingChars="200"/>
        <w:rPr>
          <w:sz w:val="22"/>
          <w:szCs w:val="22"/>
          <w:shd w:val="clear" w:color="auto" w:fill="FFFFFF"/>
        </w:rPr>
      </w:pPr>
      <w:r>
        <w:rPr>
          <w:sz w:val="22"/>
          <w:szCs w:val="22"/>
          <w:shd w:val="clear" w:color="auto" w:fill="FFFFFF"/>
        </w:rPr>
        <w:t>Naspetti, S., &amp; Zanoli, R. (2012). Organic Meat Production in Europe: Market and Regulation. </w:t>
      </w:r>
      <w:r>
        <w:rPr>
          <w:i/>
          <w:iCs/>
          <w:sz w:val="22"/>
          <w:szCs w:val="22"/>
        </w:rPr>
        <w:t>Organic Meat Production and Processing</w:t>
      </w:r>
      <w:r>
        <w:rPr>
          <w:sz w:val="22"/>
          <w:szCs w:val="22"/>
          <w:shd w:val="clear" w:color="auto" w:fill="FFFFFF"/>
        </w:rPr>
        <w:t xml:space="preserve">, 53–66. </w:t>
      </w:r>
    </w:p>
    <w:p>
      <w:pPr>
        <w:ind w:left="440" w:hanging="440" w:hangingChars="200"/>
        <w:rPr>
          <w:sz w:val="22"/>
          <w:szCs w:val="22"/>
        </w:rPr>
      </w:pPr>
    </w:p>
    <w:p>
      <w:pPr>
        <w:shd w:val="clear" w:color="auto" w:fill="FFFFFF"/>
        <w:spacing w:before="100" w:beforeAutospacing="1" w:after="100" w:afterAutospacing="1" w:line="360" w:lineRule="auto"/>
        <w:ind w:left="440" w:hanging="440" w:hangingChars="200"/>
        <w:contextualSpacing/>
        <w:rPr>
          <w:sz w:val="22"/>
          <w:szCs w:val="22"/>
        </w:rPr>
      </w:pPr>
      <w:r>
        <w:rPr>
          <w:sz w:val="22"/>
          <w:szCs w:val="22"/>
        </w:rPr>
        <w:t xml:space="preserve">Quintavalla, S., &amp; Vicini, L. (2002). Antimicrobial food packaging in meat industry. </w:t>
      </w:r>
      <w:r>
        <w:rPr>
          <w:i/>
          <w:sz w:val="22"/>
          <w:szCs w:val="22"/>
        </w:rPr>
        <w:t>Meat Science</w:t>
      </w:r>
      <w:r>
        <w:rPr>
          <w:sz w:val="22"/>
          <w:szCs w:val="22"/>
        </w:rPr>
        <w:t>, 623(3), 73-380.</w:t>
      </w:r>
    </w:p>
    <w:p>
      <w:pPr>
        <w:shd w:val="clear" w:color="auto" w:fill="FFFFFF"/>
        <w:spacing w:before="100" w:beforeAutospacing="1" w:after="100" w:afterAutospacing="1" w:line="360" w:lineRule="auto"/>
        <w:ind w:left="440" w:hanging="440" w:hangingChars="200"/>
        <w:contextualSpacing/>
        <w:rPr>
          <w:sz w:val="22"/>
          <w:szCs w:val="22"/>
        </w:rPr>
      </w:pPr>
    </w:p>
    <w:p>
      <w:pPr>
        <w:ind w:left="440" w:hanging="440" w:hangingChars="200"/>
        <w:rPr>
          <w:rFonts w:eastAsia="宋体"/>
          <w:sz w:val="22"/>
          <w:szCs w:val="22"/>
          <w:shd w:val="clear" w:color="auto" w:fill="FFFFFF"/>
        </w:rPr>
      </w:pPr>
      <w:r>
        <w:rPr>
          <w:sz w:val="22"/>
          <w:szCs w:val="22"/>
          <w:shd w:val="clear" w:color="auto" w:fill="FFFFFF"/>
        </w:rPr>
        <w:t>Spann, M., Fischer, M., &amp; Tellis, G. J. (2014). Skimming or Penetration? Strategic Dynamic Pricing for New Products. </w:t>
      </w:r>
      <w:r>
        <w:rPr>
          <w:i/>
          <w:iCs/>
          <w:sz w:val="22"/>
          <w:szCs w:val="22"/>
        </w:rPr>
        <w:t>SSRN Electronic Journal</w:t>
      </w:r>
      <w:r>
        <w:rPr>
          <w:rFonts w:eastAsia="宋体"/>
          <w:sz w:val="22"/>
          <w:szCs w:val="22"/>
          <w:shd w:val="clear" w:color="auto" w:fill="FFFFFF"/>
        </w:rPr>
        <w:t>.</w:t>
      </w:r>
    </w:p>
    <w:p>
      <w:pPr>
        <w:ind w:left="440" w:hanging="440" w:hangingChars="200"/>
        <w:rPr>
          <w:rFonts w:eastAsia="宋体"/>
          <w:sz w:val="22"/>
          <w:szCs w:val="22"/>
        </w:rPr>
      </w:pPr>
    </w:p>
    <w:p>
      <w:pPr>
        <w:spacing w:line="360" w:lineRule="auto"/>
        <w:ind w:left="440" w:hanging="440" w:hangingChars="200"/>
        <w:contextualSpacing/>
        <w:rPr>
          <w:sz w:val="22"/>
          <w:szCs w:val="22"/>
          <w:shd w:val="clear" w:color="auto" w:fill="FFFFFF"/>
        </w:rPr>
      </w:pPr>
      <w:r>
        <w:rPr>
          <w:sz w:val="22"/>
          <w:szCs w:val="22"/>
          <w:shd w:val="clear" w:color="auto" w:fill="FFFFFF"/>
        </w:rPr>
        <w:t xml:space="preserve">Tay, J., &amp; Yap, S. (2019). </w:t>
      </w:r>
      <w:r>
        <w:rPr>
          <w:i/>
          <w:iCs/>
          <w:sz w:val="22"/>
          <w:szCs w:val="22"/>
          <w:shd w:val="clear" w:color="auto" w:fill="FFFFFF"/>
        </w:rPr>
        <w:t xml:space="preserve">8 best gourmet butchers in Singapore for quality cuts </w:t>
      </w:r>
      <w:r>
        <w:rPr>
          <w:sz w:val="22"/>
          <w:szCs w:val="22"/>
          <w:shd w:val="clear" w:color="auto" w:fill="FFFFFF"/>
        </w:rPr>
        <w:t xml:space="preserve">[Online], Available from: </w:t>
      </w:r>
      <w:r>
        <w:fldChar w:fldCharType="begin"/>
      </w:r>
      <w:r>
        <w:instrText xml:space="preserve"> HYPERLINK "https://www.lifestyleasia.com/sg/food-drink/dining/carnivorous-appeal-5-gourmet-butchers-shop/" </w:instrText>
      </w:r>
      <w:r>
        <w:fldChar w:fldCharType="separate"/>
      </w:r>
      <w:r>
        <w:rPr>
          <w:rStyle w:val="12"/>
          <w:sz w:val="22"/>
          <w:szCs w:val="22"/>
          <w:shd w:val="clear" w:color="auto" w:fill="FFFFFF"/>
        </w:rPr>
        <w:t>https://www.lifestyleasia.com/sg/food-drink/dining/carnivorous-appeal-5-gourmet-butchers-shop/</w:t>
      </w:r>
      <w:r>
        <w:rPr>
          <w:rStyle w:val="12"/>
          <w:sz w:val="22"/>
          <w:szCs w:val="22"/>
          <w:shd w:val="clear" w:color="auto" w:fill="FFFFFF"/>
        </w:rPr>
        <w:fldChar w:fldCharType="end"/>
      </w:r>
      <w:r>
        <w:rPr>
          <w:sz w:val="22"/>
          <w:szCs w:val="22"/>
          <w:shd w:val="clear" w:color="auto" w:fill="FFFFFF"/>
        </w:rPr>
        <w:t>, [Accessed 4 May 2020].</w:t>
      </w:r>
    </w:p>
    <w:p>
      <w:pPr>
        <w:spacing w:line="360" w:lineRule="auto"/>
        <w:ind w:left="440" w:hanging="440" w:hangingChars="200"/>
        <w:contextualSpacing/>
        <w:rPr>
          <w:sz w:val="22"/>
          <w:szCs w:val="22"/>
        </w:rPr>
      </w:pPr>
    </w:p>
    <w:p>
      <w:pPr>
        <w:spacing w:line="360" w:lineRule="auto"/>
        <w:ind w:left="440" w:hanging="440" w:hangingChars="200"/>
        <w:contextualSpacing/>
        <w:rPr>
          <w:sz w:val="22"/>
          <w:szCs w:val="22"/>
        </w:rPr>
      </w:pPr>
      <w:r>
        <w:rPr>
          <w:sz w:val="22"/>
          <w:szCs w:val="22"/>
        </w:rPr>
        <w:t xml:space="preserve">Vernon, R. (2015) International investment and international trade in the product cycle. </w:t>
      </w:r>
      <w:r>
        <w:rPr>
          <w:i/>
          <w:iCs/>
          <w:sz w:val="22"/>
          <w:szCs w:val="22"/>
        </w:rPr>
        <w:t>International Business Strategy</w:t>
      </w:r>
      <w:r>
        <w:rPr>
          <w:sz w:val="22"/>
          <w:szCs w:val="22"/>
        </w:rPr>
        <w:t>, 35-46.</w:t>
      </w:r>
    </w:p>
    <w:p>
      <w:pPr>
        <w:spacing w:line="360" w:lineRule="auto"/>
        <w:ind w:left="440" w:hanging="440" w:hangingChars="200"/>
        <w:contextualSpacing/>
        <w:rPr>
          <w:sz w:val="22"/>
          <w:szCs w:val="22"/>
        </w:rPr>
      </w:pPr>
    </w:p>
    <w:p>
      <w:pPr>
        <w:spacing w:line="360" w:lineRule="auto"/>
        <w:ind w:left="440" w:hanging="440" w:hangingChars="200"/>
        <w:contextualSpacing/>
        <w:rPr>
          <w:sz w:val="22"/>
          <w:szCs w:val="22"/>
          <w:shd w:val="clear" w:color="auto" w:fill="FFFFFF"/>
        </w:rPr>
      </w:pPr>
      <w:r>
        <w:rPr>
          <w:sz w:val="22"/>
          <w:szCs w:val="22"/>
          <w:shd w:val="clear" w:color="auto" w:fill="FFFFFF"/>
        </w:rPr>
        <w:t>Yurun Group. (</w:t>
      </w:r>
      <w:r>
        <w:rPr>
          <w:rFonts w:hint="eastAsia"/>
          <w:sz w:val="22"/>
          <w:szCs w:val="22"/>
          <w:shd w:val="clear" w:color="auto" w:fill="FFFFFF"/>
        </w:rPr>
        <w:t>2020</w:t>
      </w:r>
      <w:r>
        <w:rPr>
          <w:sz w:val="22"/>
          <w:szCs w:val="22"/>
          <w:shd w:val="clear" w:color="auto" w:fill="FFFFFF"/>
        </w:rPr>
        <w:t xml:space="preserve">). </w:t>
      </w:r>
      <w:r>
        <w:rPr>
          <w:i/>
          <w:iCs/>
          <w:sz w:val="22"/>
          <w:szCs w:val="22"/>
          <w:shd w:val="clear" w:color="auto" w:fill="FFFFFF"/>
        </w:rPr>
        <w:t>Industrial Layout Yurun Group</w:t>
      </w:r>
      <w:r>
        <w:rPr>
          <w:sz w:val="22"/>
          <w:szCs w:val="22"/>
          <w:shd w:val="clear" w:color="auto" w:fill="FFFFFF"/>
        </w:rPr>
        <w:t xml:space="preserve"> [Online], Available from: </w:t>
      </w:r>
      <w:r>
        <w:fldChar w:fldCharType="begin"/>
      </w:r>
      <w:r>
        <w:instrText xml:space="preserve"> HYPERLINK "http://en.yurun.com/industrial-layout/food-group/index.html" </w:instrText>
      </w:r>
      <w:r>
        <w:fldChar w:fldCharType="separate"/>
      </w:r>
      <w:r>
        <w:rPr>
          <w:rStyle w:val="12"/>
          <w:color w:val="auto"/>
          <w:sz w:val="22"/>
          <w:szCs w:val="22"/>
          <w:shd w:val="clear" w:color="auto" w:fill="FFFFFF"/>
        </w:rPr>
        <w:t>http://en.yurun.com/industrial-layout/food-group/index.html</w:t>
      </w:r>
      <w:r>
        <w:rPr>
          <w:rStyle w:val="12"/>
          <w:color w:val="auto"/>
          <w:sz w:val="22"/>
          <w:szCs w:val="22"/>
          <w:shd w:val="clear" w:color="auto" w:fill="FFFFFF"/>
        </w:rPr>
        <w:fldChar w:fldCharType="end"/>
      </w:r>
      <w:r>
        <w:rPr>
          <w:sz w:val="22"/>
          <w:szCs w:val="22"/>
          <w:shd w:val="clear" w:color="auto" w:fill="FFFFFF"/>
        </w:rPr>
        <w:t>, [Accessed 5 May 2020].</w:t>
      </w:r>
    </w:p>
    <w:p>
      <w:pPr>
        <w:spacing w:line="360" w:lineRule="auto"/>
        <w:contextualSpacing/>
        <w:rPr>
          <w:rFonts w:eastAsiaTheme="minorEastAsia"/>
          <w:sz w:val="22"/>
          <w:szCs w:val="22"/>
        </w:rPr>
      </w:pPr>
    </w:p>
    <w:p>
      <w:pPr>
        <w:spacing w:line="360" w:lineRule="auto"/>
        <w:contextualSpacing/>
        <w:rPr>
          <w:rFonts w:hint="eastAsia" w:eastAsiaTheme="minorEastAsia"/>
          <w:sz w:val="22"/>
          <w:szCs w:val="22"/>
          <w:lang w:val="en-GB"/>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Times">
    <w:altName w:val="Times New Roman"/>
    <w:panose1 w:val="02020603050405020304"/>
    <w:charset w:val="00"/>
    <w:family w:val="roman"/>
    <w:pitch w:val="default"/>
    <w:sig w:usb0="00000000" w:usb1="00000000" w:usb2="00000009" w:usb3="00000000" w:csb0="000001FF" w:csb1="00000000"/>
  </w:font>
  <w:font w:name="Adobe Hebrew">
    <w:altName w:val="Segoe Print"/>
    <w:panose1 w:val="00000000000000000000"/>
    <w:charset w:val="B1"/>
    <w:family w:val="roman"/>
    <w:pitch w:val="default"/>
    <w:sig w:usb0="00000000" w:usb1="00000000" w:usb2="00000000" w:usb3="00000000" w:csb0="0000002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35290240"/>
      <w:docPartObj>
        <w:docPartGallery w:val="AutoText"/>
      </w:docPartObj>
    </w:sdtPr>
    <w:sdtEndPr>
      <w:rPr>
        <w:sz w:val="22"/>
        <w:szCs w:val="22"/>
      </w:rPr>
    </w:sdtEndPr>
    <w:sdtContent>
      <w:p>
        <w:pPr>
          <w:pStyle w:val="5"/>
          <w:jc w:val="right"/>
          <w:rPr>
            <w:rFonts w:hint="eastAsia"/>
            <w:sz w:val="22"/>
            <w:szCs w:val="22"/>
          </w:rPr>
        </w:pPr>
        <w:r>
          <w:rPr>
            <w:sz w:val="22"/>
            <w:szCs w:val="22"/>
          </w:rPr>
          <w:fldChar w:fldCharType="begin"/>
        </w:r>
        <w:r>
          <w:rPr>
            <w:sz w:val="22"/>
            <w:szCs w:val="22"/>
          </w:rPr>
          <w:instrText xml:space="preserve">PAGE   \* MERGEFORMAT</w:instrText>
        </w:r>
        <w:r>
          <w:rPr>
            <w:sz w:val="22"/>
            <w:szCs w:val="22"/>
          </w:rPr>
          <w:fldChar w:fldCharType="separate"/>
        </w:r>
        <w:r>
          <w:rPr>
            <w:sz w:val="22"/>
            <w:szCs w:val="22"/>
            <w:lang w:val="zh-CN"/>
          </w:rPr>
          <w:t>2</w:t>
        </w:r>
        <w:r>
          <w:rPr>
            <w:sz w:val="22"/>
            <w:szCs w:val="22"/>
          </w:rPr>
          <w:fldChar w:fldCharType="end"/>
        </w:r>
      </w:p>
    </w:sdtContent>
  </w:sdt>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38E2"/>
    <w:rsid w:val="00000118"/>
    <w:rsid w:val="000039CA"/>
    <w:rsid w:val="000131BE"/>
    <w:rsid w:val="0002702C"/>
    <w:rsid w:val="00037846"/>
    <w:rsid w:val="00051E1D"/>
    <w:rsid w:val="00073A14"/>
    <w:rsid w:val="000C3268"/>
    <w:rsid w:val="001827BD"/>
    <w:rsid w:val="00182A6F"/>
    <w:rsid w:val="001A1787"/>
    <w:rsid w:val="001D1E8D"/>
    <w:rsid w:val="001D1FF1"/>
    <w:rsid w:val="001E4927"/>
    <w:rsid w:val="002075BF"/>
    <w:rsid w:val="0025614A"/>
    <w:rsid w:val="00296452"/>
    <w:rsid w:val="002A6365"/>
    <w:rsid w:val="002C1902"/>
    <w:rsid w:val="002C5643"/>
    <w:rsid w:val="002F4995"/>
    <w:rsid w:val="0030728C"/>
    <w:rsid w:val="00327A4B"/>
    <w:rsid w:val="00350446"/>
    <w:rsid w:val="003D260F"/>
    <w:rsid w:val="003F26D4"/>
    <w:rsid w:val="00437A14"/>
    <w:rsid w:val="00446FCF"/>
    <w:rsid w:val="004D726D"/>
    <w:rsid w:val="0058698E"/>
    <w:rsid w:val="005A4BAB"/>
    <w:rsid w:val="005C12A3"/>
    <w:rsid w:val="0060494B"/>
    <w:rsid w:val="00622BC6"/>
    <w:rsid w:val="00652EC5"/>
    <w:rsid w:val="006A3502"/>
    <w:rsid w:val="006A3FB2"/>
    <w:rsid w:val="006D42DB"/>
    <w:rsid w:val="006E4267"/>
    <w:rsid w:val="00705191"/>
    <w:rsid w:val="007069A9"/>
    <w:rsid w:val="007109E5"/>
    <w:rsid w:val="00743ED1"/>
    <w:rsid w:val="00824D13"/>
    <w:rsid w:val="00835A2C"/>
    <w:rsid w:val="00843C10"/>
    <w:rsid w:val="00864ACF"/>
    <w:rsid w:val="00910EF8"/>
    <w:rsid w:val="00960443"/>
    <w:rsid w:val="0096433A"/>
    <w:rsid w:val="00992981"/>
    <w:rsid w:val="009D65A8"/>
    <w:rsid w:val="00A06CA7"/>
    <w:rsid w:val="00A263C1"/>
    <w:rsid w:val="00A415FD"/>
    <w:rsid w:val="00A52180"/>
    <w:rsid w:val="00AE6A11"/>
    <w:rsid w:val="00AF24C0"/>
    <w:rsid w:val="00AF5976"/>
    <w:rsid w:val="00AF790D"/>
    <w:rsid w:val="00B1119E"/>
    <w:rsid w:val="00B1191B"/>
    <w:rsid w:val="00B24CE5"/>
    <w:rsid w:val="00B627C8"/>
    <w:rsid w:val="00B740EA"/>
    <w:rsid w:val="00B74F44"/>
    <w:rsid w:val="00BA640C"/>
    <w:rsid w:val="00BB53B5"/>
    <w:rsid w:val="00BE3F65"/>
    <w:rsid w:val="00C01738"/>
    <w:rsid w:val="00C07879"/>
    <w:rsid w:val="00C614EE"/>
    <w:rsid w:val="00CB1A3F"/>
    <w:rsid w:val="00CC5C42"/>
    <w:rsid w:val="00CE66AA"/>
    <w:rsid w:val="00CF7E53"/>
    <w:rsid w:val="00D14954"/>
    <w:rsid w:val="00D77E61"/>
    <w:rsid w:val="00DB4FA6"/>
    <w:rsid w:val="00E16C07"/>
    <w:rsid w:val="00E238E2"/>
    <w:rsid w:val="00E251A7"/>
    <w:rsid w:val="00E409AA"/>
    <w:rsid w:val="00E63164"/>
    <w:rsid w:val="00E72068"/>
    <w:rsid w:val="00ED4C65"/>
    <w:rsid w:val="00F158E7"/>
    <w:rsid w:val="00F82352"/>
    <w:rsid w:val="00FA0590"/>
    <w:rsid w:val="00FE52A2"/>
    <w:rsid w:val="40E022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kern w:val="0"/>
      <w:sz w:val="24"/>
      <w:szCs w:val="24"/>
      <w:lang w:val="en-US" w:eastAsia="zh-CN" w:bidi="ar-SA"/>
    </w:rPr>
  </w:style>
  <w:style w:type="paragraph" w:styleId="2">
    <w:name w:val="heading 1"/>
    <w:basedOn w:val="1"/>
    <w:next w:val="1"/>
    <w:link w:val="18"/>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19"/>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0">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4">
    <w:name w:val="Balloon Text"/>
    <w:basedOn w:val="1"/>
    <w:link w:val="13"/>
    <w:semiHidden/>
    <w:unhideWhenUsed/>
    <w:qFormat/>
    <w:uiPriority w:val="99"/>
    <w:rPr>
      <w:sz w:val="18"/>
      <w:szCs w:val="18"/>
    </w:rPr>
  </w:style>
  <w:style w:type="paragraph" w:styleId="5">
    <w:name w:val="footer"/>
    <w:basedOn w:val="1"/>
    <w:link w:val="17"/>
    <w:unhideWhenUsed/>
    <w:qFormat/>
    <w:uiPriority w:val="99"/>
    <w:pPr>
      <w:tabs>
        <w:tab w:val="center" w:pos="4153"/>
        <w:tab w:val="right" w:pos="8306"/>
      </w:tabs>
      <w:snapToGrid w:val="0"/>
    </w:pPr>
    <w:rPr>
      <w:sz w:val="18"/>
      <w:szCs w:val="18"/>
    </w:rPr>
  </w:style>
  <w:style w:type="paragraph" w:styleId="6">
    <w:name w:val="header"/>
    <w:basedOn w:val="1"/>
    <w:link w:val="16"/>
    <w:unhideWhenUsed/>
    <w:uiPriority w:val="99"/>
    <w:pPr>
      <w:pBdr>
        <w:bottom w:val="single" w:color="auto" w:sz="6" w:space="1"/>
      </w:pBdr>
      <w:tabs>
        <w:tab w:val="center" w:pos="4153"/>
        <w:tab w:val="right" w:pos="8306"/>
      </w:tabs>
      <w:snapToGrid w:val="0"/>
      <w:jc w:val="center"/>
    </w:pPr>
    <w:rPr>
      <w:sz w:val="18"/>
      <w:szCs w:val="18"/>
    </w:rPr>
  </w:style>
  <w:style w:type="paragraph" w:styleId="7">
    <w:name w:val="toc 1"/>
    <w:basedOn w:val="1"/>
    <w:next w:val="1"/>
    <w:unhideWhenUsed/>
    <w:qFormat/>
    <w:uiPriority w:val="39"/>
  </w:style>
  <w:style w:type="paragraph" w:styleId="8">
    <w:name w:val="toc 2"/>
    <w:basedOn w:val="1"/>
    <w:next w:val="1"/>
    <w:unhideWhenUsed/>
    <w:qFormat/>
    <w:uiPriority w:val="39"/>
    <w:pPr>
      <w:ind w:left="420" w:leftChars="200"/>
    </w:pPr>
  </w:style>
  <w:style w:type="character" w:styleId="11">
    <w:name w:val="FollowedHyperlink"/>
    <w:basedOn w:val="10"/>
    <w:semiHidden/>
    <w:unhideWhenUsed/>
    <w:qFormat/>
    <w:uiPriority w:val="99"/>
    <w:rPr>
      <w:color w:val="954F72" w:themeColor="followedHyperlink"/>
      <w:u w:val="single"/>
      <w14:textFill>
        <w14:solidFill>
          <w14:schemeClr w14:val="folHlink"/>
        </w14:solidFill>
      </w14:textFill>
    </w:rPr>
  </w:style>
  <w:style w:type="character" w:styleId="12">
    <w:name w:val="Hyperlink"/>
    <w:basedOn w:val="10"/>
    <w:unhideWhenUsed/>
    <w:uiPriority w:val="99"/>
    <w:rPr>
      <w:color w:val="0563C1" w:themeColor="hyperlink"/>
      <w:u w:val="single"/>
      <w14:textFill>
        <w14:solidFill>
          <w14:schemeClr w14:val="hlink"/>
        </w14:solidFill>
      </w14:textFill>
    </w:rPr>
  </w:style>
  <w:style w:type="character" w:customStyle="1" w:styleId="13">
    <w:name w:val="批注框文本 字符"/>
    <w:basedOn w:val="10"/>
    <w:link w:val="4"/>
    <w:semiHidden/>
    <w:qFormat/>
    <w:uiPriority w:val="99"/>
    <w:rPr>
      <w:sz w:val="18"/>
      <w:szCs w:val="18"/>
      <w:lang w:val="en-GB"/>
    </w:rPr>
  </w:style>
  <w:style w:type="paragraph" w:styleId="14">
    <w:name w:val="List Paragraph"/>
    <w:basedOn w:val="1"/>
    <w:qFormat/>
    <w:uiPriority w:val="34"/>
    <w:pPr>
      <w:ind w:left="720"/>
    </w:pPr>
    <w:rPr>
      <w:rFonts w:ascii="Calibri" w:hAnsi="Calibri" w:eastAsia="Calibri" w:cs="Calibri"/>
      <w:sz w:val="20"/>
      <w:szCs w:val="20"/>
      <w:lang w:eastAsia="en-GB"/>
    </w:rPr>
  </w:style>
  <w:style w:type="character" w:customStyle="1" w:styleId="15">
    <w:name w:val="Unresolved Mention"/>
    <w:basedOn w:val="10"/>
    <w:semiHidden/>
    <w:unhideWhenUsed/>
    <w:qFormat/>
    <w:uiPriority w:val="99"/>
    <w:rPr>
      <w:color w:val="605E5C"/>
      <w:shd w:val="clear" w:color="auto" w:fill="E1DFDD"/>
    </w:rPr>
  </w:style>
  <w:style w:type="character" w:customStyle="1" w:styleId="16">
    <w:name w:val="页眉 字符"/>
    <w:basedOn w:val="10"/>
    <w:link w:val="6"/>
    <w:qFormat/>
    <w:uiPriority w:val="99"/>
    <w:rPr>
      <w:rFonts w:ascii="Times New Roman" w:hAnsi="Times New Roman" w:eastAsia="Times New Roman" w:cs="Times New Roman"/>
      <w:kern w:val="0"/>
      <w:sz w:val="18"/>
      <w:szCs w:val="18"/>
    </w:rPr>
  </w:style>
  <w:style w:type="character" w:customStyle="1" w:styleId="17">
    <w:name w:val="页脚 字符"/>
    <w:basedOn w:val="10"/>
    <w:link w:val="5"/>
    <w:qFormat/>
    <w:uiPriority w:val="99"/>
    <w:rPr>
      <w:rFonts w:ascii="Times New Roman" w:hAnsi="Times New Roman" w:eastAsia="Times New Roman" w:cs="Times New Roman"/>
      <w:kern w:val="0"/>
      <w:sz w:val="18"/>
      <w:szCs w:val="18"/>
    </w:rPr>
  </w:style>
  <w:style w:type="character" w:customStyle="1" w:styleId="18">
    <w:name w:val="标题 1 字符"/>
    <w:basedOn w:val="10"/>
    <w:link w:val="2"/>
    <w:qFormat/>
    <w:uiPriority w:val="9"/>
    <w:rPr>
      <w:rFonts w:ascii="Times New Roman" w:hAnsi="Times New Roman" w:eastAsia="Times New Roman" w:cs="Times New Roman"/>
      <w:b/>
      <w:bCs/>
      <w:kern w:val="44"/>
      <w:sz w:val="44"/>
      <w:szCs w:val="44"/>
    </w:rPr>
  </w:style>
  <w:style w:type="character" w:customStyle="1" w:styleId="19">
    <w:name w:val="标题 2 字符"/>
    <w:basedOn w:val="10"/>
    <w:link w:val="3"/>
    <w:semiHidden/>
    <w:uiPriority w:val="9"/>
    <w:rPr>
      <w:rFonts w:asciiTheme="majorHAnsi" w:hAnsiTheme="majorHAnsi" w:eastAsiaTheme="majorEastAsia" w:cstheme="majorBidi"/>
      <w:b/>
      <w:bCs/>
      <w:kern w:val="0"/>
      <w:sz w:val="32"/>
      <w:szCs w:val="32"/>
    </w:rPr>
  </w:style>
  <w:style w:type="paragraph" w:customStyle="1" w:styleId="20">
    <w:name w:val="TOC Heading"/>
    <w:basedOn w:val="2"/>
    <w:next w:val="1"/>
    <w:unhideWhenUsed/>
    <w:qFormat/>
    <w:uiPriority w:val="39"/>
    <w:pPr>
      <w:spacing w:before="240" w:after="0" w:line="259" w:lineRule="auto"/>
      <w:outlineLvl w:val="9"/>
    </w:pPr>
    <w:rPr>
      <w:rFonts w:asciiTheme="majorHAnsi" w:hAnsiTheme="majorHAnsi" w:eastAsiaTheme="majorEastAsia" w:cstheme="majorBidi"/>
      <w:b w:val="0"/>
      <w:bCs w:val="0"/>
      <w:color w:val="2F5597" w:themeColor="accent1" w:themeShade="BF"/>
      <w:kern w:val="0"/>
      <w:sz w:val="32"/>
      <w:szCs w:val="3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258EE2C-9E1A-4AFC-9FA9-548F7EF5B993}">
  <ds:schemaRefs/>
</ds:datastoreItem>
</file>

<file path=docProps/app.xml><?xml version="1.0" encoding="utf-8"?>
<Properties xmlns="http://schemas.openxmlformats.org/officeDocument/2006/extended-properties" xmlns:vt="http://schemas.openxmlformats.org/officeDocument/2006/docPropsVTypes">
  <Template>Normal.dotm</Template>
  <Pages>10</Pages>
  <Words>2786</Words>
  <Characters>15882</Characters>
  <Lines>132</Lines>
  <Paragraphs>37</Paragraphs>
  <TotalTime>1</TotalTime>
  <ScaleCrop>false</ScaleCrop>
  <LinksUpToDate>false</LinksUpToDate>
  <CharactersWithSpaces>18631</CharactersWithSpaces>
  <Application>WPS Office_11.1.0.9662_F1E327BC-269C-435d-A152-05C5408002CA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2020-04-24T04:08:00Z</dcterms:created>
  <dc:creator>吕 厚霖</dc:creator>
  <cp:lastModifiedBy>清空记忆</cp:lastModifiedBy>
  <dcterms:modified xsi:type="dcterms:W3CDTF">2020-05-22T02:13:37Z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2052-11.1.0.9662</vt:lpwstr>
  </property>
</Properties>
</file>