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065751542"/>
        <w:docPartObj>
          <w:docPartGallery w:val="Cover Pages"/>
          <w:docPartUnique/>
        </w:docPartObj>
      </w:sdtPr>
      <w:sdtEndPr>
        <w:rPr>
          <w:color w:val="auto"/>
        </w:rPr>
      </w:sdtEndPr>
      <w:sdtContent>
        <w:p w14:paraId="643601D8" w14:textId="6B3724ED" w:rsidR="008D7DAE" w:rsidRDefault="008D7DAE">
          <w:pPr>
            <w:pStyle w:val="NoSpacing"/>
            <w:spacing w:before="1540" w:after="240"/>
            <w:jc w:val="center"/>
            <w:rPr>
              <w:color w:val="4472C4" w:themeColor="accent1"/>
            </w:rPr>
          </w:pPr>
          <w:r>
            <w:rPr>
              <w:noProof/>
              <w:color w:val="4472C4" w:themeColor="accent1"/>
            </w:rPr>
            <w:drawing>
              <wp:inline distT="0" distB="0" distL="0" distR="0" wp14:anchorId="1B8CFEAA" wp14:editId="0B1287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051742928DE44909237EE65F9D5A12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F1B8FA" w14:textId="2A71FF81" w:rsidR="008D7DAE" w:rsidRDefault="008D7DA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Herodotus and Egypt</w:t>
              </w:r>
            </w:p>
          </w:sdtContent>
        </w:sdt>
        <w:sdt>
          <w:sdtPr>
            <w:rPr>
              <w:color w:val="4472C4" w:themeColor="accent1"/>
              <w:sz w:val="28"/>
              <w:szCs w:val="28"/>
            </w:rPr>
            <w:alias w:val="Subtitle"/>
            <w:tag w:val=""/>
            <w:id w:val="328029620"/>
            <w:placeholder>
              <w:docPart w:val="8C9BECD012E44B3CB2D58AC7B832F099"/>
            </w:placeholder>
            <w:dataBinding w:prefixMappings="xmlns:ns0='http://purl.org/dc/elements/1.1/' xmlns:ns1='http://schemas.openxmlformats.org/package/2006/metadata/core-properties' " w:xpath="/ns1:coreProperties[1]/ns0:subject[1]" w:storeItemID="{6C3C8BC8-F283-45AE-878A-BAB7291924A1}"/>
            <w:text/>
          </w:sdtPr>
          <w:sdtEndPr/>
          <w:sdtContent>
            <w:p w14:paraId="02520BD1" w14:textId="5C0FF021" w:rsidR="008D7DAE" w:rsidRDefault="008D7DAE">
              <w:pPr>
                <w:pStyle w:val="NoSpacing"/>
                <w:jc w:val="center"/>
                <w:rPr>
                  <w:color w:val="4472C4" w:themeColor="accent1"/>
                  <w:sz w:val="28"/>
                  <w:szCs w:val="28"/>
                </w:rPr>
              </w:pPr>
              <w:r>
                <w:rPr>
                  <w:color w:val="4472C4" w:themeColor="accent1"/>
                  <w:sz w:val="28"/>
                  <w:szCs w:val="28"/>
                </w:rPr>
                <w:t>How Herodotus used information about Egypt to stimulate self-assessment of Greek society and culture, and create a basis for a Greek identi</w:t>
              </w:r>
              <w:r w:rsidR="00266C8C">
                <w:rPr>
                  <w:color w:val="4472C4" w:themeColor="accent1"/>
                  <w:sz w:val="28"/>
                  <w:szCs w:val="28"/>
                </w:rPr>
                <w:t>t</w:t>
              </w:r>
              <w:r>
                <w:rPr>
                  <w:color w:val="4472C4" w:themeColor="accent1"/>
                  <w:sz w:val="28"/>
                  <w:szCs w:val="28"/>
                </w:rPr>
                <w:t xml:space="preserve">y based </w:t>
              </w:r>
              <w:r w:rsidR="00266C8C">
                <w:rPr>
                  <w:color w:val="4472C4" w:themeColor="accent1"/>
                  <w:sz w:val="28"/>
                  <w:szCs w:val="28"/>
                </w:rPr>
                <w:t>on the Historical Past.</w:t>
              </w:r>
            </w:p>
          </w:sdtContent>
        </w:sdt>
        <w:p w14:paraId="209BFEDC" w14:textId="1B91FA51" w:rsidR="008D7DAE" w:rsidRDefault="008D7DAE">
          <w:pPr>
            <w:pStyle w:val="NoSpacing"/>
            <w:spacing w:before="480"/>
            <w:jc w:val="center"/>
            <w:rPr>
              <w:color w:val="4472C4" w:themeColor="accent1"/>
            </w:rPr>
          </w:pPr>
          <w:r>
            <w:rPr>
              <w:noProof/>
              <w:color w:val="4472C4" w:themeColor="accent1"/>
            </w:rPr>
            <w:drawing>
              <wp:inline distT="0" distB="0" distL="0" distR="0" wp14:anchorId="4CFE8388" wp14:editId="4A3CBDB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EDB5C3" w14:textId="77777777" w:rsidR="00266C8C" w:rsidRDefault="008D7DAE">
          <w:r>
            <w:br w:type="page"/>
          </w:r>
        </w:p>
        <w:sdt>
          <w:sdtPr>
            <w:rPr>
              <w:rFonts w:asciiTheme="minorHAnsi" w:eastAsiaTheme="minorHAnsi" w:hAnsiTheme="minorHAnsi" w:cstheme="minorBidi"/>
              <w:color w:val="auto"/>
              <w:sz w:val="22"/>
              <w:szCs w:val="22"/>
              <w:lang w:val="en-GB"/>
            </w:rPr>
            <w:id w:val="1586652316"/>
            <w:docPartObj>
              <w:docPartGallery w:val="Table of Contents"/>
              <w:docPartUnique/>
            </w:docPartObj>
          </w:sdtPr>
          <w:sdtEndPr>
            <w:rPr>
              <w:b/>
              <w:bCs/>
              <w:noProof/>
            </w:rPr>
          </w:sdtEndPr>
          <w:sdtContent>
            <w:p w14:paraId="72CCAEAC" w14:textId="2B3BC6E2" w:rsidR="00186895" w:rsidRPr="00186895" w:rsidRDefault="00186895">
              <w:pPr>
                <w:pStyle w:val="TOCHeading"/>
                <w:rPr>
                  <w:b/>
                  <w:bCs/>
                  <w:color w:val="auto"/>
                </w:rPr>
              </w:pPr>
              <w:r w:rsidRPr="00186895">
                <w:rPr>
                  <w:b/>
                  <w:bCs/>
                  <w:color w:val="auto"/>
                </w:rPr>
                <w:t>Contents</w:t>
              </w:r>
            </w:p>
            <w:p w14:paraId="1F94C2E5" w14:textId="0813D309" w:rsidR="00186895" w:rsidRDefault="00186895">
              <w:pPr>
                <w:pStyle w:val="TOC1"/>
                <w:tabs>
                  <w:tab w:val="right" w:leader="dot" w:pos="9016"/>
                </w:tabs>
                <w:rPr>
                  <w:noProof/>
                </w:rPr>
              </w:pPr>
              <w:r>
                <w:fldChar w:fldCharType="begin"/>
              </w:r>
              <w:r>
                <w:instrText xml:space="preserve"> TOC \o "1-3" \h \z \u </w:instrText>
              </w:r>
              <w:r>
                <w:fldChar w:fldCharType="separate"/>
              </w:r>
              <w:hyperlink w:anchor="_Toc41595503" w:history="1">
                <w:r w:rsidRPr="000A7CFC">
                  <w:rPr>
                    <w:rStyle w:val="Hyperlink"/>
                    <w:b/>
                    <w:bCs/>
                    <w:noProof/>
                  </w:rPr>
                  <w:t>Introduction</w:t>
                </w:r>
                <w:r>
                  <w:rPr>
                    <w:noProof/>
                    <w:webHidden/>
                  </w:rPr>
                  <w:tab/>
                </w:r>
                <w:r>
                  <w:rPr>
                    <w:noProof/>
                    <w:webHidden/>
                  </w:rPr>
                  <w:fldChar w:fldCharType="begin"/>
                </w:r>
                <w:r>
                  <w:rPr>
                    <w:noProof/>
                    <w:webHidden/>
                  </w:rPr>
                  <w:instrText xml:space="preserve"> PAGEREF _Toc41595503 \h </w:instrText>
                </w:r>
                <w:r>
                  <w:rPr>
                    <w:noProof/>
                    <w:webHidden/>
                  </w:rPr>
                </w:r>
                <w:r>
                  <w:rPr>
                    <w:noProof/>
                    <w:webHidden/>
                  </w:rPr>
                  <w:fldChar w:fldCharType="separate"/>
                </w:r>
                <w:r w:rsidR="00F87135">
                  <w:rPr>
                    <w:noProof/>
                    <w:webHidden/>
                  </w:rPr>
                  <w:t>2</w:t>
                </w:r>
                <w:r>
                  <w:rPr>
                    <w:noProof/>
                    <w:webHidden/>
                  </w:rPr>
                  <w:fldChar w:fldCharType="end"/>
                </w:r>
              </w:hyperlink>
            </w:p>
            <w:p w14:paraId="29057DC5" w14:textId="3727E65F" w:rsidR="00186895" w:rsidRDefault="001614C8">
              <w:pPr>
                <w:pStyle w:val="TOC1"/>
                <w:tabs>
                  <w:tab w:val="right" w:leader="dot" w:pos="9016"/>
                </w:tabs>
                <w:rPr>
                  <w:noProof/>
                </w:rPr>
              </w:pPr>
              <w:hyperlink w:anchor="_Toc41595504" w:history="1">
                <w:r w:rsidR="00186895" w:rsidRPr="000A7CFC">
                  <w:rPr>
                    <w:rStyle w:val="Hyperlink"/>
                    <w:b/>
                    <w:bCs/>
                    <w:noProof/>
                  </w:rPr>
                  <w:t>Section One: Stimulating Self-Assessment</w:t>
                </w:r>
                <w:r w:rsidR="00186895">
                  <w:rPr>
                    <w:noProof/>
                    <w:webHidden/>
                  </w:rPr>
                  <w:tab/>
                </w:r>
                <w:r w:rsidR="00186895">
                  <w:rPr>
                    <w:noProof/>
                    <w:webHidden/>
                  </w:rPr>
                  <w:fldChar w:fldCharType="begin"/>
                </w:r>
                <w:r w:rsidR="00186895">
                  <w:rPr>
                    <w:noProof/>
                    <w:webHidden/>
                  </w:rPr>
                  <w:instrText xml:space="preserve"> PAGEREF _Toc41595504 \h </w:instrText>
                </w:r>
                <w:r w:rsidR="00186895">
                  <w:rPr>
                    <w:noProof/>
                    <w:webHidden/>
                  </w:rPr>
                </w:r>
                <w:r w:rsidR="00186895">
                  <w:rPr>
                    <w:noProof/>
                    <w:webHidden/>
                  </w:rPr>
                  <w:fldChar w:fldCharType="separate"/>
                </w:r>
                <w:r w:rsidR="00F87135">
                  <w:rPr>
                    <w:noProof/>
                    <w:webHidden/>
                  </w:rPr>
                  <w:t>4</w:t>
                </w:r>
                <w:r w:rsidR="00186895">
                  <w:rPr>
                    <w:noProof/>
                    <w:webHidden/>
                  </w:rPr>
                  <w:fldChar w:fldCharType="end"/>
                </w:r>
              </w:hyperlink>
            </w:p>
            <w:p w14:paraId="52B6B958" w14:textId="609A6207" w:rsidR="00186895" w:rsidRDefault="001614C8">
              <w:pPr>
                <w:pStyle w:val="TOC1"/>
                <w:tabs>
                  <w:tab w:val="right" w:leader="dot" w:pos="9016"/>
                </w:tabs>
                <w:rPr>
                  <w:noProof/>
                </w:rPr>
              </w:pPr>
              <w:hyperlink w:anchor="_Toc41595505" w:history="1">
                <w:r w:rsidR="00186895" w:rsidRPr="000A7CFC">
                  <w:rPr>
                    <w:rStyle w:val="Hyperlink"/>
                    <w:b/>
                    <w:bCs/>
                    <w:noProof/>
                  </w:rPr>
                  <w:t>Section Two: Establishing Greek Identity through the Historical Past</w:t>
                </w:r>
                <w:r w:rsidR="00186895">
                  <w:rPr>
                    <w:noProof/>
                    <w:webHidden/>
                  </w:rPr>
                  <w:tab/>
                </w:r>
                <w:r w:rsidR="00186895">
                  <w:rPr>
                    <w:noProof/>
                    <w:webHidden/>
                  </w:rPr>
                  <w:fldChar w:fldCharType="begin"/>
                </w:r>
                <w:r w:rsidR="00186895">
                  <w:rPr>
                    <w:noProof/>
                    <w:webHidden/>
                  </w:rPr>
                  <w:instrText xml:space="preserve"> PAGEREF _Toc41595505 \h </w:instrText>
                </w:r>
                <w:r w:rsidR="00186895">
                  <w:rPr>
                    <w:noProof/>
                    <w:webHidden/>
                  </w:rPr>
                </w:r>
                <w:r w:rsidR="00186895">
                  <w:rPr>
                    <w:noProof/>
                    <w:webHidden/>
                  </w:rPr>
                  <w:fldChar w:fldCharType="separate"/>
                </w:r>
                <w:r w:rsidR="00F87135">
                  <w:rPr>
                    <w:noProof/>
                    <w:webHidden/>
                  </w:rPr>
                  <w:t>7</w:t>
                </w:r>
                <w:r w:rsidR="00186895">
                  <w:rPr>
                    <w:noProof/>
                    <w:webHidden/>
                  </w:rPr>
                  <w:fldChar w:fldCharType="end"/>
                </w:r>
              </w:hyperlink>
            </w:p>
            <w:p w14:paraId="46F14973" w14:textId="5750A948" w:rsidR="00186895" w:rsidRDefault="001614C8">
              <w:pPr>
                <w:pStyle w:val="TOC1"/>
                <w:tabs>
                  <w:tab w:val="right" w:leader="dot" w:pos="9016"/>
                </w:tabs>
                <w:rPr>
                  <w:noProof/>
                </w:rPr>
              </w:pPr>
              <w:hyperlink w:anchor="_Toc41595506" w:history="1">
                <w:r w:rsidR="00186895" w:rsidRPr="000A7CFC">
                  <w:rPr>
                    <w:rStyle w:val="Hyperlink"/>
                    <w:b/>
                    <w:bCs/>
                    <w:noProof/>
                  </w:rPr>
                  <w:t>Conclusion</w:t>
                </w:r>
                <w:r w:rsidR="00186895">
                  <w:rPr>
                    <w:noProof/>
                    <w:webHidden/>
                  </w:rPr>
                  <w:tab/>
                </w:r>
                <w:r w:rsidR="00186895">
                  <w:rPr>
                    <w:noProof/>
                    <w:webHidden/>
                  </w:rPr>
                  <w:fldChar w:fldCharType="begin"/>
                </w:r>
                <w:r w:rsidR="00186895">
                  <w:rPr>
                    <w:noProof/>
                    <w:webHidden/>
                  </w:rPr>
                  <w:instrText xml:space="preserve"> PAGEREF _Toc41595506 \h </w:instrText>
                </w:r>
                <w:r w:rsidR="00186895">
                  <w:rPr>
                    <w:noProof/>
                    <w:webHidden/>
                  </w:rPr>
                </w:r>
                <w:r w:rsidR="00186895">
                  <w:rPr>
                    <w:noProof/>
                    <w:webHidden/>
                  </w:rPr>
                  <w:fldChar w:fldCharType="separate"/>
                </w:r>
                <w:r w:rsidR="00F87135">
                  <w:rPr>
                    <w:noProof/>
                    <w:webHidden/>
                  </w:rPr>
                  <w:t>11</w:t>
                </w:r>
                <w:r w:rsidR="00186895">
                  <w:rPr>
                    <w:noProof/>
                    <w:webHidden/>
                  </w:rPr>
                  <w:fldChar w:fldCharType="end"/>
                </w:r>
              </w:hyperlink>
            </w:p>
            <w:p w14:paraId="319B8A82" w14:textId="0C88D219" w:rsidR="00186895" w:rsidRDefault="001614C8">
              <w:pPr>
                <w:pStyle w:val="TOC1"/>
                <w:tabs>
                  <w:tab w:val="right" w:leader="dot" w:pos="9016"/>
                </w:tabs>
                <w:rPr>
                  <w:noProof/>
                </w:rPr>
              </w:pPr>
              <w:hyperlink w:anchor="_Toc41595507" w:history="1">
                <w:r w:rsidR="00186895" w:rsidRPr="000A7CFC">
                  <w:rPr>
                    <w:rStyle w:val="Hyperlink"/>
                    <w:b/>
                    <w:bCs/>
                    <w:noProof/>
                  </w:rPr>
                  <w:t>Appendices</w:t>
                </w:r>
                <w:r w:rsidR="00186895">
                  <w:rPr>
                    <w:noProof/>
                    <w:webHidden/>
                  </w:rPr>
                  <w:tab/>
                </w:r>
                <w:r w:rsidR="00186895">
                  <w:rPr>
                    <w:noProof/>
                    <w:webHidden/>
                  </w:rPr>
                  <w:fldChar w:fldCharType="begin"/>
                </w:r>
                <w:r w:rsidR="00186895">
                  <w:rPr>
                    <w:noProof/>
                    <w:webHidden/>
                  </w:rPr>
                  <w:instrText xml:space="preserve"> PAGEREF _Toc41595507 \h </w:instrText>
                </w:r>
                <w:r w:rsidR="00186895">
                  <w:rPr>
                    <w:noProof/>
                    <w:webHidden/>
                  </w:rPr>
                </w:r>
                <w:r w:rsidR="00186895">
                  <w:rPr>
                    <w:noProof/>
                    <w:webHidden/>
                  </w:rPr>
                  <w:fldChar w:fldCharType="separate"/>
                </w:r>
                <w:r w:rsidR="00F87135">
                  <w:rPr>
                    <w:noProof/>
                    <w:webHidden/>
                  </w:rPr>
                  <w:t>12</w:t>
                </w:r>
                <w:r w:rsidR="00186895">
                  <w:rPr>
                    <w:noProof/>
                    <w:webHidden/>
                  </w:rPr>
                  <w:fldChar w:fldCharType="end"/>
                </w:r>
              </w:hyperlink>
            </w:p>
            <w:p w14:paraId="371D6CE0" w14:textId="1552012E" w:rsidR="00186895" w:rsidRDefault="001614C8">
              <w:pPr>
                <w:pStyle w:val="TOC2"/>
                <w:tabs>
                  <w:tab w:val="right" w:leader="dot" w:pos="9016"/>
                </w:tabs>
                <w:rPr>
                  <w:noProof/>
                </w:rPr>
              </w:pPr>
              <w:hyperlink w:anchor="_Toc41595508" w:history="1">
                <w:r w:rsidR="00186895" w:rsidRPr="000A7CFC">
                  <w:rPr>
                    <w:rStyle w:val="Hyperlink"/>
                    <w:b/>
                    <w:bCs/>
                    <w:noProof/>
                  </w:rPr>
                  <w:t>Appendix One</w:t>
                </w:r>
                <w:r w:rsidR="00186895">
                  <w:rPr>
                    <w:noProof/>
                    <w:webHidden/>
                  </w:rPr>
                  <w:tab/>
                </w:r>
                <w:r w:rsidR="00186895">
                  <w:rPr>
                    <w:noProof/>
                    <w:webHidden/>
                  </w:rPr>
                  <w:fldChar w:fldCharType="begin"/>
                </w:r>
                <w:r w:rsidR="00186895">
                  <w:rPr>
                    <w:noProof/>
                    <w:webHidden/>
                  </w:rPr>
                  <w:instrText xml:space="preserve"> PAGEREF _Toc41595508 \h </w:instrText>
                </w:r>
                <w:r w:rsidR="00186895">
                  <w:rPr>
                    <w:noProof/>
                    <w:webHidden/>
                  </w:rPr>
                </w:r>
                <w:r w:rsidR="00186895">
                  <w:rPr>
                    <w:noProof/>
                    <w:webHidden/>
                  </w:rPr>
                  <w:fldChar w:fldCharType="separate"/>
                </w:r>
                <w:r w:rsidR="00F87135">
                  <w:rPr>
                    <w:noProof/>
                    <w:webHidden/>
                  </w:rPr>
                  <w:t>12</w:t>
                </w:r>
                <w:r w:rsidR="00186895">
                  <w:rPr>
                    <w:noProof/>
                    <w:webHidden/>
                  </w:rPr>
                  <w:fldChar w:fldCharType="end"/>
                </w:r>
              </w:hyperlink>
            </w:p>
            <w:p w14:paraId="7EE6AA6F" w14:textId="0A68CB20" w:rsidR="00186895" w:rsidRDefault="001614C8">
              <w:pPr>
                <w:pStyle w:val="TOC2"/>
                <w:tabs>
                  <w:tab w:val="right" w:leader="dot" w:pos="9016"/>
                </w:tabs>
                <w:rPr>
                  <w:noProof/>
                </w:rPr>
              </w:pPr>
              <w:hyperlink w:anchor="_Toc41595509" w:history="1">
                <w:r w:rsidR="00186895" w:rsidRPr="000A7CFC">
                  <w:rPr>
                    <w:rStyle w:val="Hyperlink"/>
                    <w:b/>
                    <w:bCs/>
                    <w:noProof/>
                  </w:rPr>
                  <w:t>Appendix Two</w:t>
                </w:r>
                <w:r w:rsidR="00186895">
                  <w:rPr>
                    <w:noProof/>
                    <w:webHidden/>
                  </w:rPr>
                  <w:tab/>
                </w:r>
                <w:r w:rsidR="00186895">
                  <w:rPr>
                    <w:noProof/>
                    <w:webHidden/>
                  </w:rPr>
                  <w:fldChar w:fldCharType="begin"/>
                </w:r>
                <w:r w:rsidR="00186895">
                  <w:rPr>
                    <w:noProof/>
                    <w:webHidden/>
                  </w:rPr>
                  <w:instrText xml:space="preserve"> PAGEREF _Toc41595509 \h </w:instrText>
                </w:r>
                <w:r w:rsidR="00186895">
                  <w:rPr>
                    <w:noProof/>
                    <w:webHidden/>
                  </w:rPr>
                </w:r>
                <w:r w:rsidR="00186895">
                  <w:rPr>
                    <w:noProof/>
                    <w:webHidden/>
                  </w:rPr>
                  <w:fldChar w:fldCharType="separate"/>
                </w:r>
                <w:r w:rsidR="00F87135">
                  <w:rPr>
                    <w:noProof/>
                    <w:webHidden/>
                  </w:rPr>
                  <w:t>14</w:t>
                </w:r>
                <w:r w:rsidR="00186895">
                  <w:rPr>
                    <w:noProof/>
                    <w:webHidden/>
                  </w:rPr>
                  <w:fldChar w:fldCharType="end"/>
                </w:r>
              </w:hyperlink>
            </w:p>
            <w:p w14:paraId="72255517" w14:textId="4389861F" w:rsidR="00186895" w:rsidRDefault="001614C8">
              <w:pPr>
                <w:pStyle w:val="TOC2"/>
                <w:tabs>
                  <w:tab w:val="right" w:leader="dot" w:pos="9016"/>
                </w:tabs>
                <w:rPr>
                  <w:noProof/>
                </w:rPr>
              </w:pPr>
              <w:hyperlink w:anchor="_Toc41595510" w:history="1">
                <w:r w:rsidR="00186895" w:rsidRPr="000A7CFC">
                  <w:rPr>
                    <w:rStyle w:val="Hyperlink"/>
                    <w:b/>
                    <w:bCs/>
                    <w:noProof/>
                  </w:rPr>
                  <w:t>Appendix Three</w:t>
                </w:r>
                <w:r w:rsidR="00186895">
                  <w:rPr>
                    <w:noProof/>
                    <w:webHidden/>
                  </w:rPr>
                  <w:tab/>
                </w:r>
                <w:r w:rsidR="00186895">
                  <w:rPr>
                    <w:noProof/>
                    <w:webHidden/>
                  </w:rPr>
                  <w:fldChar w:fldCharType="begin"/>
                </w:r>
                <w:r w:rsidR="00186895">
                  <w:rPr>
                    <w:noProof/>
                    <w:webHidden/>
                  </w:rPr>
                  <w:instrText xml:space="preserve"> PAGEREF _Toc41595510 \h </w:instrText>
                </w:r>
                <w:r w:rsidR="00186895">
                  <w:rPr>
                    <w:noProof/>
                    <w:webHidden/>
                  </w:rPr>
                </w:r>
                <w:r w:rsidR="00186895">
                  <w:rPr>
                    <w:noProof/>
                    <w:webHidden/>
                  </w:rPr>
                  <w:fldChar w:fldCharType="separate"/>
                </w:r>
                <w:r w:rsidR="00F87135">
                  <w:rPr>
                    <w:noProof/>
                    <w:webHidden/>
                  </w:rPr>
                  <w:t>15</w:t>
                </w:r>
                <w:r w:rsidR="00186895">
                  <w:rPr>
                    <w:noProof/>
                    <w:webHidden/>
                  </w:rPr>
                  <w:fldChar w:fldCharType="end"/>
                </w:r>
              </w:hyperlink>
            </w:p>
            <w:p w14:paraId="1D3E3B6F" w14:textId="1BFFDA56" w:rsidR="00186895" w:rsidRDefault="001614C8">
              <w:pPr>
                <w:pStyle w:val="TOC2"/>
                <w:tabs>
                  <w:tab w:val="right" w:leader="dot" w:pos="9016"/>
                </w:tabs>
                <w:rPr>
                  <w:noProof/>
                </w:rPr>
              </w:pPr>
              <w:hyperlink w:anchor="_Toc41595511" w:history="1">
                <w:r w:rsidR="00186895" w:rsidRPr="000A7CFC">
                  <w:rPr>
                    <w:rStyle w:val="Hyperlink"/>
                    <w:b/>
                    <w:bCs/>
                    <w:noProof/>
                  </w:rPr>
                  <w:t>Appendix Four</w:t>
                </w:r>
                <w:r w:rsidR="00186895">
                  <w:rPr>
                    <w:noProof/>
                    <w:webHidden/>
                  </w:rPr>
                  <w:tab/>
                </w:r>
                <w:r w:rsidR="00186895">
                  <w:rPr>
                    <w:noProof/>
                    <w:webHidden/>
                  </w:rPr>
                  <w:fldChar w:fldCharType="begin"/>
                </w:r>
                <w:r w:rsidR="00186895">
                  <w:rPr>
                    <w:noProof/>
                    <w:webHidden/>
                  </w:rPr>
                  <w:instrText xml:space="preserve"> PAGEREF _Toc41595511 \h </w:instrText>
                </w:r>
                <w:r w:rsidR="00186895">
                  <w:rPr>
                    <w:noProof/>
                    <w:webHidden/>
                  </w:rPr>
                </w:r>
                <w:r w:rsidR="00186895">
                  <w:rPr>
                    <w:noProof/>
                    <w:webHidden/>
                  </w:rPr>
                  <w:fldChar w:fldCharType="separate"/>
                </w:r>
                <w:r w:rsidR="00F87135">
                  <w:rPr>
                    <w:noProof/>
                    <w:webHidden/>
                  </w:rPr>
                  <w:t>17</w:t>
                </w:r>
                <w:r w:rsidR="00186895">
                  <w:rPr>
                    <w:noProof/>
                    <w:webHidden/>
                  </w:rPr>
                  <w:fldChar w:fldCharType="end"/>
                </w:r>
              </w:hyperlink>
            </w:p>
            <w:p w14:paraId="777AD056" w14:textId="40182289" w:rsidR="00186895" w:rsidRDefault="001614C8">
              <w:pPr>
                <w:pStyle w:val="TOC2"/>
                <w:tabs>
                  <w:tab w:val="right" w:leader="dot" w:pos="9016"/>
                </w:tabs>
                <w:rPr>
                  <w:noProof/>
                </w:rPr>
              </w:pPr>
              <w:hyperlink w:anchor="_Toc41595512" w:history="1">
                <w:r w:rsidR="00186895" w:rsidRPr="000A7CFC">
                  <w:rPr>
                    <w:rStyle w:val="Hyperlink"/>
                    <w:b/>
                    <w:bCs/>
                    <w:noProof/>
                  </w:rPr>
                  <w:t>Appendix Five</w:t>
                </w:r>
                <w:r w:rsidR="00186895">
                  <w:rPr>
                    <w:noProof/>
                    <w:webHidden/>
                  </w:rPr>
                  <w:tab/>
                </w:r>
                <w:r w:rsidR="00186895">
                  <w:rPr>
                    <w:noProof/>
                    <w:webHidden/>
                  </w:rPr>
                  <w:fldChar w:fldCharType="begin"/>
                </w:r>
                <w:r w:rsidR="00186895">
                  <w:rPr>
                    <w:noProof/>
                    <w:webHidden/>
                  </w:rPr>
                  <w:instrText xml:space="preserve"> PAGEREF _Toc41595512 \h </w:instrText>
                </w:r>
                <w:r w:rsidR="00186895">
                  <w:rPr>
                    <w:noProof/>
                    <w:webHidden/>
                  </w:rPr>
                </w:r>
                <w:r w:rsidR="00186895">
                  <w:rPr>
                    <w:noProof/>
                    <w:webHidden/>
                  </w:rPr>
                  <w:fldChar w:fldCharType="separate"/>
                </w:r>
                <w:r w:rsidR="00F87135">
                  <w:rPr>
                    <w:noProof/>
                    <w:webHidden/>
                  </w:rPr>
                  <w:t>19</w:t>
                </w:r>
                <w:r w:rsidR="00186895">
                  <w:rPr>
                    <w:noProof/>
                    <w:webHidden/>
                  </w:rPr>
                  <w:fldChar w:fldCharType="end"/>
                </w:r>
              </w:hyperlink>
            </w:p>
            <w:p w14:paraId="3D976A3B" w14:textId="6B9CDB54" w:rsidR="00186895" w:rsidRDefault="001614C8">
              <w:pPr>
                <w:pStyle w:val="TOC1"/>
                <w:tabs>
                  <w:tab w:val="right" w:leader="dot" w:pos="9016"/>
                </w:tabs>
                <w:rPr>
                  <w:noProof/>
                </w:rPr>
              </w:pPr>
              <w:hyperlink w:anchor="_Toc41595513" w:history="1">
                <w:r w:rsidR="00186895" w:rsidRPr="000A7CFC">
                  <w:rPr>
                    <w:rStyle w:val="Hyperlink"/>
                    <w:b/>
                    <w:bCs/>
                    <w:noProof/>
                  </w:rPr>
                  <w:t>Reference List</w:t>
                </w:r>
                <w:r w:rsidR="00186895">
                  <w:rPr>
                    <w:noProof/>
                    <w:webHidden/>
                  </w:rPr>
                  <w:tab/>
                </w:r>
                <w:r w:rsidR="00186895">
                  <w:rPr>
                    <w:noProof/>
                    <w:webHidden/>
                  </w:rPr>
                  <w:fldChar w:fldCharType="begin"/>
                </w:r>
                <w:r w:rsidR="00186895">
                  <w:rPr>
                    <w:noProof/>
                    <w:webHidden/>
                  </w:rPr>
                  <w:instrText xml:space="preserve"> PAGEREF _Toc41595513 \h </w:instrText>
                </w:r>
                <w:r w:rsidR="00186895">
                  <w:rPr>
                    <w:noProof/>
                    <w:webHidden/>
                  </w:rPr>
                </w:r>
                <w:r w:rsidR="00186895">
                  <w:rPr>
                    <w:noProof/>
                    <w:webHidden/>
                  </w:rPr>
                  <w:fldChar w:fldCharType="separate"/>
                </w:r>
                <w:r w:rsidR="00F87135">
                  <w:rPr>
                    <w:noProof/>
                    <w:webHidden/>
                  </w:rPr>
                  <w:t>21</w:t>
                </w:r>
                <w:r w:rsidR="00186895">
                  <w:rPr>
                    <w:noProof/>
                    <w:webHidden/>
                  </w:rPr>
                  <w:fldChar w:fldCharType="end"/>
                </w:r>
              </w:hyperlink>
            </w:p>
            <w:p w14:paraId="3155EB74" w14:textId="1A32D5AB" w:rsidR="00186895" w:rsidRDefault="00186895">
              <w:r>
                <w:rPr>
                  <w:b/>
                  <w:bCs/>
                  <w:noProof/>
                </w:rPr>
                <w:fldChar w:fldCharType="end"/>
              </w:r>
            </w:p>
          </w:sdtContent>
        </w:sdt>
        <w:p w14:paraId="1C323BFF" w14:textId="77777777" w:rsidR="00266C8C" w:rsidRDefault="00266C8C"/>
        <w:p w14:paraId="4900C292" w14:textId="77777777" w:rsidR="00266C8C" w:rsidRDefault="00266C8C"/>
        <w:p w14:paraId="3BF87BE5" w14:textId="77777777" w:rsidR="00266C8C" w:rsidRDefault="00266C8C"/>
        <w:p w14:paraId="4996F549" w14:textId="77777777" w:rsidR="00266C8C" w:rsidRDefault="00266C8C"/>
        <w:p w14:paraId="7FA3DFC8" w14:textId="77777777" w:rsidR="00266C8C" w:rsidRDefault="00266C8C"/>
        <w:p w14:paraId="6D434B8C" w14:textId="77777777" w:rsidR="00266C8C" w:rsidRDefault="00266C8C"/>
        <w:p w14:paraId="6E06B32E" w14:textId="77777777" w:rsidR="00266C8C" w:rsidRDefault="00266C8C"/>
        <w:p w14:paraId="47ED5EDB" w14:textId="77777777" w:rsidR="00266C8C" w:rsidRDefault="00266C8C"/>
        <w:p w14:paraId="1B2AAF9E" w14:textId="77777777" w:rsidR="00266C8C" w:rsidRDefault="00266C8C"/>
        <w:p w14:paraId="497AC618" w14:textId="77777777" w:rsidR="00266C8C" w:rsidRDefault="00266C8C"/>
        <w:p w14:paraId="71531757" w14:textId="77777777" w:rsidR="00266C8C" w:rsidRDefault="00266C8C"/>
        <w:p w14:paraId="4CD5E372" w14:textId="77777777" w:rsidR="00266C8C" w:rsidRDefault="00266C8C"/>
        <w:p w14:paraId="7F9D814A" w14:textId="77777777" w:rsidR="00266C8C" w:rsidRDefault="00266C8C"/>
        <w:p w14:paraId="41F64CBC" w14:textId="77777777" w:rsidR="00266C8C" w:rsidRDefault="00266C8C"/>
        <w:p w14:paraId="637214DC" w14:textId="77777777" w:rsidR="00266C8C" w:rsidRDefault="00266C8C"/>
        <w:p w14:paraId="05215DDD" w14:textId="77777777" w:rsidR="00266C8C" w:rsidRDefault="00266C8C"/>
        <w:p w14:paraId="541497FC" w14:textId="77777777" w:rsidR="00266C8C" w:rsidRDefault="00266C8C"/>
        <w:p w14:paraId="7B8EF955" w14:textId="0420376B" w:rsidR="00B86C4D" w:rsidRPr="00B86C4D" w:rsidRDefault="001614C8" w:rsidP="00B86C4D"/>
      </w:sdtContent>
    </w:sdt>
    <w:p w14:paraId="66B11174" w14:textId="4D9B266A" w:rsidR="002A6A2A" w:rsidRPr="002A6A2A" w:rsidRDefault="00266C8C" w:rsidP="002A6A2A">
      <w:pPr>
        <w:pStyle w:val="Heading1"/>
        <w:rPr>
          <w:b/>
          <w:bCs/>
          <w:color w:val="auto"/>
        </w:rPr>
      </w:pPr>
      <w:bookmarkStart w:id="0" w:name="_Toc41595503"/>
      <w:r w:rsidRPr="00266C8C">
        <w:rPr>
          <w:b/>
          <w:bCs/>
          <w:color w:val="auto"/>
        </w:rPr>
        <w:lastRenderedPageBreak/>
        <w:t>Introduction</w:t>
      </w:r>
      <w:bookmarkEnd w:id="0"/>
    </w:p>
    <w:p w14:paraId="25EF79A7" w14:textId="054A5F29" w:rsidR="00266C8C" w:rsidRDefault="00266C8C" w:rsidP="00266C8C">
      <w:pPr>
        <w:jc w:val="both"/>
        <w:rPr>
          <w:sz w:val="24"/>
          <w:szCs w:val="24"/>
        </w:rPr>
      </w:pPr>
      <w:r>
        <w:rPr>
          <w:sz w:val="24"/>
          <w:szCs w:val="24"/>
        </w:rPr>
        <w:t>While Herodotus is more commonly known as the Father of History, he can also with good reason “be called ‘The Father of Ethnography’” (</w:t>
      </w:r>
      <w:proofErr w:type="spellStart"/>
      <w:r>
        <w:rPr>
          <w:sz w:val="24"/>
          <w:szCs w:val="24"/>
        </w:rPr>
        <w:t>Bichler</w:t>
      </w:r>
      <w:proofErr w:type="spellEnd"/>
      <w:r>
        <w:rPr>
          <w:sz w:val="24"/>
          <w:szCs w:val="24"/>
        </w:rPr>
        <w:t xml:space="preserve">, 2018: 83), even though interest in ethnographical subjects was not new in his time period. It would seem that Greek interest in ethnographic subjects was linked to geographical speculation, and the reason for how these two areas of study are linked is because on a “basic level they are part of a mapping process by which any culture defines the physical world in which it finds itself” (Lloyd, 2002: 415). However, on a psychological level by being able to define other societies or cultures, it was then easier to self-define ones’ own society or culture adjacent to those societies or cultures under observation because defining the differences between these entities makes it possible to define the characteristics of ones’ own society or culture. </w:t>
      </w:r>
    </w:p>
    <w:p w14:paraId="6F1AC0C0" w14:textId="77777777" w:rsidR="00266C8C" w:rsidRDefault="00266C8C" w:rsidP="00266C8C">
      <w:pPr>
        <w:jc w:val="both"/>
        <w:rPr>
          <w:sz w:val="24"/>
          <w:szCs w:val="24"/>
        </w:rPr>
      </w:pPr>
      <w:r>
        <w:rPr>
          <w:sz w:val="24"/>
          <w:szCs w:val="24"/>
        </w:rPr>
        <w:t xml:space="preserve">Herodotus’ writings compiled within the </w:t>
      </w:r>
      <w:r>
        <w:rPr>
          <w:i/>
          <w:iCs/>
          <w:sz w:val="24"/>
          <w:szCs w:val="24"/>
        </w:rPr>
        <w:t>Histories</w:t>
      </w:r>
      <w:r>
        <w:rPr>
          <w:sz w:val="24"/>
          <w:szCs w:val="24"/>
        </w:rPr>
        <w:t xml:space="preserve"> explore the events of the Persian War and it is natural for discussion of Egypt to appear within this dialogue, as “the incorporation of Egypt into the Persian empire made it one of the many major military and economic forces ranged against the Greeks” (Lloyd, 2002: 417) and the fact that such a profound and long-standing nation could be conquered by the Persians “said much for the capacities of the Empire” (Lloyd, 2002: 417). Furthermore, the analysis of Egyptian civilisation would aid in the characterisation of the ‘barbarian’ or non-Greek, which would have been what the Greeks would have associated the Persians as, and this would have been compounded by the fact that as Egypt would have been part of the empire it would have become another region from which the Persian forces could have moved through during the conflict. </w:t>
      </w:r>
    </w:p>
    <w:p w14:paraId="706171B8" w14:textId="3AA2C440" w:rsidR="00266C8C" w:rsidRDefault="00266C8C" w:rsidP="00266C8C">
      <w:pPr>
        <w:jc w:val="both"/>
        <w:rPr>
          <w:sz w:val="24"/>
          <w:szCs w:val="24"/>
        </w:rPr>
      </w:pPr>
      <w:r>
        <w:rPr>
          <w:sz w:val="24"/>
          <w:szCs w:val="24"/>
        </w:rPr>
        <w:t xml:space="preserve">Although, the points mentioned are valid for the argument as to why a section on Egypt was included within the histories, it has to “be conceded that Herodotus indulged himself mightily in his Egyptian excursus and produced a discussion which is seriously out of scale” (Lloyd, 2002: 418). This opinion of Herodotus’ writings on Egypt has led to the argument that the section was once a completely different piece separate from the </w:t>
      </w:r>
      <w:r>
        <w:rPr>
          <w:i/>
          <w:iCs/>
          <w:sz w:val="24"/>
          <w:szCs w:val="24"/>
        </w:rPr>
        <w:t>Histories</w:t>
      </w:r>
      <w:r>
        <w:rPr>
          <w:sz w:val="24"/>
          <w:szCs w:val="24"/>
        </w:rPr>
        <w:t xml:space="preserve">, and although the tone of the piece is more ethnographical than that of the accounts on the Persian </w:t>
      </w:r>
      <w:r w:rsidR="006058A2">
        <w:rPr>
          <w:sz w:val="24"/>
          <w:szCs w:val="24"/>
        </w:rPr>
        <w:t>W</w:t>
      </w:r>
      <w:r>
        <w:rPr>
          <w:sz w:val="24"/>
          <w:szCs w:val="24"/>
        </w:rPr>
        <w:t xml:space="preserve">ars, once the relevance of the discussion became clear it was “subsequently imported into” what would become known as the </w:t>
      </w:r>
      <w:r>
        <w:rPr>
          <w:i/>
          <w:iCs/>
          <w:sz w:val="24"/>
          <w:szCs w:val="24"/>
        </w:rPr>
        <w:t>Histories.</w:t>
      </w:r>
      <w:r>
        <w:rPr>
          <w:sz w:val="24"/>
          <w:szCs w:val="24"/>
        </w:rPr>
        <w:t xml:space="preserve"> However, this may not even have been the case, it could have been that once Herodotus had started in on the subject of Egypt that the discussion grew organically, and he subsequently felt no inclination to edit it down.</w:t>
      </w:r>
    </w:p>
    <w:p w14:paraId="6554964E" w14:textId="597F784C" w:rsidR="00266C8C" w:rsidRDefault="00266C8C" w:rsidP="00266C8C">
      <w:pPr>
        <w:jc w:val="both"/>
        <w:rPr>
          <w:sz w:val="24"/>
          <w:szCs w:val="24"/>
        </w:rPr>
      </w:pPr>
      <w:r>
        <w:rPr>
          <w:sz w:val="24"/>
          <w:szCs w:val="24"/>
        </w:rPr>
        <w:t xml:space="preserve">It is because of the great length that Herodotus writes of Egypt within book </w:t>
      </w:r>
      <w:r w:rsidR="006058A2">
        <w:rPr>
          <w:sz w:val="24"/>
          <w:szCs w:val="24"/>
        </w:rPr>
        <w:t>two</w:t>
      </w:r>
      <w:r>
        <w:rPr>
          <w:sz w:val="24"/>
          <w:szCs w:val="24"/>
        </w:rPr>
        <w:t xml:space="preserve"> of the </w:t>
      </w:r>
      <w:r>
        <w:rPr>
          <w:i/>
          <w:iCs/>
          <w:sz w:val="24"/>
          <w:szCs w:val="24"/>
        </w:rPr>
        <w:t>Histories</w:t>
      </w:r>
      <w:r w:rsidR="00746943">
        <w:rPr>
          <w:i/>
          <w:iCs/>
          <w:sz w:val="24"/>
          <w:szCs w:val="24"/>
        </w:rPr>
        <w:t>,</w:t>
      </w:r>
      <w:r>
        <w:rPr>
          <w:sz w:val="24"/>
          <w:szCs w:val="24"/>
        </w:rPr>
        <w:t xml:space="preserve"> and the ethnographic information therein</w:t>
      </w:r>
      <w:r w:rsidR="00746943">
        <w:rPr>
          <w:sz w:val="24"/>
          <w:szCs w:val="24"/>
        </w:rPr>
        <w:t>,</w:t>
      </w:r>
      <w:r>
        <w:rPr>
          <w:sz w:val="24"/>
          <w:szCs w:val="24"/>
        </w:rPr>
        <w:t xml:space="preserve"> that we must consider how the information presented by Herodotus on Egypt could be used to stimulate self-reflection, among Grecians that would have read Herodotus’ work, of their own societal practices and how they view the world outside their society. Furthermore, the information presented could have also been used to create a basis for Greek identity that would lie completely within the historical past, instead of the mythological past that the Greeks would have been more familiar with, unlike the Egyptians who were more knowledgeable about their historical past, beyond the mythological one that they were still tied to but acknowledged that it was far more removed from them in time than the Greeks did.</w:t>
      </w:r>
    </w:p>
    <w:p w14:paraId="79170EEA" w14:textId="3C7F427B" w:rsidR="00266C8C" w:rsidRDefault="00266C8C" w:rsidP="00266C8C">
      <w:pPr>
        <w:jc w:val="both"/>
        <w:rPr>
          <w:sz w:val="24"/>
          <w:szCs w:val="24"/>
        </w:rPr>
      </w:pPr>
      <w:r>
        <w:rPr>
          <w:sz w:val="24"/>
          <w:szCs w:val="24"/>
        </w:rPr>
        <w:lastRenderedPageBreak/>
        <w:t xml:space="preserve">In order to do this we will split the following analysis in two. One section will deal with the abstracts from Herodotus that deal with cultural observations, for example funerary practices. The other section will deal with the abstracts that detail out historical timings that correlate to certain Greek beliefs about the beginnings of their culture and society. What is hoped to be gained by these separate analysis is a perspective into why Herodotus felt the need to write so much on the ethnography of Egypt and the different perspective of time, and how his writings would have affected the world view of those reading or hearing about the </w:t>
      </w:r>
      <w:r>
        <w:rPr>
          <w:i/>
          <w:iCs/>
          <w:sz w:val="24"/>
          <w:szCs w:val="24"/>
        </w:rPr>
        <w:t>Histories.</w:t>
      </w:r>
      <w:r>
        <w:rPr>
          <w:sz w:val="24"/>
          <w:szCs w:val="24"/>
        </w:rPr>
        <w:t xml:space="preserve"> </w:t>
      </w:r>
    </w:p>
    <w:p w14:paraId="634AF1BD" w14:textId="4D28CEEE" w:rsidR="00B86C4D" w:rsidRDefault="00B86C4D" w:rsidP="00266C8C">
      <w:pPr>
        <w:jc w:val="both"/>
        <w:rPr>
          <w:sz w:val="24"/>
          <w:szCs w:val="24"/>
        </w:rPr>
      </w:pPr>
    </w:p>
    <w:p w14:paraId="31975030" w14:textId="14EBFF1B" w:rsidR="00B86C4D" w:rsidRDefault="00B86C4D" w:rsidP="00266C8C">
      <w:pPr>
        <w:jc w:val="both"/>
        <w:rPr>
          <w:sz w:val="24"/>
          <w:szCs w:val="24"/>
        </w:rPr>
      </w:pPr>
    </w:p>
    <w:p w14:paraId="3CA67518" w14:textId="58E6DBBB" w:rsidR="00B86C4D" w:rsidRDefault="00B86C4D" w:rsidP="00266C8C">
      <w:pPr>
        <w:jc w:val="both"/>
        <w:rPr>
          <w:sz w:val="24"/>
          <w:szCs w:val="24"/>
        </w:rPr>
      </w:pPr>
    </w:p>
    <w:p w14:paraId="2B886FC0" w14:textId="2C33D1EC" w:rsidR="00B86C4D" w:rsidRDefault="00B86C4D" w:rsidP="00266C8C">
      <w:pPr>
        <w:jc w:val="both"/>
        <w:rPr>
          <w:sz w:val="24"/>
          <w:szCs w:val="24"/>
        </w:rPr>
      </w:pPr>
    </w:p>
    <w:p w14:paraId="5B0914E9" w14:textId="0674281B" w:rsidR="00B86C4D" w:rsidRDefault="00B86C4D" w:rsidP="00266C8C">
      <w:pPr>
        <w:jc w:val="both"/>
        <w:rPr>
          <w:sz w:val="24"/>
          <w:szCs w:val="24"/>
        </w:rPr>
      </w:pPr>
    </w:p>
    <w:p w14:paraId="31335825" w14:textId="19C95019" w:rsidR="00B86C4D" w:rsidRDefault="00B86C4D" w:rsidP="00266C8C">
      <w:pPr>
        <w:jc w:val="both"/>
        <w:rPr>
          <w:sz w:val="24"/>
          <w:szCs w:val="24"/>
        </w:rPr>
      </w:pPr>
    </w:p>
    <w:p w14:paraId="5B127B97" w14:textId="6F1C25A5" w:rsidR="00B86C4D" w:rsidRDefault="00B86C4D" w:rsidP="00266C8C">
      <w:pPr>
        <w:jc w:val="both"/>
        <w:rPr>
          <w:sz w:val="24"/>
          <w:szCs w:val="24"/>
        </w:rPr>
      </w:pPr>
    </w:p>
    <w:p w14:paraId="25DD2A52" w14:textId="30AD5D89" w:rsidR="00B86C4D" w:rsidRDefault="00B86C4D" w:rsidP="00266C8C">
      <w:pPr>
        <w:jc w:val="both"/>
        <w:rPr>
          <w:sz w:val="24"/>
          <w:szCs w:val="24"/>
        </w:rPr>
      </w:pPr>
    </w:p>
    <w:p w14:paraId="05EA3122" w14:textId="046B8919" w:rsidR="00B86C4D" w:rsidRDefault="00B86C4D" w:rsidP="00266C8C">
      <w:pPr>
        <w:jc w:val="both"/>
        <w:rPr>
          <w:sz w:val="24"/>
          <w:szCs w:val="24"/>
        </w:rPr>
      </w:pPr>
    </w:p>
    <w:p w14:paraId="2C7729D9" w14:textId="728D3249" w:rsidR="00B86C4D" w:rsidRDefault="00B86C4D" w:rsidP="00266C8C">
      <w:pPr>
        <w:jc w:val="both"/>
        <w:rPr>
          <w:sz w:val="24"/>
          <w:szCs w:val="24"/>
        </w:rPr>
      </w:pPr>
    </w:p>
    <w:p w14:paraId="2DCF0D29" w14:textId="7B38B46F" w:rsidR="00B86C4D" w:rsidRDefault="00B86C4D" w:rsidP="00266C8C">
      <w:pPr>
        <w:jc w:val="both"/>
        <w:rPr>
          <w:sz w:val="24"/>
          <w:szCs w:val="24"/>
        </w:rPr>
      </w:pPr>
    </w:p>
    <w:p w14:paraId="496EFEA9" w14:textId="422C6872" w:rsidR="00B86C4D" w:rsidRDefault="00B86C4D" w:rsidP="00266C8C">
      <w:pPr>
        <w:jc w:val="both"/>
        <w:rPr>
          <w:sz w:val="24"/>
          <w:szCs w:val="24"/>
        </w:rPr>
      </w:pPr>
    </w:p>
    <w:p w14:paraId="3CAFA918" w14:textId="39F6C2BA" w:rsidR="00B86C4D" w:rsidRDefault="00B86C4D" w:rsidP="00266C8C">
      <w:pPr>
        <w:jc w:val="both"/>
        <w:rPr>
          <w:sz w:val="24"/>
          <w:szCs w:val="24"/>
        </w:rPr>
      </w:pPr>
    </w:p>
    <w:p w14:paraId="4A993E93" w14:textId="7402618B" w:rsidR="00B86C4D" w:rsidRDefault="00B86C4D" w:rsidP="00266C8C">
      <w:pPr>
        <w:jc w:val="both"/>
        <w:rPr>
          <w:sz w:val="24"/>
          <w:szCs w:val="24"/>
        </w:rPr>
      </w:pPr>
    </w:p>
    <w:p w14:paraId="1A651107" w14:textId="324AF304" w:rsidR="00B86C4D" w:rsidRDefault="00B86C4D" w:rsidP="00266C8C">
      <w:pPr>
        <w:jc w:val="both"/>
        <w:rPr>
          <w:sz w:val="24"/>
          <w:szCs w:val="24"/>
        </w:rPr>
      </w:pPr>
    </w:p>
    <w:p w14:paraId="0059A025" w14:textId="09616E0E" w:rsidR="00B86C4D" w:rsidRDefault="00B86C4D" w:rsidP="00266C8C">
      <w:pPr>
        <w:jc w:val="both"/>
        <w:rPr>
          <w:sz w:val="24"/>
          <w:szCs w:val="24"/>
        </w:rPr>
      </w:pPr>
    </w:p>
    <w:p w14:paraId="79C7D4EB" w14:textId="02402EAE" w:rsidR="00B86C4D" w:rsidRDefault="00B86C4D" w:rsidP="00266C8C">
      <w:pPr>
        <w:jc w:val="both"/>
        <w:rPr>
          <w:sz w:val="24"/>
          <w:szCs w:val="24"/>
        </w:rPr>
      </w:pPr>
    </w:p>
    <w:p w14:paraId="734B8261" w14:textId="32D5B3C9" w:rsidR="00B86C4D" w:rsidRDefault="00B86C4D" w:rsidP="00266C8C">
      <w:pPr>
        <w:jc w:val="both"/>
        <w:rPr>
          <w:sz w:val="24"/>
          <w:szCs w:val="24"/>
        </w:rPr>
      </w:pPr>
    </w:p>
    <w:p w14:paraId="4B5EE9D4" w14:textId="133D529E" w:rsidR="00B86C4D" w:rsidRDefault="00B86C4D" w:rsidP="00266C8C">
      <w:pPr>
        <w:jc w:val="both"/>
        <w:rPr>
          <w:sz w:val="24"/>
          <w:szCs w:val="24"/>
        </w:rPr>
      </w:pPr>
    </w:p>
    <w:p w14:paraId="329740C1" w14:textId="6F9BFF48" w:rsidR="00B86C4D" w:rsidRDefault="00B86C4D" w:rsidP="00266C8C">
      <w:pPr>
        <w:jc w:val="both"/>
        <w:rPr>
          <w:sz w:val="24"/>
          <w:szCs w:val="24"/>
        </w:rPr>
      </w:pPr>
    </w:p>
    <w:p w14:paraId="4E9D5ED2" w14:textId="064B8D43" w:rsidR="00B86C4D" w:rsidRDefault="00B86C4D" w:rsidP="00266C8C">
      <w:pPr>
        <w:jc w:val="both"/>
        <w:rPr>
          <w:sz w:val="24"/>
          <w:szCs w:val="24"/>
        </w:rPr>
      </w:pPr>
    </w:p>
    <w:p w14:paraId="33BB9F8C" w14:textId="3FE48F28" w:rsidR="00B86C4D" w:rsidRDefault="00B86C4D" w:rsidP="00266C8C">
      <w:pPr>
        <w:jc w:val="both"/>
        <w:rPr>
          <w:sz w:val="24"/>
          <w:szCs w:val="24"/>
        </w:rPr>
      </w:pPr>
    </w:p>
    <w:p w14:paraId="6E8F7FE0" w14:textId="122997CF" w:rsidR="002A6A2A" w:rsidRPr="002A6A2A" w:rsidRDefault="002A6A2A" w:rsidP="002A6A2A">
      <w:pPr>
        <w:pStyle w:val="Heading1"/>
        <w:rPr>
          <w:b/>
          <w:bCs/>
          <w:color w:val="auto"/>
        </w:rPr>
      </w:pPr>
      <w:bookmarkStart w:id="1" w:name="_Toc41595504"/>
      <w:r w:rsidRPr="002A6A2A">
        <w:rPr>
          <w:b/>
          <w:bCs/>
          <w:color w:val="auto"/>
        </w:rPr>
        <w:lastRenderedPageBreak/>
        <w:t>Section One: Stimulating Self-Assessment</w:t>
      </w:r>
      <w:bookmarkEnd w:id="1"/>
    </w:p>
    <w:p w14:paraId="053B9657" w14:textId="530B624A" w:rsidR="002A6A2A" w:rsidRDefault="002A6A2A" w:rsidP="002A6A2A">
      <w:pPr>
        <w:jc w:val="both"/>
        <w:rPr>
          <w:sz w:val="24"/>
          <w:szCs w:val="24"/>
        </w:rPr>
      </w:pPr>
      <w:r>
        <w:rPr>
          <w:sz w:val="24"/>
          <w:szCs w:val="24"/>
        </w:rPr>
        <w:t xml:space="preserve">Within this section we will be analysing pieces of the </w:t>
      </w:r>
      <w:r w:rsidRPr="00131144">
        <w:rPr>
          <w:i/>
          <w:iCs/>
          <w:sz w:val="24"/>
          <w:szCs w:val="24"/>
        </w:rPr>
        <w:t>Histories</w:t>
      </w:r>
      <w:r>
        <w:rPr>
          <w:sz w:val="24"/>
          <w:szCs w:val="24"/>
        </w:rPr>
        <w:t xml:space="preserve"> that detail out different cultural aspects of the Egyptian civilisation in order to establish that the purpose of this exploration into Egyptian culture by Herodotus was a way in which he tried to stimulate self-assessment into Greek culture and society. As we know from the introduction this was the purpose of ethnographical study of other civilisations, a way in which the ancient Greeks could place themselves and the</w:t>
      </w:r>
      <w:r w:rsidR="00601F4F">
        <w:rPr>
          <w:sz w:val="24"/>
          <w:szCs w:val="24"/>
        </w:rPr>
        <w:t>ir</w:t>
      </w:r>
      <w:r>
        <w:rPr>
          <w:sz w:val="24"/>
          <w:szCs w:val="24"/>
        </w:rPr>
        <w:t xml:space="preserve"> culture within the wider world.</w:t>
      </w:r>
    </w:p>
    <w:p w14:paraId="5A0330E4" w14:textId="77777777" w:rsidR="002A6A2A" w:rsidRDefault="002A6A2A" w:rsidP="002A6A2A">
      <w:pPr>
        <w:jc w:val="both"/>
        <w:rPr>
          <w:sz w:val="24"/>
          <w:szCs w:val="24"/>
        </w:rPr>
      </w:pPr>
      <w:r>
        <w:rPr>
          <w:sz w:val="24"/>
          <w:szCs w:val="24"/>
        </w:rPr>
        <w:t xml:space="preserve">One such explanation of Egyptian culture centres on how the Egyptians dealt with their dead. For the purposes of this analysis only certain abstracts of this part of Herodotus’ work will be used, however the complete abstract of this portion of book two within the </w:t>
      </w:r>
      <w:r>
        <w:rPr>
          <w:i/>
          <w:iCs/>
          <w:sz w:val="24"/>
          <w:szCs w:val="24"/>
        </w:rPr>
        <w:t xml:space="preserve">Histories </w:t>
      </w:r>
      <w:r>
        <w:rPr>
          <w:sz w:val="24"/>
          <w:szCs w:val="24"/>
        </w:rPr>
        <w:t>can be found in appendix one. Herodotus speaks to great length on practice of mummification, which in itself is a lengthy process, and the differences that afforded to those of varying wealth. This can be observed in the abstract presented below.</w:t>
      </w:r>
    </w:p>
    <w:p w14:paraId="477777E4" w14:textId="77777777" w:rsidR="002A6A2A" w:rsidRDefault="002A6A2A" w:rsidP="002A6A2A">
      <w:pPr>
        <w:jc w:val="center"/>
        <w:rPr>
          <w:sz w:val="24"/>
          <w:szCs w:val="24"/>
        </w:rPr>
      </w:pPr>
      <w:r w:rsidRPr="0040544A">
        <w:rPr>
          <w:i/>
          <w:iCs/>
          <w:sz w:val="24"/>
          <w:szCs w:val="24"/>
        </w:rPr>
        <w:t>“They take the dead body to be embalmed. 86. There are men whose whole business this is and who have this special craft. These, when a dead body is brought to them, show the bringers wooden models of corpses, painted in exact imitation; the most perfect manner of embalming belongs, they say, to One whose name it were profane for me to speak in treating of such matters; the second way, which they show, is less perfect than the first, and cheaper, and the third is the least costly of all. Having shown these, they ask the bringers of the body in which fashion they desire to have it prepared. The bearers, having agreed in a price, go their ways, and the workmen, left behind in their place, embalm the body.”</w:t>
      </w:r>
      <w:r>
        <w:rPr>
          <w:sz w:val="24"/>
          <w:szCs w:val="24"/>
        </w:rPr>
        <w:t xml:space="preserve"> Htd.2.85-6. (trans. Godley, 1920: 369, 371)</w:t>
      </w:r>
    </w:p>
    <w:p w14:paraId="4D3F303B" w14:textId="2857628B" w:rsidR="002A6A2A" w:rsidRDefault="002A6A2A" w:rsidP="002A6A2A">
      <w:pPr>
        <w:jc w:val="both"/>
        <w:rPr>
          <w:sz w:val="24"/>
          <w:szCs w:val="24"/>
        </w:rPr>
      </w:pPr>
      <w:r>
        <w:rPr>
          <w:sz w:val="24"/>
          <w:szCs w:val="24"/>
        </w:rPr>
        <w:t>As stated above, what this abstract from Herodotus details out is the differences in which a body could be preserved according to the wealth of the those facilitating the process of mummification. The reason for the need for differences of mummification based on wealth, is because of the fact that mummification was the most important aspect of the funerary process to the ancient Egyptians and need</w:t>
      </w:r>
      <w:r w:rsidR="00EE4167">
        <w:rPr>
          <w:sz w:val="24"/>
          <w:szCs w:val="24"/>
        </w:rPr>
        <w:t>ed</w:t>
      </w:r>
      <w:r>
        <w:rPr>
          <w:sz w:val="24"/>
          <w:szCs w:val="24"/>
        </w:rPr>
        <w:t xml:space="preserve"> to be accessible to those of varying wealth. The importance of mummification to the ancient Egyptians is based in their belief that the ka or spirit of the deceased must be able to recognise itself as part of the process in which they were to enter into the afterlife, and if they were unable to do so the spirit of the deceased would be lost forever. This is why mummification was developed as a way in which to preserve the body of the deceased. How this particular information would have stimulated self-assessment from a Greek audience is because they too wanted to be able to preserve the integrity of the image of the deceased. However, the Greek’s achieved this not by way of mummification, but by cremation. Cremation was chosen as the manner of preservation by the Greeks because of the fact that to them the “funerary process re-presented society as pure and unblemished, in a perpetual youthful bloom through the preservation of the beautiful corpse, and its subsequent reduction to a permanent state via cremation” (Bloch, 1982: 228, 229; Morris, 2008: 47). This display of a different method in which to preserve someone who is deceased, could have possibly prompted an evaluation of Greek practices, and the reasons behind it. </w:t>
      </w:r>
    </w:p>
    <w:p w14:paraId="0C2A2F70" w14:textId="421F896D" w:rsidR="002A6A2A" w:rsidRDefault="002A6A2A" w:rsidP="002A6A2A">
      <w:pPr>
        <w:jc w:val="both"/>
        <w:rPr>
          <w:sz w:val="24"/>
          <w:szCs w:val="24"/>
        </w:rPr>
      </w:pPr>
      <w:r>
        <w:rPr>
          <w:sz w:val="24"/>
          <w:szCs w:val="24"/>
        </w:rPr>
        <w:lastRenderedPageBreak/>
        <w:t xml:space="preserve">Furthermore, the practices in which to display wealth or status would have also be one for consideration, if we just go by the example of the option of a perfect embalming alluded to above and explained further by Herodotus in appendix one, then the Greek version of this part of the preservation process, that being the pyre. The pyre of Hector would have been an example of how status could be displayed through the construction of differing pyres because of the fact that we are told that “it took nine days to collect the wood” (Morris, 2008: 46), whereas “a single day sufficed to gather the corpses of the masses slaughtered in </w:t>
      </w:r>
      <w:r>
        <w:rPr>
          <w:i/>
          <w:iCs/>
          <w:sz w:val="24"/>
          <w:szCs w:val="24"/>
        </w:rPr>
        <w:t>Iliad</w:t>
      </w:r>
      <w:r>
        <w:rPr>
          <w:sz w:val="24"/>
          <w:szCs w:val="24"/>
        </w:rPr>
        <w:t xml:space="preserve"> books 2-7, to collect the fuel, and to complete the cremation (Iliad 7.417-32)” (Morris, 2008: 46). Again, this could have prompted an assessment by the Greeks into the funerary customs that they practiced, perhaps stimulating a deeper analysis into the reasons for these practices and if they </w:t>
      </w:r>
      <w:r w:rsidR="00331A4B">
        <w:rPr>
          <w:sz w:val="24"/>
          <w:szCs w:val="24"/>
        </w:rPr>
        <w:t>were</w:t>
      </w:r>
      <w:r>
        <w:rPr>
          <w:sz w:val="24"/>
          <w:szCs w:val="24"/>
        </w:rPr>
        <w:t xml:space="preserve"> truly needed.</w:t>
      </w:r>
    </w:p>
    <w:p w14:paraId="496A93A9" w14:textId="77777777" w:rsidR="002A6A2A" w:rsidRDefault="002A6A2A" w:rsidP="002A6A2A">
      <w:pPr>
        <w:jc w:val="both"/>
        <w:rPr>
          <w:sz w:val="24"/>
          <w:szCs w:val="24"/>
        </w:rPr>
      </w:pPr>
      <w:r>
        <w:rPr>
          <w:sz w:val="24"/>
          <w:szCs w:val="24"/>
        </w:rPr>
        <w:t xml:space="preserve">Another cultural theme that Herodotus seemed to have been interested in when it came to Egyptian culture was that of Kingship. On this subject Herodotus is candid on his opinion of the role of a King, reflecting the attitudes of Greek society, in that he describes the manner in which Amasis has become king as the Egyptians becoming his slaves (Hdt.2.172-73), the full anecdote of this topic can be found in appendix two. The Egyptians would have thought this of themselves or as the king as someone who owned them, but as someone who protected them and kept the cosmic balance between </w:t>
      </w:r>
      <w:proofErr w:type="spellStart"/>
      <w:r>
        <w:rPr>
          <w:sz w:val="24"/>
          <w:szCs w:val="24"/>
        </w:rPr>
        <w:t>maat</w:t>
      </w:r>
      <w:proofErr w:type="spellEnd"/>
      <w:r>
        <w:rPr>
          <w:sz w:val="24"/>
          <w:szCs w:val="24"/>
        </w:rPr>
        <w:t xml:space="preserve"> and chaos in check as a living god. However, as indicated by Herodotus, Grecians would have had an adverse reaction to kingship and this is because of the fact that “the political power of this institution is, of course, a major area of divergence from the </w:t>
      </w:r>
      <w:proofErr w:type="spellStart"/>
      <w:r>
        <w:rPr>
          <w:i/>
          <w:iCs/>
          <w:sz w:val="24"/>
          <w:szCs w:val="24"/>
        </w:rPr>
        <w:t>elutheri</w:t>
      </w:r>
      <w:r>
        <w:rPr>
          <w:rFonts w:cstheme="minorHAnsi"/>
          <w:i/>
          <w:iCs/>
          <w:sz w:val="24"/>
          <w:szCs w:val="24"/>
        </w:rPr>
        <w:t>ē</w:t>
      </w:r>
      <w:proofErr w:type="spellEnd"/>
      <w:r>
        <w:rPr>
          <w:i/>
          <w:iCs/>
          <w:sz w:val="24"/>
          <w:szCs w:val="24"/>
        </w:rPr>
        <w:t xml:space="preserve"> </w:t>
      </w:r>
      <w:r>
        <w:rPr>
          <w:sz w:val="24"/>
          <w:szCs w:val="24"/>
        </w:rPr>
        <w:t xml:space="preserve">or ‘freedom’ which is so often praised as a distinctive feature of the Greek world” (Lloyd, 2002: 420). However, this still would have been a topic that prompted assessment into this mode of thinking because of the fact that the Egyptians in this tale speak of how they wish their king to behave, which is in a manner that would put him above everyone else in a display of his power. This would have perhaps confused the Greeks that were aware of this through Herodotus’ works, however as intellectuals they perhaps would have tried to reason out why the Egyptians acted this way and the reasons behind why they did not have a king themselves. </w:t>
      </w:r>
    </w:p>
    <w:p w14:paraId="18AF882C" w14:textId="77777777" w:rsidR="002A6A2A" w:rsidRDefault="002A6A2A" w:rsidP="002A6A2A">
      <w:pPr>
        <w:jc w:val="both"/>
        <w:rPr>
          <w:sz w:val="24"/>
          <w:szCs w:val="24"/>
        </w:rPr>
      </w:pPr>
      <w:r>
        <w:rPr>
          <w:sz w:val="24"/>
          <w:szCs w:val="24"/>
        </w:rPr>
        <w:t xml:space="preserve">There are other such cultural observations that Herodotus has detailed in book two of the </w:t>
      </w:r>
      <w:r>
        <w:rPr>
          <w:i/>
          <w:iCs/>
          <w:sz w:val="24"/>
          <w:szCs w:val="24"/>
        </w:rPr>
        <w:t>Histories</w:t>
      </w:r>
      <w:r>
        <w:rPr>
          <w:sz w:val="24"/>
          <w:szCs w:val="24"/>
        </w:rPr>
        <w:t>, that were perhaps not actual observations but were fictitious in nature in order to purposely stimulate assessment into Greek culture and societal practices. For example, when Herodotus writes of the various cultural antitheses that the Egyptians supposedly practiced. This can be seen in part below, with the extended version being presented in appendix three.</w:t>
      </w:r>
    </w:p>
    <w:p w14:paraId="2107C84B" w14:textId="77777777" w:rsidR="002A6A2A" w:rsidRDefault="002A6A2A" w:rsidP="002A6A2A">
      <w:pPr>
        <w:jc w:val="center"/>
        <w:rPr>
          <w:sz w:val="24"/>
          <w:szCs w:val="24"/>
        </w:rPr>
      </w:pPr>
      <w:r w:rsidRPr="001E495B">
        <w:rPr>
          <w:i/>
          <w:iCs/>
          <w:sz w:val="24"/>
          <w:szCs w:val="24"/>
        </w:rPr>
        <w:t>“As the Egyptians have a climate peculiar to themselves, and their river is different in its nature from all other rivers, so have they made all their customs and laws of a kind contrary for the most part to those of all other men. Among them, the women buy and sell, the men abide at home and weave; and whereas in weaving all others push the woof upwards, the Egyptians push it downwards. Men carry burdens on their heads, women on their shoulders. Women make water standing, men sitting. They relieve nature indoors, and eat out of doors in the streets, giving the reason, that things unseemly but necessary should be done in secret, things not unseemly should be done openly.”</w:t>
      </w:r>
      <w:r>
        <w:rPr>
          <w:i/>
          <w:iCs/>
          <w:sz w:val="24"/>
          <w:szCs w:val="24"/>
        </w:rPr>
        <w:t xml:space="preserve"> </w:t>
      </w:r>
      <w:r>
        <w:rPr>
          <w:sz w:val="24"/>
          <w:szCs w:val="24"/>
        </w:rPr>
        <w:t>Hdt.2.35. (trans. Godley, 1920: 317)</w:t>
      </w:r>
    </w:p>
    <w:p w14:paraId="429BA396" w14:textId="2558CAF0" w:rsidR="002A6A2A" w:rsidRDefault="002A6A2A" w:rsidP="002A6A2A">
      <w:pPr>
        <w:jc w:val="both"/>
        <w:rPr>
          <w:sz w:val="24"/>
          <w:szCs w:val="24"/>
        </w:rPr>
      </w:pPr>
      <w:r>
        <w:rPr>
          <w:sz w:val="24"/>
          <w:szCs w:val="24"/>
        </w:rPr>
        <w:lastRenderedPageBreak/>
        <w:t>As Stephanie West tells us in her article</w:t>
      </w:r>
      <w:r w:rsidR="00280035">
        <w:rPr>
          <w:sz w:val="24"/>
          <w:szCs w:val="24"/>
        </w:rPr>
        <w:t>,</w:t>
      </w:r>
      <w:r>
        <w:rPr>
          <w:sz w:val="24"/>
          <w:szCs w:val="24"/>
        </w:rPr>
        <w:t xml:space="preserve"> we can’t find fault in the Egyptians preferences of where to eat and defecate, which as West points out could be read as a response by an Egyptian to a Greek reaction of such information. Furthermore, although these cultural practices are labelled by Herodotus as contrary to those of other men, i.e. the Greeks, this presentation of them being opposite to Greek societal practices would still have made them more palatable to those Greeks that would have had access to Herodotus’ work, making it easier for them to perhaps assess the efficacy of their own cultural practices. However, we cannot take all that Herodotus’ relates to us in this section of the </w:t>
      </w:r>
      <w:r>
        <w:rPr>
          <w:i/>
          <w:iCs/>
          <w:sz w:val="24"/>
          <w:szCs w:val="24"/>
        </w:rPr>
        <w:t xml:space="preserve">Histories </w:t>
      </w:r>
      <w:r>
        <w:rPr>
          <w:sz w:val="24"/>
          <w:szCs w:val="24"/>
        </w:rPr>
        <w:t>as absolute, as “it is common experience that brief encounters with foreigners, whether we go abroad or they come to us, are liable to produce such unjustified generalizations” (West, 1998: 5). This is evidenced by the fact that we know that men and women worked more side by side within ancient Egypt, at least compared to everyday life within ancient Greece, however because of the fact that women attended “the market and are employed in trade, while men stay at home and do the weaving” (Whale, 1989:139) Herodotus then interpreted this as the complete reversal of “the ordinary practices of mankind” (Whale, 1989: 139). Again, this ‘absolute reversal’ could be interpreted as Herodotus’ purposeful attempt to solicit a reaction from his audience that would prompt an assessment into the cultural practices within their own society.</w:t>
      </w:r>
    </w:p>
    <w:p w14:paraId="67DF9020" w14:textId="0C7A335F" w:rsidR="002A6A2A" w:rsidRPr="002752BD" w:rsidRDefault="002A6A2A" w:rsidP="002A6A2A">
      <w:pPr>
        <w:jc w:val="both"/>
        <w:rPr>
          <w:sz w:val="24"/>
          <w:szCs w:val="24"/>
        </w:rPr>
      </w:pPr>
      <w:r>
        <w:rPr>
          <w:sz w:val="24"/>
          <w:szCs w:val="24"/>
        </w:rPr>
        <w:t xml:space="preserve">To conclude, briefly, before we move onto the second section of this discussion, it would seem from what we have discussed above that within the lengthy descriptions of Egyptian cultural </w:t>
      </w:r>
      <w:r w:rsidR="00DB78EF">
        <w:rPr>
          <w:sz w:val="24"/>
          <w:szCs w:val="24"/>
        </w:rPr>
        <w:t xml:space="preserve">practices </w:t>
      </w:r>
      <w:r>
        <w:rPr>
          <w:sz w:val="24"/>
          <w:szCs w:val="24"/>
        </w:rPr>
        <w:t xml:space="preserve">that Herodotus has indulged in within book two of the </w:t>
      </w:r>
      <w:r>
        <w:rPr>
          <w:i/>
          <w:iCs/>
          <w:sz w:val="24"/>
          <w:szCs w:val="24"/>
        </w:rPr>
        <w:t>Histories</w:t>
      </w:r>
      <w:r>
        <w:rPr>
          <w:sz w:val="24"/>
          <w:szCs w:val="24"/>
        </w:rPr>
        <w:t xml:space="preserve"> it could be said that Herodotus has attempted to stimulate self-assessment of Greek culture among his Greek audience. In particular from what has been discussed in this section that Herodotus attempted this by detailing out specific important topics; funerary practices, kingship and gender roles within ancient Egypt, and the differences to Greek practices and thoughts on these areas of culture would have been obvious to a Greek audience and would have prompted some discussion among intellectuals of the time period, that perhaps could have led to an assessment of their own practices and the reasons behind them. This may have been attempted by Herodotus in order to stimulate a “free play of cultural ideas and the creation of oppositional self-definitions (Moyer, 2002: 74), which as we know is essential in how we develop the characteristics of one’s own culture and how a “culture defines the physical world in which it finds itself” (Lloyd, 2002: 415).</w:t>
      </w:r>
    </w:p>
    <w:p w14:paraId="3E54CE71" w14:textId="77777777" w:rsidR="00B86C4D" w:rsidRPr="007C0255" w:rsidRDefault="00B86C4D" w:rsidP="00266C8C">
      <w:pPr>
        <w:jc w:val="both"/>
        <w:rPr>
          <w:sz w:val="24"/>
          <w:szCs w:val="24"/>
        </w:rPr>
      </w:pPr>
    </w:p>
    <w:p w14:paraId="4247913F" w14:textId="17B4A2F0" w:rsidR="006D387D" w:rsidRDefault="006D387D"/>
    <w:p w14:paraId="07DB7E86" w14:textId="0A918A0A" w:rsidR="002A6A2A" w:rsidRDefault="002A6A2A"/>
    <w:p w14:paraId="0C694D52" w14:textId="3EC7F24B" w:rsidR="002A6A2A" w:rsidRDefault="002A6A2A"/>
    <w:p w14:paraId="17A7073B" w14:textId="7DCD300E" w:rsidR="002A6A2A" w:rsidRDefault="002A6A2A"/>
    <w:p w14:paraId="43B9902F" w14:textId="40DD21BB" w:rsidR="002A6A2A" w:rsidRDefault="002A6A2A"/>
    <w:p w14:paraId="7E63E7C9" w14:textId="59BFF697" w:rsidR="002A6A2A" w:rsidRDefault="002A6A2A"/>
    <w:p w14:paraId="3463E057" w14:textId="76A22924" w:rsidR="002A6A2A" w:rsidRDefault="002A6A2A"/>
    <w:p w14:paraId="58FD8B56" w14:textId="77777777" w:rsidR="002A6A2A" w:rsidRPr="002A6A2A" w:rsidRDefault="002A6A2A" w:rsidP="002A6A2A">
      <w:pPr>
        <w:pStyle w:val="Heading1"/>
        <w:rPr>
          <w:b/>
          <w:bCs/>
          <w:color w:val="auto"/>
        </w:rPr>
      </w:pPr>
      <w:bookmarkStart w:id="2" w:name="_Toc41595505"/>
      <w:r w:rsidRPr="002A6A2A">
        <w:rPr>
          <w:b/>
          <w:bCs/>
          <w:color w:val="auto"/>
        </w:rPr>
        <w:lastRenderedPageBreak/>
        <w:t>Section Two: Establishing Greek Identity through the Historical Past</w:t>
      </w:r>
      <w:bookmarkEnd w:id="2"/>
    </w:p>
    <w:p w14:paraId="11D74E5E" w14:textId="77777777" w:rsidR="002A6A2A" w:rsidRDefault="002A6A2A" w:rsidP="002A6A2A">
      <w:pPr>
        <w:jc w:val="both"/>
        <w:rPr>
          <w:sz w:val="24"/>
          <w:szCs w:val="24"/>
        </w:rPr>
      </w:pPr>
      <w:r>
        <w:rPr>
          <w:sz w:val="24"/>
          <w:szCs w:val="24"/>
        </w:rPr>
        <w:t xml:space="preserve">In this section we will be analysing abstracts from the </w:t>
      </w:r>
      <w:r>
        <w:rPr>
          <w:i/>
          <w:iCs/>
          <w:sz w:val="24"/>
          <w:szCs w:val="24"/>
        </w:rPr>
        <w:t>Histories</w:t>
      </w:r>
      <w:r>
        <w:rPr>
          <w:sz w:val="24"/>
          <w:szCs w:val="24"/>
        </w:rPr>
        <w:t xml:space="preserve"> that deal with how old the Egyptian civilisation was and how this would affect the worldview of Herodotus’ audience, especially since in the time that they would believe the gods to have walked among them, the Egyptians would have vehemently disagreed. Through these abstracts it is hoped to establish that Herodotus’, through the information that he has presented about how far back the ancient Egyptians can track their own lineage, as well as information about the origins of certain deities or heroic figures and their impact on Greek culture, that he was attempting to create a Greek cultural identity that is based in the historical past and not the mythological one as stated in the Introduction.</w:t>
      </w:r>
    </w:p>
    <w:p w14:paraId="0BE623C0" w14:textId="2632616F" w:rsidR="002A6A2A" w:rsidRDefault="002A6A2A" w:rsidP="002A6A2A">
      <w:pPr>
        <w:jc w:val="both"/>
        <w:rPr>
          <w:sz w:val="24"/>
          <w:szCs w:val="24"/>
        </w:rPr>
      </w:pPr>
      <w:r>
        <w:rPr>
          <w:sz w:val="24"/>
          <w:szCs w:val="24"/>
        </w:rPr>
        <w:t xml:space="preserve">The first abstract that we will be taking a close look at is that of the tale of the Theban priests and their presentation of how far their genealogical line goes back in response to Hecataeus’ declaration that he was only 16 generations removed from a god. Within book two of the </w:t>
      </w:r>
      <w:r>
        <w:rPr>
          <w:i/>
          <w:iCs/>
          <w:sz w:val="24"/>
          <w:szCs w:val="24"/>
        </w:rPr>
        <w:t xml:space="preserve">Histories </w:t>
      </w:r>
      <w:r>
        <w:rPr>
          <w:sz w:val="24"/>
          <w:szCs w:val="24"/>
        </w:rPr>
        <w:t xml:space="preserve">this topic comes up when Herodotus’ is explaining what he knows of the generations of kings that are human in nature within Egyptian history that was relayed to him by the Egyptians and their priests, this can be seen in the extended abstract in appendix </w:t>
      </w:r>
      <w:r w:rsidR="003C36C3">
        <w:rPr>
          <w:sz w:val="24"/>
          <w:szCs w:val="24"/>
        </w:rPr>
        <w:t>four</w:t>
      </w:r>
      <w:r>
        <w:rPr>
          <w:sz w:val="24"/>
          <w:szCs w:val="24"/>
        </w:rPr>
        <w:t>, while the more focused abstract will be detailed out below.</w:t>
      </w:r>
    </w:p>
    <w:p w14:paraId="16F627B0" w14:textId="77777777" w:rsidR="002A6A2A" w:rsidRDefault="002A6A2A" w:rsidP="002A6A2A">
      <w:pPr>
        <w:jc w:val="center"/>
        <w:rPr>
          <w:i/>
          <w:iCs/>
          <w:sz w:val="24"/>
          <w:szCs w:val="24"/>
        </w:rPr>
      </w:pPr>
      <w:r>
        <w:rPr>
          <w:sz w:val="24"/>
          <w:szCs w:val="24"/>
        </w:rPr>
        <w:t>“</w:t>
      </w:r>
      <w:r w:rsidRPr="003937AA">
        <w:rPr>
          <w:i/>
          <w:iCs/>
          <w:sz w:val="24"/>
          <w:szCs w:val="24"/>
        </w:rPr>
        <w:t xml:space="preserve">143. Hecataeus the historian was once at Thebes, where he made for himself a genealogy which connected him by lineage with a god in the sixteenth generation. But the priests did for him what they did for me (who had not traced my own lineage). They brought me into the great inner court of the temple and showed me there wooden figures which they counted up to the number they had already given, for every high priest sets there in his lifetime a statue of himself; counting and pointing to these, the priests showed me that each inherited from his father; they went through the whole tale of figures, back to the earliest from that of him who had </w:t>
      </w:r>
      <w:proofErr w:type="spellStart"/>
      <w:r w:rsidRPr="003937AA">
        <w:rPr>
          <w:i/>
          <w:iCs/>
          <w:sz w:val="24"/>
          <w:szCs w:val="24"/>
        </w:rPr>
        <w:t>lateliest</w:t>
      </w:r>
      <w:proofErr w:type="spellEnd"/>
      <w:r w:rsidRPr="003937AA">
        <w:rPr>
          <w:i/>
          <w:iCs/>
          <w:sz w:val="24"/>
          <w:szCs w:val="24"/>
        </w:rPr>
        <w:t xml:space="preserve"> died. Thus when Hecataeus had traced his descent and claimed that his sixteenth forefather was a god, the priests too traced a line of descent according to the method of their counting; for they would not be persuaded by him that a man could be descended from a god; they traced descent through the whole line of three hundred and forty-five figures, not connecting it with any ancestral god or hero, but declaring each figure to be a “</w:t>
      </w:r>
      <w:proofErr w:type="spellStart"/>
      <w:r w:rsidRPr="003937AA">
        <w:rPr>
          <w:i/>
          <w:iCs/>
          <w:sz w:val="24"/>
          <w:szCs w:val="24"/>
        </w:rPr>
        <w:t>Piromis</w:t>
      </w:r>
      <w:proofErr w:type="spellEnd"/>
      <w:r w:rsidRPr="003937AA">
        <w:rPr>
          <w:i/>
          <w:iCs/>
          <w:sz w:val="24"/>
          <w:szCs w:val="24"/>
        </w:rPr>
        <w:t>” the son of a “</w:t>
      </w:r>
      <w:proofErr w:type="spellStart"/>
      <w:r w:rsidRPr="003937AA">
        <w:rPr>
          <w:i/>
          <w:iCs/>
          <w:sz w:val="24"/>
          <w:szCs w:val="24"/>
        </w:rPr>
        <w:t>Piromis</w:t>
      </w:r>
      <w:proofErr w:type="spellEnd"/>
      <w:r w:rsidRPr="003937AA">
        <w:rPr>
          <w:i/>
          <w:iCs/>
          <w:sz w:val="24"/>
          <w:szCs w:val="24"/>
        </w:rPr>
        <w:t>,” that is, in the Greek language, one who is in all respects a good man.</w:t>
      </w:r>
      <w:r>
        <w:rPr>
          <w:i/>
          <w:iCs/>
          <w:sz w:val="24"/>
          <w:szCs w:val="24"/>
        </w:rPr>
        <w:t xml:space="preserve"> </w:t>
      </w:r>
    </w:p>
    <w:p w14:paraId="7C5D417B" w14:textId="77777777" w:rsidR="002A6A2A" w:rsidRDefault="002A6A2A" w:rsidP="002A6A2A">
      <w:pPr>
        <w:jc w:val="center"/>
        <w:rPr>
          <w:sz w:val="24"/>
          <w:szCs w:val="24"/>
        </w:rPr>
      </w:pPr>
      <w:r w:rsidRPr="003937AA">
        <w:rPr>
          <w:i/>
          <w:iCs/>
          <w:sz w:val="24"/>
          <w:szCs w:val="24"/>
        </w:rPr>
        <w:t>144. Thus they showed that all whose statues stood there had been good men, but wholly unlike gods. Before these men, they said, the rulers of Egypt were gods, but none had been contemporary with the human priests. Of these gods one or other had in succession been supreme; the last of them to rule the country was Osiris’ son Horus, called by the Greeks Apollo; he deposed Typhon, and was the last divine king of Egypt. Osiris is, in the Greek language, Dionysus</w:t>
      </w:r>
      <w:r w:rsidRPr="00491498">
        <w:rPr>
          <w:sz w:val="24"/>
          <w:szCs w:val="24"/>
        </w:rPr>
        <w:t>.</w:t>
      </w:r>
      <w:r>
        <w:rPr>
          <w:sz w:val="24"/>
          <w:szCs w:val="24"/>
        </w:rPr>
        <w:t>” Hdt.2.143-4. (trans. Godley, 1920: 449, 451)</w:t>
      </w:r>
    </w:p>
    <w:p w14:paraId="20A614E1" w14:textId="77777777" w:rsidR="002A6A2A" w:rsidRDefault="002A6A2A" w:rsidP="002A6A2A">
      <w:pPr>
        <w:jc w:val="both"/>
        <w:rPr>
          <w:sz w:val="24"/>
          <w:szCs w:val="24"/>
        </w:rPr>
      </w:pPr>
      <w:r>
        <w:rPr>
          <w:sz w:val="24"/>
          <w:szCs w:val="24"/>
        </w:rPr>
        <w:t xml:space="preserve">From this abstract we can see Herodotus’ is trying to “convey the Greek sense of the infancy of their civilisation in the face of Egypt’s great antiquity” (Moyer, 2002: 70) through the supposed link between Hecataeus and a god, as well as the priests’ insistence that he could not possibly be so closely related to one by displaying the “unbroken lineage of sons </w:t>
      </w:r>
      <w:r>
        <w:rPr>
          <w:sz w:val="24"/>
          <w:szCs w:val="24"/>
        </w:rPr>
        <w:lastRenderedPageBreak/>
        <w:t>succeeding their father’s office, each of whom was a man not a god” (Moyer, 2002: 70) through what we are told is 345 generations. However, it has been said that this number has been distorted by Herodotus’ “penchant for hyperbole” (Moyer, 2002: 75) and that the number has simply been invented in order to correlate to the 341 kings he had listed just before this anecdote. Nevertheless, it could be that this was the number of generations presented by the Egyptian priests from what they knew of their own history, or perhaps it was “part of a priestly self-representation” (Moyer, 2002: 78) that was particular to the Late Egyptian period, which is when extended genealogies became more common. How this anecdote relates to the assumption that Herodotus is trying to create a Greek cultural identity that is based in the historical past is quite simple. By displaying the Egyptian priest belief in the absurdity that Hecataeus could be so closely related to a god figure and the fact that they wholeheartedly place their historical past within the human realm and not the mythological could perhaps have encouraged those of Herodotus’ audience that identify as Greek to establish their own historical past, and thus their identity within the same framework. The young civilisation following in the footsteps of a culture that they deemed to be “static, ossified and incredibly old” (Moyer, 2002: 71) but a had stable understanding of their own long history (Moyer, 2002: 71).</w:t>
      </w:r>
    </w:p>
    <w:p w14:paraId="1E7BC5B2" w14:textId="7F708AC3" w:rsidR="002A6A2A" w:rsidRDefault="002A6A2A" w:rsidP="002A6A2A">
      <w:pPr>
        <w:jc w:val="both"/>
        <w:rPr>
          <w:sz w:val="24"/>
          <w:szCs w:val="24"/>
        </w:rPr>
      </w:pPr>
      <w:r>
        <w:rPr>
          <w:sz w:val="24"/>
          <w:szCs w:val="24"/>
        </w:rPr>
        <w:t xml:space="preserve">This line of thinking would have been further encouraged by the musings of Herodotus on the origins of particular gods and certain heroic figures that are mentioned both in Egyptian and Greek histories or myths. Continuing on past the anecdote of the Theban priests related to us within book two of the </w:t>
      </w:r>
      <w:r>
        <w:rPr>
          <w:i/>
          <w:iCs/>
          <w:sz w:val="24"/>
          <w:szCs w:val="24"/>
        </w:rPr>
        <w:t>Histories</w:t>
      </w:r>
      <w:r>
        <w:rPr>
          <w:sz w:val="24"/>
          <w:szCs w:val="24"/>
        </w:rPr>
        <w:t xml:space="preserve">, which can be viewed in appendix </w:t>
      </w:r>
      <w:r w:rsidR="008C0221">
        <w:rPr>
          <w:sz w:val="24"/>
          <w:szCs w:val="24"/>
        </w:rPr>
        <w:t>four</w:t>
      </w:r>
      <w:r>
        <w:rPr>
          <w:sz w:val="24"/>
          <w:szCs w:val="24"/>
        </w:rPr>
        <w:t>, we come across Herodotus’ relation of the relative history of certain gods. We will first look into the history of Pan and Dionysus, or to the Egyptians, Mendes and Osiris. To the Greeks Pan and Dionysus were among the youngest of the gods, however as Herodotus tells us Pan (Mendes) was considered by the Egyptians to be one of the most ancient of their gods, in fact one of the first eight, however Dionysus (Osiris) was one of the youngest as one among the third generation of gods to come about, nevertheless he was still fifteen thousand years removed from King Amasis, who was mentioned in section one, however according to the Greeks Dionysus lived only 1600 years before the time of Herodotus (Moyer, 2002: 86). Of course, this tells us that although these gods were quite old in origin, by Egyptian standards, that they were adopted later by the Greeks than the other gods of their pantheon thus making it possible that they were born only when the Greeks became aware of their existence, as Herodotus’ relates within his writings. This information relays an inconsistency that Herodotus’ has found within Greek mythological history, and by relaying the fact that the Egyptians know exactly when their gods walked the earth, and in what order, would again make it reasonable for a Greek audience to take a closer look at the validity of their mythological history, making it possible for them to perhaps want to explore and put more stock into the events and people of their historical history, which could create the basis for a new Greek cultural identity.</w:t>
      </w:r>
    </w:p>
    <w:p w14:paraId="0D5BFBDC" w14:textId="77777777" w:rsidR="002A6A2A" w:rsidRDefault="002A6A2A" w:rsidP="002A6A2A">
      <w:pPr>
        <w:jc w:val="both"/>
        <w:rPr>
          <w:sz w:val="24"/>
          <w:szCs w:val="24"/>
        </w:rPr>
      </w:pPr>
      <w:r>
        <w:rPr>
          <w:sz w:val="24"/>
          <w:szCs w:val="24"/>
        </w:rPr>
        <w:t xml:space="preserve">As we have focused on Pan and Dionysus’ histories above it is now time to detail out Herodotus’ writings on Heracles, who Herodotus connected to the god Shu within ancient Egyptian mythology, which actually comes to us much earlier within the second book of the </w:t>
      </w:r>
      <w:r>
        <w:rPr>
          <w:i/>
          <w:iCs/>
          <w:sz w:val="24"/>
          <w:szCs w:val="24"/>
        </w:rPr>
        <w:t xml:space="preserve">Histories. </w:t>
      </w:r>
      <w:r>
        <w:rPr>
          <w:sz w:val="24"/>
          <w:szCs w:val="24"/>
        </w:rPr>
        <w:t xml:space="preserve">Thus, it could be said that this was the beginnings of Herodotus’ attempt to create </w:t>
      </w:r>
      <w:r>
        <w:rPr>
          <w:sz w:val="24"/>
          <w:szCs w:val="24"/>
        </w:rPr>
        <w:lastRenderedPageBreak/>
        <w:t xml:space="preserve">an historically based Greek cultural identity. Without going into as great a length as Herodotus in the instance of Heracles, we will present several short abstracts from book two of the </w:t>
      </w:r>
      <w:r>
        <w:rPr>
          <w:i/>
          <w:iCs/>
          <w:sz w:val="24"/>
          <w:szCs w:val="24"/>
        </w:rPr>
        <w:t>Histories</w:t>
      </w:r>
      <w:r>
        <w:rPr>
          <w:sz w:val="24"/>
          <w:szCs w:val="24"/>
        </w:rPr>
        <w:t xml:space="preserve">, while the full complete version can be found in appendix five. </w:t>
      </w:r>
    </w:p>
    <w:p w14:paraId="1CD9D142" w14:textId="77777777" w:rsidR="002A6A2A" w:rsidRDefault="002A6A2A" w:rsidP="002A6A2A">
      <w:pPr>
        <w:pStyle w:val="NormalWeb"/>
        <w:spacing w:after="0" w:line="360" w:lineRule="atLeast"/>
        <w:jc w:val="center"/>
        <w:rPr>
          <w:rFonts w:asciiTheme="minorHAnsi" w:hAnsiTheme="minorHAnsi" w:cstheme="minorHAnsi"/>
          <w:color w:val="333333"/>
          <w:spacing w:val="-2"/>
        </w:rPr>
      </w:pPr>
      <w:r>
        <w:t>“</w:t>
      </w:r>
      <w:r w:rsidRPr="00BA7E21">
        <w:rPr>
          <w:rFonts w:asciiTheme="minorHAnsi" w:hAnsiTheme="minorHAnsi" w:cstheme="minorHAnsi"/>
          <w:i/>
          <w:iCs/>
          <w:color w:val="333333"/>
          <w:spacing w:val="-2"/>
        </w:rPr>
        <w:t xml:space="preserve">Heracles is a very ancient god in Egypt; as the Egyptians themselves say, the change of the eight gods to the twelve, of whom they deem Heracles one, was made seventeen thousand years before the reign of Amasis. Moreover, wishing to get clear knowledge of this matter whence it was possible so to do, I took ship to Tyre in </w:t>
      </w:r>
      <w:proofErr w:type="spellStart"/>
      <w:r w:rsidRPr="00BA7E21">
        <w:rPr>
          <w:rFonts w:asciiTheme="minorHAnsi" w:hAnsiTheme="minorHAnsi" w:cstheme="minorHAnsi"/>
          <w:i/>
          <w:iCs/>
          <w:color w:val="333333"/>
          <w:spacing w:val="-2"/>
        </w:rPr>
        <w:t>Phoenice</w:t>
      </w:r>
      <w:proofErr w:type="spellEnd"/>
      <w:r w:rsidRPr="00BA7E21">
        <w:rPr>
          <w:rFonts w:asciiTheme="minorHAnsi" w:hAnsiTheme="minorHAnsi" w:cstheme="minorHAnsi"/>
          <w:i/>
          <w:iCs/>
          <w:color w:val="333333"/>
          <w:spacing w:val="-2"/>
        </w:rPr>
        <w:t xml:space="preserve">, where I heard that there was a very holy temple of Heracles.” </w:t>
      </w:r>
      <w:r>
        <w:rPr>
          <w:rFonts w:asciiTheme="minorHAnsi" w:hAnsiTheme="minorHAnsi" w:cstheme="minorHAnsi"/>
          <w:color w:val="333333"/>
          <w:spacing w:val="-2"/>
        </w:rPr>
        <w:t>Hdt.2.43-4 (trans. Godley, 1920: 329, 331)</w:t>
      </w:r>
    </w:p>
    <w:p w14:paraId="6B3D9C81" w14:textId="77777777" w:rsidR="002A6A2A" w:rsidRPr="001E648D" w:rsidRDefault="002A6A2A" w:rsidP="002A6A2A">
      <w:pPr>
        <w:pStyle w:val="NormalWeb"/>
        <w:spacing w:after="0" w:line="360" w:lineRule="atLeast"/>
        <w:jc w:val="center"/>
        <w:rPr>
          <w:rFonts w:asciiTheme="minorHAnsi" w:hAnsiTheme="minorHAnsi" w:cstheme="minorHAnsi"/>
          <w:color w:val="333333"/>
          <w:spacing w:val="-2"/>
        </w:rPr>
      </w:pPr>
      <w:r>
        <w:rPr>
          <w:rFonts w:asciiTheme="minorHAnsi" w:hAnsiTheme="minorHAnsi" w:cstheme="minorHAnsi"/>
          <w:color w:val="333333"/>
          <w:spacing w:val="-2"/>
        </w:rPr>
        <w:t>“</w:t>
      </w:r>
      <w:r w:rsidRPr="001E648D">
        <w:rPr>
          <w:rFonts w:asciiTheme="minorHAnsi" w:hAnsiTheme="minorHAnsi" w:cstheme="minorHAnsi"/>
          <w:i/>
          <w:iCs/>
          <w:color w:val="333333"/>
          <w:spacing w:val="-2"/>
        </w:rPr>
        <w:t>I found that neither did their account tally with the belief of the Greeks; for they said that the temple of the god was founded when Tyre first became a city, and that was two thousand three hundred years since… Therefore, what I have discovered by inquiry plainly shows that Heracles is an ancient god. And further: those Greeks, I think, are most in the right, who have established and practise two worships of Heracles, sacrificing to one Heracles as to an immortal, and calling him the Olympian, but to the other bringing offerings as to a dead hero.</w:t>
      </w:r>
      <w:r>
        <w:rPr>
          <w:rFonts w:asciiTheme="minorHAnsi" w:hAnsiTheme="minorHAnsi" w:cstheme="minorHAnsi"/>
          <w:color w:val="333333"/>
          <w:spacing w:val="-2"/>
        </w:rPr>
        <w:t>” Hdt.2.44 (trans. Godley, 1920: 331)</w:t>
      </w:r>
    </w:p>
    <w:p w14:paraId="35A9DE4D" w14:textId="6821FDAC" w:rsidR="002A6A2A" w:rsidRDefault="002A6A2A" w:rsidP="002A6A2A">
      <w:pPr>
        <w:pStyle w:val="NormalWeb"/>
        <w:spacing w:after="0" w:line="360" w:lineRule="atLeast"/>
        <w:jc w:val="both"/>
        <w:rPr>
          <w:rFonts w:asciiTheme="minorHAnsi" w:hAnsiTheme="minorHAnsi" w:cstheme="minorHAnsi"/>
          <w:color w:val="333333"/>
          <w:spacing w:val="-2"/>
        </w:rPr>
      </w:pPr>
      <w:r>
        <w:rPr>
          <w:rFonts w:asciiTheme="minorHAnsi" w:hAnsiTheme="minorHAnsi" w:cstheme="minorHAnsi"/>
          <w:color w:val="333333"/>
          <w:spacing w:val="-2"/>
        </w:rPr>
        <w:t xml:space="preserve">What has been presented above is Herodotus’ method of verifying Heracles as one of the twelve ancient gods of Egypt within the second dynasty, the generation before Dionysus (Osiris), which is also evidenced in the abstract from appendix </w:t>
      </w:r>
      <w:r w:rsidR="008C0221">
        <w:rPr>
          <w:rFonts w:asciiTheme="minorHAnsi" w:hAnsiTheme="minorHAnsi" w:cstheme="minorHAnsi"/>
          <w:color w:val="333333"/>
          <w:spacing w:val="-2"/>
        </w:rPr>
        <w:t>four</w:t>
      </w:r>
      <w:r>
        <w:rPr>
          <w:rFonts w:asciiTheme="minorHAnsi" w:hAnsiTheme="minorHAnsi" w:cstheme="minorHAnsi"/>
          <w:color w:val="333333"/>
          <w:spacing w:val="-2"/>
        </w:rPr>
        <w:t xml:space="preserve">. This is done by Herodotus’ noting the age of the temples of Heracles, the god. From the extended version of this abstract found in appendix five we know that Herodotus was trying to reason out the origin of the name Heracles, finding that since he was known as one of the twelve ancient gods of Egypt that the name “did not come from Hellas to Egypt, but from Egypt to Hellas” Hdt.2.43 (trans. Godley, 1920: 329), thus surmising that the Heracles, of Greek myth, the Hero was a much more recent figure and was perhaps named after the ancient divinity because of the fact that his parents “were both by descent Egyptian”Hdt.2.43 (trans. Godley, 1920: 329). Since Herodotus states within the </w:t>
      </w:r>
      <w:r>
        <w:rPr>
          <w:rFonts w:asciiTheme="minorHAnsi" w:hAnsiTheme="minorHAnsi" w:cstheme="minorHAnsi"/>
          <w:i/>
          <w:iCs/>
          <w:color w:val="333333"/>
          <w:spacing w:val="-2"/>
        </w:rPr>
        <w:t xml:space="preserve">Histories </w:t>
      </w:r>
      <w:r>
        <w:rPr>
          <w:rFonts w:asciiTheme="minorHAnsi" w:hAnsiTheme="minorHAnsi" w:cstheme="minorHAnsi"/>
          <w:color w:val="333333"/>
          <w:spacing w:val="-2"/>
        </w:rPr>
        <w:t xml:space="preserve">that he has “indeed many proofs that the name of Heracles did not come from Hellas to Egypt, but from Egypt to Hellas” Hdt.2.43 (trans. Godley, 1920: 329) that means that before he had researched into this area it was believed that the name Heracles originated with the Greeks. </w:t>
      </w:r>
    </w:p>
    <w:p w14:paraId="50C1F6EE" w14:textId="77777777" w:rsidR="002A6A2A" w:rsidRPr="00E25D03" w:rsidRDefault="002A6A2A" w:rsidP="002A6A2A">
      <w:pPr>
        <w:pStyle w:val="NormalWeb"/>
        <w:spacing w:after="0" w:line="360" w:lineRule="atLeast"/>
        <w:jc w:val="both"/>
        <w:rPr>
          <w:rFonts w:asciiTheme="minorHAnsi" w:hAnsiTheme="minorHAnsi" w:cstheme="minorHAnsi"/>
          <w:color w:val="333333"/>
          <w:spacing w:val="-2"/>
        </w:rPr>
      </w:pPr>
      <w:r>
        <w:rPr>
          <w:rFonts w:asciiTheme="minorHAnsi" w:hAnsiTheme="minorHAnsi" w:cstheme="minorHAnsi"/>
          <w:color w:val="333333"/>
          <w:spacing w:val="-2"/>
        </w:rPr>
        <w:t xml:space="preserve">Thus, by disproving this fact Herodotus has made the first inconsistency with Greek mythological history known, and also the first attempt at trying to make a convincing argument of creating a Greek cultural identity not based in the mythological past but in the historical one. This argument was continued with the anecdote of the Theban priests and histories presented by Herodotus on the gods that are mentioned in both Egyptian and Greek mythology, proving again and again the inconsistencies of Greek mythological history. This argument is made more successful by the fact that the ancient Egyptians had more extensive knowledge of their own </w:t>
      </w:r>
      <w:r>
        <w:rPr>
          <w:rFonts w:asciiTheme="minorHAnsi" w:hAnsiTheme="minorHAnsi" w:cstheme="minorHAnsi"/>
          <w:color w:val="333333"/>
          <w:spacing w:val="-2"/>
        </w:rPr>
        <w:lastRenderedPageBreak/>
        <w:t xml:space="preserve">historical past, which it could be said that Herodotus displayed as a way in which to encourage his Greek audience to try and develop their own historical past and perhaps find a new Greek identity within that past. </w:t>
      </w:r>
    </w:p>
    <w:p w14:paraId="46114B7B" w14:textId="40982B29" w:rsidR="002A6A2A" w:rsidRDefault="002A6A2A"/>
    <w:p w14:paraId="28BCA826" w14:textId="688B94FE" w:rsidR="002A6A2A" w:rsidRDefault="002A6A2A"/>
    <w:p w14:paraId="4DDFB049" w14:textId="197ABC76" w:rsidR="002A6A2A" w:rsidRDefault="002A6A2A"/>
    <w:p w14:paraId="149CA97A" w14:textId="591E600C" w:rsidR="002A6A2A" w:rsidRDefault="002A6A2A"/>
    <w:p w14:paraId="7D578512" w14:textId="21990624" w:rsidR="002A6A2A" w:rsidRDefault="002A6A2A"/>
    <w:p w14:paraId="068D5DA3" w14:textId="784DDF6C" w:rsidR="002A6A2A" w:rsidRDefault="002A6A2A"/>
    <w:p w14:paraId="5E812EB0" w14:textId="1CE90AE7" w:rsidR="002A6A2A" w:rsidRDefault="002A6A2A"/>
    <w:p w14:paraId="33540826" w14:textId="39C9778A" w:rsidR="002A6A2A" w:rsidRDefault="002A6A2A"/>
    <w:p w14:paraId="00FBCBE4" w14:textId="56C9ACBD" w:rsidR="002A6A2A" w:rsidRDefault="002A6A2A"/>
    <w:p w14:paraId="11F4B05F" w14:textId="731EE60E" w:rsidR="002A6A2A" w:rsidRDefault="002A6A2A"/>
    <w:p w14:paraId="036C941C" w14:textId="777AB4BC" w:rsidR="002A6A2A" w:rsidRDefault="002A6A2A"/>
    <w:p w14:paraId="397483D6" w14:textId="45F2862D" w:rsidR="002A6A2A" w:rsidRDefault="002A6A2A"/>
    <w:p w14:paraId="04125999" w14:textId="4F03EF9D" w:rsidR="002A6A2A" w:rsidRDefault="002A6A2A"/>
    <w:p w14:paraId="650C3A3E" w14:textId="21233F0E" w:rsidR="002A6A2A" w:rsidRDefault="002A6A2A"/>
    <w:p w14:paraId="6036D074" w14:textId="31E7E036" w:rsidR="002A6A2A" w:rsidRDefault="002A6A2A"/>
    <w:p w14:paraId="27914AF0" w14:textId="0BF4B26E" w:rsidR="002A6A2A" w:rsidRDefault="002A6A2A"/>
    <w:p w14:paraId="456DE640" w14:textId="2426F93F" w:rsidR="002A6A2A" w:rsidRDefault="002A6A2A"/>
    <w:p w14:paraId="0634B11E" w14:textId="2E7B8D76" w:rsidR="002A6A2A" w:rsidRDefault="002A6A2A"/>
    <w:p w14:paraId="54EEBF3C" w14:textId="662B32B1" w:rsidR="002A6A2A" w:rsidRDefault="002A6A2A"/>
    <w:p w14:paraId="22449E99" w14:textId="3D851572" w:rsidR="002A6A2A" w:rsidRDefault="002A6A2A"/>
    <w:p w14:paraId="3594834B" w14:textId="1D7D95A9" w:rsidR="002A6A2A" w:rsidRDefault="002A6A2A"/>
    <w:p w14:paraId="75E33DD2" w14:textId="29C7A1CB" w:rsidR="002A6A2A" w:rsidRDefault="002A6A2A"/>
    <w:p w14:paraId="6A96B000" w14:textId="31EAE63D" w:rsidR="002A6A2A" w:rsidRDefault="002A6A2A"/>
    <w:p w14:paraId="1B8F7DC4" w14:textId="6AD8863E" w:rsidR="002A6A2A" w:rsidRDefault="002A6A2A"/>
    <w:p w14:paraId="0FA2E1A7" w14:textId="76B77125" w:rsidR="002A6A2A" w:rsidRDefault="002A6A2A"/>
    <w:p w14:paraId="767CA275" w14:textId="267152D3" w:rsidR="002A6A2A" w:rsidRDefault="002A6A2A"/>
    <w:p w14:paraId="648326EA" w14:textId="1678DD0A" w:rsidR="002A6A2A" w:rsidRDefault="002A6A2A"/>
    <w:p w14:paraId="3EF86FF0" w14:textId="5BEB1723" w:rsidR="002A6A2A" w:rsidRDefault="002A6A2A"/>
    <w:p w14:paraId="64E38875" w14:textId="69D2FBD8" w:rsidR="002A6A2A" w:rsidRDefault="00C02855" w:rsidP="00C02855">
      <w:pPr>
        <w:pStyle w:val="Heading1"/>
        <w:rPr>
          <w:b/>
          <w:bCs/>
          <w:color w:val="auto"/>
        </w:rPr>
      </w:pPr>
      <w:bookmarkStart w:id="3" w:name="_Toc41595506"/>
      <w:r w:rsidRPr="00C02855">
        <w:rPr>
          <w:b/>
          <w:bCs/>
          <w:color w:val="auto"/>
        </w:rPr>
        <w:lastRenderedPageBreak/>
        <w:t>Conclusion</w:t>
      </w:r>
      <w:bookmarkEnd w:id="3"/>
    </w:p>
    <w:p w14:paraId="5E148D38" w14:textId="01943A66" w:rsidR="00C02855" w:rsidRPr="00AF17BC" w:rsidRDefault="00F776DA" w:rsidP="00C02855">
      <w:pPr>
        <w:rPr>
          <w:sz w:val="24"/>
          <w:szCs w:val="24"/>
        </w:rPr>
      </w:pPr>
      <w:r w:rsidRPr="00F776DA">
        <w:rPr>
          <w:sz w:val="24"/>
          <w:szCs w:val="24"/>
        </w:rPr>
        <w:t xml:space="preserve">To conclude, what has been discussed above is a very brief look into book two of the </w:t>
      </w:r>
      <w:r w:rsidRPr="00F776DA">
        <w:rPr>
          <w:i/>
          <w:iCs/>
          <w:sz w:val="24"/>
          <w:szCs w:val="24"/>
        </w:rPr>
        <w:t>Histories</w:t>
      </w:r>
      <w:r w:rsidRPr="00F776DA">
        <w:rPr>
          <w:sz w:val="24"/>
          <w:szCs w:val="24"/>
        </w:rPr>
        <w:t xml:space="preserve"> written by </w:t>
      </w:r>
      <w:r w:rsidR="00464463">
        <w:rPr>
          <w:sz w:val="24"/>
          <w:szCs w:val="24"/>
        </w:rPr>
        <w:t xml:space="preserve">Herodotus, and from this brief look we have been able to interpret a handful of topics explored by Herodotus </w:t>
      </w:r>
      <w:r w:rsidR="00071001">
        <w:rPr>
          <w:sz w:val="24"/>
          <w:szCs w:val="24"/>
        </w:rPr>
        <w:t>as</w:t>
      </w:r>
      <w:r w:rsidR="00464463">
        <w:rPr>
          <w:sz w:val="24"/>
          <w:szCs w:val="24"/>
        </w:rPr>
        <w:t xml:space="preserve"> his attempt at trying to encourage his audience to reflect on and assess their own societal and cultural practices and belief</w:t>
      </w:r>
      <w:r w:rsidR="00011C9B">
        <w:rPr>
          <w:sz w:val="24"/>
          <w:szCs w:val="24"/>
        </w:rPr>
        <w:t>s</w:t>
      </w:r>
      <w:r w:rsidR="00071001">
        <w:rPr>
          <w:sz w:val="24"/>
          <w:szCs w:val="24"/>
        </w:rPr>
        <w:t xml:space="preserve">, as well as establish a Greek cultural identity that is based on the historical past. </w:t>
      </w:r>
      <w:r w:rsidR="00883C13">
        <w:rPr>
          <w:sz w:val="24"/>
          <w:szCs w:val="24"/>
        </w:rPr>
        <w:t xml:space="preserve">The </w:t>
      </w:r>
      <w:r w:rsidR="00AE299F">
        <w:rPr>
          <w:sz w:val="24"/>
          <w:szCs w:val="24"/>
        </w:rPr>
        <w:t>specific abstracts from book two that detail out cultural aspects of the Egyptian civilisation, during the time of Herodotus and what he has been told by Egyptians on his journeys there, highligh</w:t>
      </w:r>
      <w:r w:rsidR="008409CF">
        <w:rPr>
          <w:sz w:val="24"/>
          <w:szCs w:val="24"/>
        </w:rPr>
        <w:t xml:space="preserve">t key topics that would have been of interest to Herodotus’ audience. The topics of funerary practices, </w:t>
      </w:r>
      <w:r w:rsidR="00701D35">
        <w:rPr>
          <w:sz w:val="24"/>
          <w:szCs w:val="24"/>
        </w:rPr>
        <w:t>kingship and gender roles are discussed within these abstracts, and could be viewed as very provoc</w:t>
      </w:r>
      <w:r w:rsidR="008A770C">
        <w:rPr>
          <w:sz w:val="24"/>
          <w:szCs w:val="24"/>
        </w:rPr>
        <w:t>a</w:t>
      </w:r>
      <w:r w:rsidR="00701D35">
        <w:rPr>
          <w:sz w:val="24"/>
          <w:szCs w:val="24"/>
        </w:rPr>
        <w:t>t</w:t>
      </w:r>
      <w:r w:rsidR="008A770C">
        <w:rPr>
          <w:sz w:val="24"/>
          <w:szCs w:val="24"/>
        </w:rPr>
        <w:t>i</w:t>
      </w:r>
      <w:r w:rsidR="00701D35">
        <w:rPr>
          <w:sz w:val="24"/>
          <w:szCs w:val="24"/>
        </w:rPr>
        <w:t xml:space="preserve">ve topics, regardless if the information is 100% reliable or not. The provocative nature of </w:t>
      </w:r>
      <w:r w:rsidR="001F2DEF">
        <w:rPr>
          <w:sz w:val="24"/>
          <w:szCs w:val="24"/>
        </w:rPr>
        <w:t xml:space="preserve">these topics would have created an atmosphere for speculation about the information provided by Herodotus’, which could have led to the self-assessment of these areas within Greek culture, or </w:t>
      </w:r>
      <w:r w:rsidR="008A770C">
        <w:rPr>
          <w:sz w:val="24"/>
          <w:szCs w:val="24"/>
        </w:rPr>
        <w:t xml:space="preserve">at least reflection of the societal opinions of these topics. </w:t>
      </w:r>
      <w:r w:rsidR="009D0CCF">
        <w:rPr>
          <w:sz w:val="24"/>
          <w:szCs w:val="24"/>
        </w:rPr>
        <w:t>The abstracts</w:t>
      </w:r>
      <w:r w:rsidR="005D606D">
        <w:rPr>
          <w:sz w:val="24"/>
          <w:szCs w:val="24"/>
        </w:rPr>
        <w:t xml:space="preserve"> shown in section two detail out </w:t>
      </w:r>
      <w:r w:rsidR="002B7820">
        <w:rPr>
          <w:sz w:val="24"/>
          <w:szCs w:val="24"/>
        </w:rPr>
        <w:t>selected instances in which Herodotus exposes mythological and historical timeline inconsistencies.</w:t>
      </w:r>
      <w:r w:rsidR="00D018DC">
        <w:rPr>
          <w:sz w:val="24"/>
          <w:szCs w:val="24"/>
        </w:rPr>
        <w:t xml:space="preserve"> These inconsistencies that Herodotus presents to his audience are meant as a way in which to encourage the audience to think of their own lineage in a more tangible, human, historical way that does not rely so much on the presence of gods. Furthermore, by highlighting the fact that it would seem that the Egyptians have a firmer grip on their historical past, </w:t>
      </w:r>
      <w:r w:rsidR="000613BC">
        <w:rPr>
          <w:sz w:val="24"/>
          <w:szCs w:val="24"/>
        </w:rPr>
        <w:t xml:space="preserve">and place a great deal more of their cultural identity within that historical past, this too could prompt Herodotus’ Greek audience to also try to base their cultural identity within their historical past rather than their mythological one. </w:t>
      </w:r>
      <w:r w:rsidR="00A538F5">
        <w:rPr>
          <w:sz w:val="24"/>
          <w:szCs w:val="24"/>
        </w:rPr>
        <w:t>Th</w:t>
      </w:r>
      <w:r w:rsidR="00D56C2D">
        <w:rPr>
          <w:sz w:val="24"/>
          <w:szCs w:val="24"/>
        </w:rPr>
        <w:t>e discussion that has taken place here has only covered a few abstracts from Herodotus</w:t>
      </w:r>
      <w:r w:rsidR="00966A13">
        <w:rPr>
          <w:sz w:val="24"/>
          <w:szCs w:val="24"/>
        </w:rPr>
        <w:t>’</w:t>
      </w:r>
      <w:r w:rsidR="00D56C2D">
        <w:rPr>
          <w:sz w:val="24"/>
          <w:szCs w:val="24"/>
        </w:rPr>
        <w:t xml:space="preserve"> writings on Egypt, further research should be done </w:t>
      </w:r>
      <w:r w:rsidR="007D64C4">
        <w:rPr>
          <w:sz w:val="24"/>
          <w:szCs w:val="24"/>
        </w:rPr>
        <w:t xml:space="preserve">on the entirety </w:t>
      </w:r>
      <w:r w:rsidR="00AF17BC">
        <w:rPr>
          <w:sz w:val="24"/>
          <w:szCs w:val="24"/>
        </w:rPr>
        <w:t xml:space="preserve">of book two and the rest of the </w:t>
      </w:r>
      <w:r w:rsidR="00AF17BC">
        <w:rPr>
          <w:i/>
          <w:iCs/>
          <w:sz w:val="24"/>
          <w:szCs w:val="24"/>
        </w:rPr>
        <w:t>Histories</w:t>
      </w:r>
      <w:r w:rsidR="00AF17BC">
        <w:rPr>
          <w:sz w:val="24"/>
          <w:szCs w:val="24"/>
        </w:rPr>
        <w:t xml:space="preserve"> in order to </w:t>
      </w:r>
      <w:r w:rsidR="0096014E">
        <w:rPr>
          <w:sz w:val="24"/>
          <w:szCs w:val="24"/>
        </w:rPr>
        <w:t>establish other instances in which Herodotus has attempted to encourage his audience to assess their own cultural practices and also when he has made attempts to establish a basis for a new Greek cultural identity that is based on the historical past.</w:t>
      </w:r>
    </w:p>
    <w:p w14:paraId="5A3D4993" w14:textId="7C3C7EBD" w:rsidR="00C02855" w:rsidRDefault="00C02855" w:rsidP="00C02855"/>
    <w:p w14:paraId="37D71FE8" w14:textId="52EFDBE0" w:rsidR="00C02855" w:rsidRDefault="00C02855" w:rsidP="00C02855"/>
    <w:p w14:paraId="56D2FCFC" w14:textId="77403CDD" w:rsidR="00C02855" w:rsidRDefault="00C02855" w:rsidP="00C02855"/>
    <w:p w14:paraId="766BEB02" w14:textId="2523AE54" w:rsidR="00C02855" w:rsidRDefault="00C02855" w:rsidP="00C02855"/>
    <w:p w14:paraId="64E39711" w14:textId="0A275D1E" w:rsidR="00C02855" w:rsidRDefault="00C02855" w:rsidP="00C02855"/>
    <w:p w14:paraId="232BF7A1" w14:textId="68C7AA03" w:rsidR="00C02855" w:rsidRDefault="00C02855" w:rsidP="00C02855"/>
    <w:p w14:paraId="4ED21CB7" w14:textId="6DA47A56" w:rsidR="00C02855" w:rsidRDefault="00C02855" w:rsidP="00C02855"/>
    <w:p w14:paraId="59F6179F" w14:textId="50F51BA2" w:rsidR="00C02855" w:rsidRDefault="00C02855" w:rsidP="00C02855"/>
    <w:p w14:paraId="6631ECC4" w14:textId="24551005" w:rsidR="00C02855" w:rsidRDefault="00C02855" w:rsidP="00C02855"/>
    <w:p w14:paraId="6E544A1C" w14:textId="32ABFA27" w:rsidR="00C02855" w:rsidRDefault="00C02855" w:rsidP="00C02855"/>
    <w:p w14:paraId="76BF303C" w14:textId="1FAA55A6" w:rsidR="00C02855" w:rsidRDefault="00C02855" w:rsidP="00C02855"/>
    <w:p w14:paraId="3BF75F3C" w14:textId="77777777" w:rsidR="00C02855" w:rsidRPr="00C02855" w:rsidRDefault="00C02855" w:rsidP="00C02855">
      <w:pPr>
        <w:pStyle w:val="Heading1"/>
        <w:jc w:val="center"/>
        <w:rPr>
          <w:b/>
          <w:bCs/>
          <w:color w:val="auto"/>
        </w:rPr>
      </w:pPr>
      <w:bookmarkStart w:id="4" w:name="_Toc41595507"/>
      <w:r w:rsidRPr="00C02855">
        <w:rPr>
          <w:b/>
          <w:bCs/>
          <w:color w:val="auto"/>
        </w:rPr>
        <w:lastRenderedPageBreak/>
        <w:t>Appendices</w:t>
      </w:r>
      <w:bookmarkEnd w:id="4"/>
    </w:p>
    <w:p w14:paraId="1C0D5A0A" w14:textId="77777777" w:rsidR="00C02855" w:rsidRPr="00C02855" w:rsidRDefault="00C02855" w:rsidP="00C02855">
      <w:pPr>
        <w:pStyle w:val="Heading2"/>
        <w:rPr>
          <w:b/>
          <w:bCs/>
          <w:color w:val="auto"/>
        </w:rPr>
      </w:pPr>
      <w:bookmarkStart w:id="5" w:name="_Toc41595508"/>
      <w:r w:rsidRPr="00C02855">
        <w:rPr>
          <w:b/>
          <w:bCs/>
          <w:color w:val="auto"/>
        </w:rPr>
        <w:t>Appendix One</w:t>
      </w:r>
      <w:bookmarkEnd w:id="5"/>
    </w:p>
    <w:p w14:paraId="4743F1EC" w14:textId="77777777" w:rsidR="00C02855" w:rsidRDefault="00C02855" w:rsidP="00C02855">
      <w:pPr>
        <w:rPr>
          <w:sz w:val="24"/>
          <w:szCs w:val="24"/>
        </w:rPr>
      </w:pPr>
      <w:r>
        <w:rPr>
          <w:sz w:val="24"/>
          <w:szCs w:val="24"/>
        </w:rPr>
        <w:t xml:space="preserve">Abstract from book two of Herodotus’ the </w:t>
      </w:r>
      <w:r>
        <w:rPr>
          <w:i/>
          <w:iCs/>
          <w:sz w:val="24"/>
          <w:szCs w:val="24"/>
        </w:rPr>
        <w:t>Histories</w:t>
      </w:r>
      <w:r>
        <w:rPr>
          <w:sz w:val="24"/>
          <w:szCs w:val="24"/>
        </w:rPr>
        <w:t xml:space="preserve"> centred on Egyptian funerary practices.</w:t>
      </w:r>
    </w:p>
    <w:p w14:paraId="14A4BEBB" w14:textId="77777777" w:rsidR="00C02855" w:rsidRDefault="00C02855" w:rsidP="00C02855">
      <w:pPr>
        <w:jc w:val="center"/>
        <w:rPr>
          <w:sz w:val="24"/>
          <w:szCs w:val="24"/>
        </w:rPr>
      </w:pPr>
      <w:r>
        <w:rPr>
          <w:sz w:val="24"/>
          <w:szCs w:val="24"/>
        </w:rPr>
        <w:t>“</w:t>
      </w:r>
      <w:r w:rsidRPr="004B20EC">
        <w:rPr>
          <w:sz w:val="24"/>
          <w:szCs w:val="24"/>
        </w:rPr>
        <w:t>85. They mourn and bury the dead as I will show. Whenever a man of note is lost to his house by death, all the womenkind of the house daub their faces or heads with mud; then, with all the women of their kin, they leave the corpse in the house, and roam about the city lamenting, with their garments girt round them and their breasts showing; and the men too lament in their place, with garments girt likewise. When this is done, they take the dead body to be embalmed.</w:t>
      </w:r>
    </w:p>
    <w:p w14:paraId="0F35D72A" w14:textId="77777777" w:rsidR="00C02855" w:rsidRDefault="00C02855" w:rsidP="00C02855">
      <w:pPr>
        <w:jc w:val="center"/>
        <w:rPr>
          <w:sz w:val="24"/>
          <w:szCs w:val="24"/>
        </w:rPr>
      </w:pPr>
      <w:r w:rsidRPr="004B20EC">
        <w:rPr>
          <w:sz w:val="24"/>
          <w:szCs w:val="24"/>
        </w:rPr>
        <w:t xml:space="preserve">86. There are men whose whole business this is and who have this special craft. These, when a dead body is brought to them, show the bringers wooden models of corpses, painted in exact imitation; the most perfect manner of embalming belongs, they say, to One whose name it were profane for me to speak in treating of such matters; the second way, which they show, is less perfect than the first, and cheaper, and the third is the least costly of all. Having shown these, they ask the bringers of the body in which fashion they desire to have it prepared. The bearers, having agreed in a price, go their ways, and the workmen, left behind in their place, embalm the body. If they do this in the most perfect way, they first draw out part of the brain through the nostrils with an iron hook, and inject certain drugs into the rest. Then, making a cut near the flank with a sharp knife of Ethiopian stone, they take out all the intestines, and clean the belly, rinsing it with palm wine and bruised spices; and presently, filling the belly with pure ground myrrh and </w:t>
      </w:r>
      <w:proofErr w:type="spellStart"/>
      <w:r w:rsidRPr="004B20EC">
        <w:rPr>
          <w:sz w:val="24"/>
          <w:szCs w:val="24"/>
        </w:rPr>
        <w:t>casia</w:t>
      </w:r>
      <w:proofErr w:type="spellEnd"/>
      <w:r w:rsidRPr="004B20EC">
        <w:rPr>
          <w:sz w:val="24"/>
          <w:szCs w:val="24"/>
        </w:rPr>
        <w:t xml:space="preserve"> and any other spices, save only frankincense, they sew up the anus. Having done this, they conceal the body for seventy days, embalmed in saltpetre; no longer time is allowed for the embalming; and when the seventy days are past they wash the body and wrap the whole of it in bandages of fine linen cloth, anointed with gum, which the Egyptians mostly use instead of glue; which done, they give back the dead man to his friends. These make a hollow wooden figure like a man, in</w:t>
      </w:r>
      <w:r>
        <w:rPr>
          <w:sz w:val="24"/>
          <w:szCs w:val="24"/>
        </w:rPr>
        <w:t xml:space="preserve"> </w:t>
      </w:r>
      <w:r w:rsidRPr="00D0246D">
        <w:rPr>
          <w:sz w:val="24"/>
          <w:szCs w:val="24"/>
        </w:rPr>
        <w:t>which they enclose the corpse, shut it up, and preserve it safe in a coffin-chamber, placed erect against a wall.</w:t>
      </w:r>
      <w:r>
        <w:rPr>
          <w:sz w:val="24"/>
          <w:szCs w:val="24"/>
        </w:rPr>
        <w:t xml:space="preserve"> </w:t>
      </w:r>
    </w:p>
    <w:p w14:paraId="1F8C27D3" w14:textId="77777777" w:rsidR="00C02855" w:rsidRDefault="00C02855" w:rsidP="00C02855">
      <w:pPr>
        <w:jc w:val="center"/>
        <w:rPr>
          <w:sz w:val="24"/>
          <w:szCs w:val="24"/>
        </w:rPr>
      </w:pPr>
      <w:r w:rsidRPr="00D0246D">
        <w:rPr>
          <w:sz w:val="24"/>
          <w:szCs w:val="24"/>
        </w:rPr>
        <w:t>87. This is how they prepare the dead who have wished for the most costly fashion; those whose wish was for the middle and less costly way are prepared in another fashion. The embalmers charge their syringes with cedar oil and therewith fill the belly of the dead man, making no cut, nor removing the intestines, but injecting the drench through the anus and checking it from returning; then they embalm the body for the appointed days; on the last day they let the oil which they poured in pass out again. It has so great power that it brings away the inner parts and intestines all dissolved; the flesh is eaten away by the saltpetre, and in the end nothing is left of the body but skin and bone. Then the embalmers give back the dead body with no more ado.</w:t>
      </w:r>
    </w:p>
    <w:p w14:paraId="5EE07AA7" w14:textId="77777777" w:rsidR="00C02855" w:rsidRDefault="00C02855" w:rsidP="00C02855">
      <w:pPr>
        <w:jc w:val="center"/>
        <w:rPr>
          <w:sz w:val="24"/>
          <w:szCs w:val="24"/>
        </w:rPr>
      </w:pPr>
      <w:r w:rsidRPr="00D0246D">
        <w:rPr>
          <w:sz w:val="24"/>
          <w:szCs w:val="24"/>
        </w:rPr>
        <w:t>88. When they use the third manner of embalming, which is the preparation of the poorer dead, they cleanse the belly with a purge, embalm the body for the seventy days and then give it back to be taken away.</w:t>
      </w:r>
    </w:p>
    <w:p w14:paraId="64CE50ED" w14:textId="77777777" w:rsidR="00C02855" w:rsidRDefault="00C02855" w:rsidP="00C02855">
      <w:pPr>
        <w:jc w:val="center"/>
        <w:rPr>
          <w:sz w:val="24"/>
          <w:szCs w:val="24"/>
        </w:rPr>
      </w:pPr>
      <w:r w:rsidRPr="00D0246D">
        <w:rPr>
          <w:sz w:val="24"/>
          <w:szCs w:val="24"/>
        </w:rPr>
        <w:lastRenderedPageBreak/>
        <w:t>89. Wives of notable men, and women of great beauty and reputation, are not at once given over to the embalmers, but only after they have been dead for three or four days; this is done, that the embalmers may not have carnal intercourse with them. For it is said that one was found having intercourse with a woman newly dead, and was denounced by his fellow-workman.</w:t>
      </w:r>
    </w:p>
    <w:p w14:paraId="5A038264" w14:textId="77777777" w:rsidR="00C02855" w:rsidRDefault="00C02855" w:rsidP="00C02855">
      <w:pPr>
        <w:jc w:val="center"/>
        <w:rPr>
          <w:sz w:val="24"/>
          <w:szCs w:val="24"/>
        </w:rPr>
      </w:pPr>
      <w:r w:rsidRPr="00D0246D">
        <w:rPr>
          <w:sz w:val="24"/>
          <w:szCs w:val="24"/>
        </w:rPr>
        <w:t xml:space="preserve">90. When anyone, be </w:t>
      </w:r>
      <w:proofErr w:type="spellStart"/>
      <w:r w:rsidRPr="00D0246D">
        <w:rPr>
          <w:sz w:val="24"/>
          <w:szCs w:val="24"/>
        </w:rPr>
        <w:t>he</w:t>
      </w:r>
      <w:proofErr w:type="spellEnd"/>
      <w:r w:rsidRPr="00D0246D">
        <w:rPr>
          <w:sz w:val="24"/>
          <w:szCs w:val="24"/>
        </w:rPr>
        <w:t xml:space="preserve"> Egyptian or stranger, is known to have been carried off by a crocodile or drowned by the river itself, such an one must by all means be embalmed and tended as fairly as may be and buried in a sacred coffin by the townsmen of the place where he is cast up; nor may any of his kinsfolk or his friends touch him, but his body is deemed something more than human, and is handled and buried by the priests of the Nile themselves.</w:t>
      </w:r>
      <w:r>
        <w:rPr>
          <w:sz w:val="24"/>
          <w:szCs w:val="24"/>
        </w:rPr>
        <w:t>” Hdt.2.85-90. (Godley, 1920: 369, 371, 373, 375)</w:t>
      </w:r>
    </w:p>
    <w:p w14:paraId="53AE1E8D" w14:textId="77777777" w:rsidR="00C02855" w:rsidRDefault="00C02855" w:rsidP="00C02855">
      <w:pPr>
        <w:jc w:val="center"/>
        <w:rPr>
          <w:sz w:val="24"/>
          <w:szCs w:val="24"/>
        </w:rPr>
      </w:pPr>
    </w:p>
    <w:p w14:paraId="2AA272A4" w14:textId="77777777" w:rsidR="00C02855" w:rsidRDefault="00C02855" w:rsidP="00C02855">
      <w:pPr>
        <w:rPr>
          <w:b/>
          <w:bCs/>
          <w:sz w:val="28"/>
          <w:szCs w:val="28"/>
        </w:rPr>
      </w:pPr>
    </w:p>
    <w:p w14:paraId="79EF88AE" w14:textId="77777777" w:rsidR="00C02855" w:rsidRDefault="00C02855" w:rsidP="00C02855">
      <w:pPr>
        <w:rPr>
          <w:b/>
          <w:bCs/>
          <w:sz w:val="28"/>
          <w:szCs w:val="28"/>
        </w:rPr>
      </w:pPr>
    </w:p>
    <w:p w14:paraId="50F3AAC1" w14:textId="77777777" w:rsidR="00C02855" w:rsidRDefault="00C02855" w:rsidP="00C02855">
      <w:pPr>
        <w:rPr>
          <w:b/>
          <w:bCs/>
          <w:sz w:val="28"/>
          <w:szCs w:val="28"/>
        </w:rPr>
      </w:pPr>
    </w:p>
    <w:p w14:paraId="78BE92AB" w14:textId="77777777" w:rsidR="00C02855" w:rsidRDefault="00C02855" w:rsidP="00C02855">
      <w:pPr>
        <w:rPr>
          <w:b/>
          <w:bCs/>
          <w:sz w:val="28"/>
          <w:szCs w:val="28"/>
        </w:rPr>
      </w:pPr>
    </w:p>
    <w:p w14:paraId="207D0D36" w14:textId="77777777" w:rsidR="00C02855" w:rsidRDefault="00C02855" w:rsidP="00C02855">
      <w:pPr>
        <w:rPr>
          <w:b/>
          <w:bCs/>
          <w:sz w:val="28"/>
          <w:szCs w:val="28"/>
        </w:rPr>
      </w:pPr>
    </w:p>
    <w:p w14:paraId="14BB4284" w14:textId="77777777" w:rsidR="00C02855" w:rsidRDefault="00C02855" w:rsidP="00C02855">
      <w:pPr>
        <w:rPr>
          <w:b/>
          <w:bCs/>
          <w:sz w:val="28"/>
          <w:szCs w:val="28"/>
        </w:rPr>
      </w:pPr>
    </w:p>
    <w:p w14:paraId="0E627DD3" w14:textId="77777777" w:rsidR="00C02855" w:rsidRDefault="00C02855" w:rsidP="00C02855">
      <w:pPr>
        <w:rPr>
          <w:b/>
          <w:bCs/>
          <w:sz w:val="28"/>
          <w:szCs w:val="28"/>
        </w:rPr>
      </w:pPr>
    </w:p>
    <w:p w14:paraId="5317311B" w14:textId="77777777" w:rsidR="00C02855" w:rsidRDefault="00C02855" w:rsidP="00C02855">
      <w:pPr>
        <w:rPr>
          <w:b/>
          <w:bCs/>
          <w:sz w:val="28"/>
          <w:szCs w:val="28"/>
        </w:rPr>
      </w:pPr>
    </w:p>
    <w:p w14:paraId="61B42D6B" w14:textId="77777777" w:rsidR="00C02855" w:rsidRDefault="00C02855" w:rsidP="00C02855">
      <w:pPr>
        <w:rPr>
          <w:b/>
          <w:bCs/>
          <w:sz w:val="28"/>
          <w:szCs w:val="28"/>
        </w:rPr>
      </w:pPr>
    </w:p>
    <w:p w14:paraId="0EB431D7" w14:textId="77777777" w:rsidR="00C02855" w:rsidRDefault="00C02855" w:rsidP="00C02855">
      <w:pPr>
        <w:rPr>
          <w:b/>
          <w:bCs/>
          <w:sz w:val="28"/>
          <w:szCs w:val="28"/>
        </w:rPr>
      </w:pPr>
    </w:p>
    <w:p w14:paraId="4B5C5701" w14:textId="77777777" w:rsidR="00C02855" w:rsidRDefault="00C02855" w:rsidP="00C02855">
      <w:pPr>
        <w:rPr>
          <w:b/>
          <w:bCs/>
          <w:sz w:val="28"/>
          <w:szCs w:val="28"/>
        </w:rPr>
      </w:pPr>
    </w:p>
    <w:p w14:paraId="1C2A3B58" w14:textId="77777777" w:rsidR="00C02855" w:rsidRDefault="00C02855" w:rsidP="00C02855">
      <w:pPr>
        <w:rPr>
          <w:b/>
          <w:bCs/>
          <w:sz w:val="28"/>
          <w:szCs w:val="28"/>
        </w:rPr>
      </w:pPr>
    </w:p>
    <w:p w14:paraId="1B78AAE1" w14:textId="77777777" w:rsidR="00C02855" w:rsidRDefault="00C02855" w:rsidP="00C02855">
      <w:pPr>
        <w:rPr>
          <w:b/>
          <w:bCs/>
          <w:sz w:val="28"/>
          <w:szCs w:val="28"/>
        </w:rPr>
      </w:pPr>
    </w:p>
    <w:p w14:paraId="60DBF18F" w14:textId="77777777" w:rsidR="00C02855" w:rsidRDefault="00C02855" w:rsidP="00C02855">
      <w:pPr>
        <w:rPr>
          <w:b/>
          <w:bCs/>
          <w:sz w:val="28"/>
          <w:szCs w:val="28"/>
        </w:rPr>
      </w:pPr>
    </w:p>
    <w:p w14:paraId="4B138C0D" w14:textId="77777777" w:rsidR="00C02855" w:rsidRDefault="00C02855" w:rsidP="00C02855">
      <w:pPr>
        <w:rPr>
          <w:b/>
          <w:bCs/>
          <w:sz w:val="28"/>
          <w:szCs w:val="28"/>
        </w:rPr>
      </w:pPr>
    </w:p>
    <w:p w14:paraId="798D4ACE" w14:textId="77777777" w:rsidR="00C02855" w:rsidRDefault="00C02855" w:rsidP="00C02855">
      <w:pPr>
        <w:rPr>
          <w:b/>
          <w:bCs/>
          <w:sz w:val="28"/>
          <w:szCs w:val="28"/>
        </w:rPr>
      </w:pPr>
    </w:p>
    <w:p w14:paraId="71563DA3" w14:textId="77777777" w:rsidR="00C02855" w:rsidRDefault="00C02855" w:rsidP="00C02855">
      <w:pPr>
        <w:rPr>
          <w:b/>
          <w:bCs/>
          <w:sz w:val="28"/>
          <w:szCs w:val="28"/>
        </w:rPr>
      </w:pPr>
    </w:p>
    <w:p w14:paraId="01842475" w14:textId="77777777" w:rsidR="00C02855" w:rsidRDefault="00C02855" w:rsidP="00C02855">
      <w:pPr>
        <w:rPr>
          <w:b/>
          <w:bCs/>
          <w:sz w:val="28"/>
          <w:szCs w:val="28"/>
        </w:rPr>
      </w:pPr>
    </w:p>
    <w:p w14:paraId="59D6FA76" w14:textId="6FC8B2E6" w:rsidR="00C02855" w:rsidRPr="00C02855" w:rsidRDefault="00C02855" w:rsidP="00C02855">
      <w:pPr>
        <w:pStyle w:val="Heading2"/>
        <w:rPr>
          <w:b/>
          <w:bCs/>
          <w:color w:val="auto"/>
          <w:sz w:val="28"/>
          <w:szCs w:val="28"/>
        </w:rPr>
      </w:pPr>
      <w:bookmarkStart w:id="6" w:name="_Toc41595509"/>
      <w:r w:rsidRPr="00C02855">
        <w:rPr>
          <w:b/>
          <w:bCs/>
          <w:color w:val="auto"/>
          <w:sz w:val="28"/>
          <w:szCs w:val="28"/>
        </w:rPr>
        <w:lastRenderedPageBreak/>
        <w:t>Appendix Two</w:t>
      </w:r>
      <w:bookmarkEnd w:id="6"/>
    </w:p>
    <w:p w14:paraId="275368A5" w14:textId="6809310B" w:rsidR="00C02855" w:rsidRDefault="00C02855" w:rsidP="00C02855">
      <w:pPr>
        <w:rPr>
          <w:sz w:val="24"/>
          <w:szCs w:val="24"/>
        </w:rPr>
      </w:pPr>
      <w:r>
        <w:rPr>
          <w:sz w:val="24"/>
          <w:szCs w:val="24"/>
        </w:rPr>
        <w:t xml:space="preserve">An abstract from the book two of the </w:t>
      </w:r>
      <w:r>
        <w:rPr>
          <w:i/>
          <w:iCs/>
          <w:sz w:val="24"/>
          <w:szCs w:val="24"/>
        </w:rPr>
        <w:t>Histories</w:t>
      </w:r>
      <w:r>
        <w:rPr>
          <w:sz w:val="24"/>
          <w:szCs w:val="24"/>
        </w:rPr>
        <w:t>, Herodotus tells us of how Amasis became King and the peoples’ attitudes towards him and how he responded.</w:t>
      </w:r>
    </w:p>
    <w:p w14:paraId="45E24B5F" w14:textId="77777777" w:rsidR="00C02855" w:rsidRDefault="00C02855" w:rsidP="00C02855">
      <w:pPr>
        <w:jc w:val="center"/>
        <w:rPr>
          <w:sz w:val="24"/>
          <w:szCs w:val="24"/>
        </w:rPr>
      </w:pPr>
      <w:r>
        <w:rPr>
          <w:sz w:val="24"/>
          <w:szCs w:val="24"/>
        </w:rPr>
        <w:t>“</w:t>
      </w:r>
      <w:r w:rsidRPr="00610F46">
        <w:rPr>
          <w:sz w:val="24"/>
          <w:szCs w:val="24"/>
        </w:rPr>
        <w:t xml:space="preserve">172. </w:t>
      </w:r>
      <w:proofErr w:type="spellStart"/>
      <w:r w:rsidRPr="00610F46">
        <w:rPr>
          <w:sz w:val="24"/>
          <w:szCs w:val="24"/>
        </w:rPr>
        <w:t>Apries</w:t>
      </w:r>
      <w:proofErr w:type="spellEnd"/>
      <w:r w:rsidRPr="00610F46">
        <w:rPr>
          <w:sz w:val="24"/>
          <w:szCs w:val="24"/>
        </w:rPr>
        <w:t xml:space="preserve"> being thus deposed, Amasis became king; he was of a town called </w:t>
      </w:r>
      <w:proofErr w:type="spellStart"/>
      <w:r w:rsidRPr="00610F46">
        <w:rPr>
          <w:sz w:val="24"/>
          <w:szCs w:val="24"/>
        </w:rPr>
        <w:t>Siuph</w:t>
      </w:r>
      <w:proofErr w:type="spellEnd"/>
      <w:r w:rsidRPr="00610F46">
        <w:rPr>
          <w:sz w:val="24"/>
          <w:szCs w:val="24"/>
        </w:rPr>
        <w:t xml:space="preserve"> in the province of </w:t>
      </w:r>
      <w:proofErr w:type="spellStart"/>
      <w:r w:rsidRPr="00610F46">
        <w:rPr>
          <w:sz w:val="24"/>
          <w:szCs w:val="24"/>
        </w:rPr>
        <w:t>Saïs</w:t>
      </w:r>
      <w:proofErr w:type="spellEnd"/>
      <w:r w:rsidRPr="00610F46">
        <w:rPr>
          <w:sz w:val="24"/>
          <w:szCs w:val="24"/>
        </w:rPr>
        <w:t>. Now at first he was contemned and held in but little regard by the Egyptians, as having been but a common man and of no high family; but presently he won them to him by being cunning and not arrogant. He had among his countless treasures a golden foot-bath, in which he and all those who feasted with him were ever wont to wash their feet. This he broke in pieces and made thereof a god’s image, which he set in the most fitting place in the city; and the Egyptians came ever and anon to this image and held it in great reverence. When Amasis knew what the townsmen did, he called the Egyptians together and told them that the image had been made out of the foot-bath; once (said he)</w:t>
      </w:r>
      <w:r w:rsidRPr="00610F46">
        <w:t xml:space="preserve"> </w:t>
      </w:r>
      <w:r w:rsidRPr="00610F46">
        <w:rPr>
          <w:sz w:val="24"/>
          <w:szCs w:val="24"/>
        </w:rPr>
        <w:t>his subjects had washed their feet in it and put it to yet viler uses; now they greatly revered it. “So now” (</w:t>
      </w:r>
      <w:proofErr w:type="spellStart"/>
      <w:r w:rsidRPr="00610F46">
        <w:rPr>
          <w:sz w:val="24"/>
          <w:szCs w:val="24"/>
        </w:rPr>
        <w:t>quoth</w:t>
      </w:r>
      <w:proofErr w:type="spellEnd"/>
      <w:r w:rsidRPr="00610F46">
        <w:rPr>
          <w:sz w:val="24"/>
          <w:szCs w:val="24"/>
        </w:rPr>
        <w:t xml:space="preserve"> he to them) “it has fared with me as with the foot-bath; once I was a common man, now I am your king; it is your duty to honour me and hold me in regard.”</w:t>
      </w:r>
    </w:p>
    <w:p w14:paraId="157255A7" w14:textId="77777777" w:rsidR="00C02855" w:rsidRDefault="00C02855" w:rsidP="00C02855">
      <w:pPr>
        <w:jc w:val="center"/>
        <w:rPr>
          <w:sz w:val="24"/>
          <w:szCs w:val="24"/>
        </w:rPr>
      </w:pPr>
      <w:r w:rsidRPr="00610F46">
        <w:rPr>
          <w:sz w:val="24"/>
          <w:szCs w:val="24"/>
        </w:rPr>
        <w:t>173. In this manner he won the Egyptians to consent to be his slaves; and this is how he ordered his affairs: in the morning, till the filling of the market place, he wrought zealously at such business as came before him; the rest of the day he spent in drinking and jesting with his boon companions in idle and sportive mood. But this displeased his friends, who thus admonished him: “O King, you are ill guided so to demean yourself. We would have you sit aloft on a throne of pride all day doing your business; thus would the Egyptians know that they have a great man for their ruler, and you would have the better name among them; but now your behaviour is nowise royal.” “Nay,” Amasis answered them, “men that have bows bend them at need only; were bows kept for ever bent they would break, and so would be of no avail when they were needed. Such too is the nature of men. Were they to be ever at serious work nor permit themselves a fair share of sport they would go mad or silly ere they knew it; I am well aware of that, and give each of the two its turn.” Such was his answer to his friends.</w:t>
      </w:r>
      <w:r>
        <w:rPr>
          <w:sz w:val="24"/>
          <w:szCs w:val="24"/>
        </w:rPr>
        <w:t>” Hdt.2.172-3. (Godley, 1920: 485, 487)</w:t>
      </w:r>
    </w:p>
    <w:p w14:paraId="1E6D36E2" w14:textId="77777777" w:rsidR="00C02855" w:rsidRDefault="00C02855" w:rsidP="00C02855">
      <w:pPr>
        <w:rPr>
          <w:b/>
          <w:bCs/>
          <w:sz w:val="28"/>
          <w:szCs w:val="28"/>
          <w:u w:val="single"/>
        </w:rPr>
      </w:pPr>
    </w:p>
    <w:p w14:paraId="329B992A" w14:textId="77777777" w:rsidR="00C02855" w:rsidRDefault="00C02855" w:rsidP="00C02855">
      <w:pPr>
        <w:rPr>
          <w:b/>
          <w:bCs/>
          <w:sz w:val="28"/>
          <w:szCs w:val="28"/>
          <w:u w:val="single"/>
        </w:rPr>
      </w:pPr>
    </w:p>
    <w:p w14:paraId="09307EF3" w14:textId="77777777" w:rsidR="00C02855" w:rsidRDefault="00C02855" w:rsidP="00C02855">
      <w:pPr>
        <w:rPr>
          <w:b/>
          <w:bCs/>
          <w:sz w:val="28"/>
          <w:szCs w:val="28"/>
          <w:u w:val="single"/>
        </w:rPr>
      </w:pPr>
    </w:p>
    <w:p w14:paraId="4EBE19E3" w14:textId="77777777" w:rsidR="00C02855" w:rsidRDefault="00C02855" w:rsidP="00C02855">
      <w:pPr>
        <w:rPr>
          <w:b/>
          <w:bCs/>
          <w:sz w:val="28"/>
          <w:szCs w:val="28"/>
          <w:u w:val="single"/>
        </w:rPr>
      </w:pPr>
    </w:p>
    <w:p w14:paraId="40BEA08C" w14:textId="77777777" w:rsidR="00C02855" w:rsidRDefault="00C02855" w:rsidP="00C02855">
      <w:pPr>
        <w:rPr>
          <w:b/>
          <w:bCs/>
          <w:sz w:val="28"/>
          <w:szCs w:val="28"/>
          <w:u w:val="single"/>
        </w:rPr>
      </w:pPr>
    </w:p>
    <w:p w14:paraId="6B0EE738" w14:textId="77777777" w:rsidR="00C02855" w:rsidRDefault="00C02855" w:rsidP="00C02855">
      <w:pPr>
        <w:rPr>
          <w:b/>
          <w:bCs/>
          <w:sz w:val="28"/>
          <w:szCs w:val="28"/>
          <w:u w:val="single"/>
        </w:rPr>
      </w:pPr>
    </w:p>
    <w:p w14:paraId="0337AB10" w14:textId="77777777" w:rsidR="00C02855" w:rsidRDefault="00C02855" w:rsidP="00C02855">
      <w:pPr>
        <w:rPr>
          <w:b/>
          <w:bCs/>
          <w:sz w:val="28"/>
          <w:szCs w:val="28"/>
          <w:u w:val="single"/>
        </w:rPr>
      </w:pPr>
    </w:p>
    <w:p w14:paraId="0641EE67" w14:textId="77777777" w:rsidR="00C02855" w:rsidRDefault="00C02855" w:rsidP="00C02855">
      <w:pPr>
        <w:rPr>
          <w:b/>
          <w:bCs/>
          <w:sz w:val="28"/>
          <w:szCs w:val="28"/>
          <w:u w:val="single"/>
        </w:rPr>
      </w:pPr>
    </w:p>
    <w:p w14:paraId="2E57DD81" w14:textId="77777777" w:rsidR="00C02855" w:rsidRDefault="00C02855" w:rsidP="00C02855">
      <w:pPr>
        <w:rPr>
          <w:b/>
          <w:bCs/>
          <w:sz w:val="28"/>
          <w:szCs w:val="28"/>
          <w:u w:val="single"/>
        </w:rPr>
      </w:pPr>
    </w:p>
    <w:p w14:paraId="5E4CAED9" w14:textId="7EBCDC2E" w:rsidR="00C02855" w:rsidRPr="00C02855" w:rsidRDefault="00C02855" w:rsidP="00C02855">
      <w:pPr>
        <w:pStyle w:val="Heading2"/>
        <w:rPr>
          <w:b/>
          <w:bCs/>
          <w:color w:val="auto"/>
          <w:sz w:val="28"/>
          <w:szCs w:val="28"/>
        </w:rPr>
      </w:pPr>
      <w:bookmarkStart w:id="7" w:name="_Toc41595510"/>
      <w:r w:rsidRPr="00C02855">
        <w:rPr>
          <w:b/>
          <w:bCs/>
          <w:color w:val="auto"/>
          <w:sz w:val="28"/>
          <w:szCs w:val="28"/>
        </w:rPr>
        <w:lastRenderedPageBreak/>
        <w:t>Appendix Three</w:t>
      </w:r>
      <w:bookmarkEnd w:id="7"/>
    </w:p>
    <w:p w14:paraId="3EDCAA1A" w14:textId="77777777" w:rsidR="00C02855" w:rsidRPr="00B0520F" w:rsidRDefault="00C02855" w:rsidP="00C02855">
      <w:pPr>
        <w:rPr>
          <w:sz w:val="24"/>
          <w:szCs w:val="24"/>
        </w:rPr>
      </w:pPr>
      <w:r>
        <w:rPr>
          <w:sz w:val="24"/>
          <w:szCs w:val="24"/>
        </w:rPr>
        <w:t xml:space="preserve">Extended but not complete version of Herodotus’ lengthy observations of Egyptian Culture that he has detailed in book two of the </w:t>
      </w:r>
      <w:r>
        <w:rPr>
          <w:i/>
          <w:iCs/>
          <w:sz w:val="24"/>
          <w:szCs w:val="24"/>
        </w:rPr>
        <w:t>Histories</w:t>
      </w:r>
      <w:r>
        <w:rPr>
          <w:sz w:val="24"/>
          <w:szCs w:val="24"/>
        </w:rPr>
        <w:t>.</w:t>
      </w:r>
    </w:p>
    <w:p w14:paraId="3276772C" w14:textId="77777777" w:rsidR="00C02855" w:rsidRPr="00DB1314" w:rsidRDefault="00C02855" w:rsidP="00C02855">
      <w:pPr>
        <w:jc w:val="center"/>
        <w:rPr>
          <w:rFonts w:cstheme="minorHAnsi"/>
          <w:sz w:val="24"/>
          <w:szCs w:val="24"/>
        </w:rPr>
      </w:pPr>
      <w:r w:rsidRPr="00DB1314">
        <w:rPr>
          <w:rFonts w:cstheme="minorHAnsi"/>
          <w:sz w:val="24"/>
          <w:szCs w:val="24"/>
        </w:rPr>
        <w:t>“As the Egyptians have a climate peculiar to themselves, and their river is different in its nature from all other rivers, so have they made all their customs and laws of a kind contrary for the most part to those of all other men. Among them, the women buy and sell, the men abide at home and weave; and whereas in weaving all others push the woof upwards, the Egyptians push it downwards. Men carry burdens on their heads, women on their shoulders. Women make water standing, men sitting. They relieve nature indoors, and eat out of doors in the streets, giving the reason, that things unseemly but necessary should be done in secret, things not unseemly should be done openly. No woman is dedicated to the service of any god or goddess; men are dedicated to all deities male or female. Sons are not compelled against their will to support their parents, but daughters must do so though they be unwilling.</w:t>
      </w:r>
    </w:p>
    <w:p w14:paraId="05C690A7" w14:textId="77777777" w:rsidR="00C02855" w:rsidRPr="00DB1314" w:rsidRDefault="00C02855" w:rsidP="00C02855">
      <w:pPr>
        <w:pStyle w:val="noindent"/>
        <w:spacing w:before="240" w:beforeAutospacing="0" w:after="0" w:afterAutospacing="0" w:line="360" w:lineRule="atLeast"/>
        <w:jc w:val="center"/>
        <w:rPr>
          <w:rFonts w:asciiTheme="minorHAnsi" w:hAnsiTheme="minorHAnsi" w:cstheme="minorHAnsi"/>
          <w:color w:val="333333"/>
          <w:spacing w:val="-2"/>
        </w:rPr>
      </w:pPr>
      <w:r w:rsidRPr="00DB1314">
        <w:rPr>
          <w:rFonts w:asciiTheme="minorHAnsi" w:hAnsiTheme="minorHAnsi" w:cstheme="minorHAnsi"/>
        </w:rPr>
        <w:t xml:space="preserve">36. Everywhere else, priests of the gods wear their hair long; in Egypt they are shaven. With all other men, in mourning for the dead those most nearly concerned have their heads shaven; Egyptians are shaven at other times, but after a death they let their hair and beard grow. The Egyptians are the only people who keep their animals with them in the house. Whereas all others live on wheat and barley, it is the greatest disgrace for an Egyptian so to live; they make food from a coarse grain which some call </w:t>
      </w:r>
      <w:r w:rsidRPr="00DB1314">
        <w:rPr>
          <w:rFonts w:asciiTheme="minorHAnsi" w:hAnsiTheme="minorHAnsi" w:cstheme="minorHAnsi"/>
          <w:color w:val="333333"/>
          <w:spacing w:val="-2"/>
        </w:rPr>
        <w:t>spelt. They knead dough with their feet, and gather mud and dung with their hands. The Egyptians and those who have learnt it from them are the only people who practise circumcision. Every man has two garments, every woman only one. The rings and sheets of sails are made fast elsewhere outside the boat, but inside it in Egypt. The Greeks write and calculate by moving the hand from left to right; the Egyptians do contrariwise; yet they say that their way of writing is towards the right, and the Greek way towards the left. They use two kinds of writing; one is called sacred, the other common.</w:t>
      </w:r>
    </w:p>
    <w:p w14:paraId="2DA81CF4" w14:textId="77777777" w:rsidR="00C02855" w:rsidRPr="00DB1314" w:rsidRDefault="00C02855" w:rsidP="00C02855">
      <w:pPr>
        <w:pStyle w:val="noindent"/>
        <w:spacing w:before="240" w:beforeAutospacing="0" w:after="0" w:afterAutospacing="0" w:line="360" w:lineRule="atLeast"/>
        <w:jc w:val="center"/>
        <w:rPr>
          <w:rFonts w:asciiTheme="minorHAnsi" w:hAnsiTheme="minorHAnsi" w:cstheme="minorHAnsi"/>
          <w:color w:val="333333"/>
          <w:spacing w:val="-2"/>
        </w:rPr>
      </w:pPr>
      <w:r w:rsidRPr="00DB1314">
        <w:rPr>
          <w:rFonts w:asciiTheme="minorHAnsi" w:hAnsiTheme="minorHAnsi" w:cstheme="minorHAnsi"/>
          <w:color w:val="333333"/>
          <w:spacing w:val="-2"/>
        </w:rPr>
        <w:t>37. They are beyond measure religious, more than any other nation; and these are among their customs:—They drink from cups of bronze, which they cleanse out daily; this is done not by some but by all. They are especially careful ever to wear newly-washed linen raiment. They practise circumcision for cleanliness’ sake; for they set cleanness above seemliness. Their priests shave the whole body every other day, that no lice or aught else that is foul may infest them in their service of the gods. The priests wear a single linen garment and sandals of papyrus</w:t>
      </w:r>
      <w:hyperlink r:id="rId9" w:anchor="note_LCL117_319_2" w:history="1">
        <w:r w:rsidRPr="00DB1314">
          <w:rPr>
            <w:rStyle w:val="Hyperlink"/>
            <w:rFonts w:asciiTheme="minorHAnsi" w:eastAsiaTheme="minorEastAsia" w:hAnsiTheme="minorHAnsi" w:cstheme="minorHAnsi"/>
            <w:color w:val="777777"/>
            <w:spacing w:val="-2"/>
            <w:vertAlign w:val="superscript"/>
          </w:rPr>
          <w:t>2</w:t>
        </w:r>
      </w:hyperlink>
      <w:r w:rsidRPr="00DB1314">
        <w:rPr>
          <w:rFonts w:asciiTheme="minorHAnsi" w:hAnsiTheme="minorHAnsi" w:cstheme="minorHAnsi"/>
          <w:color w:val="333333"/>
          <w:spacing w:val="-2"/>
        </w:rPr>
        <w:t xml:space="preserve">: they may take no other kind of clothing or footwear. Twice a day and twice every night they wash in cold water. Their religious observances are, one may say, innumerable. But also they receive many benefits; they neither consume nor spend aught of </w:t>
      </w:r>
      <w:proofErr w:type="spellStart"/>
      <w:r w:rsidRPr="00DB1314">
        <w:rPr>
          <w:rFonts w:asciiTheme="minorHAnsi" w:hAnsiTheme="minorHAnsi" w:cstheme="minorHAnsi"/>
          <w:color w:val="333333"/>
          <w:spacing w:val="-2"/>
        </w:rPr>
        <w:t>heir</w:t>
      </w:r>
      <w:proofErr w:type="spellEnd"/>
      <w:r w:rsidRPr="00DB1314">
        <w:rPr>
          <w:rFonts w:asciiTheme="minorHAnsi" w:hAnsiTheme="minorHAnsi" w:cstheme="minorHAnsi"/>
          <w:color w:val="333333"/>
          <w:spacing w:val="-2"/>
        </w:rPr>
        <w:t xml:space="preserve"> own; sacred food is cooked for them, to each man is brought every day flesh of beeves and geese in great abundance, and wine of grapes too is given to them. They may not eat fish. The Egyptians sow </w:t>
      </w:r>
      <w:r w:rsidRPr="00DB1314">
        <w:rPr>
          <w:rFonts w:asciiTheme="minorHAnsi" w:hAnsiTheme="minorHAnsi" w:cstheme="minorHAnsi"/>
          <w:color w:val="333333"/>
          <w:spacing w:val="-2"/>
        </w:rPr>
        <w:lastRenderedPageBreak/>
        <w:t>no beans in their country; if any grow, they will not eat them either raw or cooked; the priests cannot endure even to see them, considering beans an unclean kind of pulse. Many (not one alone) are dedicated to the service of each god. One of these is the high priest; and when a high priest dies his son succeeds to his office.”</w:t>
      </w:r>
      <w:r>
        <w:rPr>
          <w:rFonts w:asciiTheme="minorHAnsi" w:hAnsiTheme="minorHAnsi" w:cstheme="minorHAnsi"/>
          <w:color w:val="333333"/>
          <w:spacing w:val="-2"/>
        </w:rPr>
        <w:t xml:space="preserve"> Hdt.2.35-37 (trans. Godley, 1920: 317, 319, 321)</w:t>
      </w:r>
    </w:p>
    <w:p w14:paraId="256B7EA8" w14:textId="77777777" w:rsidR="00C02855" w:rsidRDefault="00C02855" w:rsidP="00C02855">
      <w:pPr>
        <w:jc w:val="center"/>
        <w:rPr>
          <w:rFonts w:cstheme="minorHAnsi"/>
          <w:sz w:val="24"/>
          <w:szCs w:val="24"/>
        </w:rPr>
      </w:pPr>
    </w:p>
    <w:p w14:paraId="27E6A77C" w14:textId="77777777" w:rsidR="00C02855" w:rsidRDefault="00C02855" w:rsidP="00C02855">
      <w:pPr>
        <w:jc w:val="center"/>
        <w:rPr>
          <w:rFonts w:cstheme="minorHAnsi"/>
          <w:sz w:val="24"/>
          <w:szCs w:val="24"/>
        </w:rPr>
      </w:pPr>
    </w:p>
    <w:p w14:paraId="56B3F937" w14:textId="77777777" w:rsidR="00C02855" w:rsidRDefault="00C02855" w:rsidP="00C02855">
      <w:pPr>
        <w:rPr>
          <w:rFonts w:cstheme="minorHAnsi"/>
          <w:b/>
          <w:bCs/>
          <w:sz w:val="28"/>
          <w:szCs w:val="28"/>
        </w:rPr>
      </w:pPr>
    </w:p>
    <w:p w14:paraId="516CA386" w14:textId="77777777" w:rsidR="00C02855" w:rsidRDefault="00C02855" w:rsidP="00C02855">
      <w:pPr>
        <w:rPr>
          <w:rFonts w:cstheme="minorHAnsi"/>
          <w:b/>
          <w:bCs/>
          <w:sz w:val="28"/>
          <w:szCs w:val="28"/>
        </w:rPr>
      </w:pPr>
    </w:p>
    <w:p w14:paraId="4FCA1EC6" w14:textId="77777777" w:rsidR="00C02855" w:rsidRDefault="00C02855" w:rsidP="00C02855">
      <w:pPr>
        <w:rPr>
          <w:rFonts w:cstheme="minorHAnsi"/>
          <w:b/>
          <w:bCs/>
          <w:sz w:val="28"/>
          <w:szCs w:val="28"/>
        </w:rPr>
      </w:pPr>
    </w:p>
    <w:p w14:paraId="180B7CA1" w14:textId="77777777" w:rsidR="00C02855" w:rsidRDefault="00C02855" w:rsidP="00C02855">
      <w:pPr>
        <w:rPr>
          <w:rFonts w:cstheme="minorHAnsi"/>
          <w:b/>
          <w:bCs/>
          <w:sz w:val="28"/>
          <w:szCs w:val="28"/>
        </w:rPr>
      </w:pPr>
    </w:p>
    <w:p w14:paraId="0BB8F925" w14:textId="77777777" w:rsidR="00C02855" w:rsidRDefault="00C02855" w:rsidP="00C02855">
      <w:pPr>
        <w:rPr>
          <w:rFonts w:cstheme="minorHAnsi"/>
          <w:b/>
          <w:bCs/>
          <w:sz w:val="28"/>
          <w:szCs w:val="28"/>
        </w:rPr>
      </w:pPr>
    </w:p>
    <w:p w14:paraId="523AACF3" w14:textId="77777777" w:rsidR="00C02855" w:rsidRDefault="00C02855" w:rsidP="00C02855">
      <w:pPr>
        <w:rPr>
          <w:rFonts w:cstheme="minorHAnsi"/>
          <w:b/>
          <w:bCs/>
          <w:sz w:val="28"/>
          <w:szCs w:val="28"/>
        </w:rPr>
      </w:pPr>
    </w:p>
    <w:p w14:paraId="3009BC12" w14:textId="77777777" w:rsidR="00C02855" w:rsidRDefault="00C02855" w:rsidP="00C02855">
      <w:pPr>
        <w:rPr>
          <w:rFonts w:cstheme="minorHAnsi"/>
          <w:b/>
          <w:bCs/>
          <w:sz w:val="28"/>
          <w:szCs w:val="28"/>
        </w:rPr>
      </w:pPr>
    </w:p>
    <w:p w14:paraId="0080D78F" w14:textId="77777777" w:rsidR="00C02855" w:rsidRDefault="00C02855" w:rsidP="00C02855">
      <w:pPr>
        <w:rPr>
          <w:rFonts w:cstheme="minorHAnsi"/>
          <w:b/>
          <w:bCs/>
          <w:sz w:val="28"/>
          <w:szCs w:val="28"/>
        </w:rPr>
      </w:pPr>
    </w:p>
    <w:p w14:paraId="69DA3455" w14:textId="77777777" w:rsidR="00C02855" w:rsidRDefault="00C02855" w:rsidP="00C02855">
      <w:pPr>
        <w:rPr>
          <w:rFonts w:cstheme="minorHAnsi"/>
          <w:b/>
          <w:bCs/>
          <w:sz w:val="28"/>
          <w:szCs w:val="28"/>
        </w:rPr>
      </w:pPr>
    </w:p>
    <w:p w14:paraId="7316813C" w14:textId="77777777" w:rsidR="00C02855" w:rsidRDefault="00C02855" w:rsidP="00C02855">
      <w:pPr>
        <w:rPr>
          <w:rFonts w:cstheme="minorHAnsi"/>
          <w:b/>
          <w:bCs/>
          <w:sz w:val="28"/>
          <w:szCs w:val="28"/>
        </w:rPr>
      </w:pPr>
    </w:p>
    <w:p w14:paraId="4168D6BB" w14:textId="77777777" w:rsidR="00C02855" w:rsidRDefault="00C02855" w:rsidP="00C02855">
      <w:pPr>
        <w:rPr>
          <w:rFonts w:cstheme="minorHAnsi"/>
          <w:b/>
          <w:bCs/>
          <w:sz w:val="28"/>
          <w:szCs w:val="28"/>
        </w:rPr>
      </w:pPr>
    </w:p>
    <w:p w14:paraId="6E028831" w14:textId="77777777" w:rsidR="00C02855" w:rsidRDefault="00C02855" w:rsidP="00C02855">
      <w:pPr>
        <w:rPr>
          <w:rFonts w:cstheme="minorHAnsi"/>
          <w:b/>
          <w:bCs/>
          <w:sz w:val="28"/>
          <w:szCs w:val="28"/>
        </w:rPr>
      </w:pPr>
    </w:p>
    <w:p w14:paraId="722FABD8" w14:textId="77777777" w:rsidR="00C02855" w:rsidRDefault="00C02855" w:rsidP="00C02855">
      <w:pPr>
        <w:rPr>
          <w:rFonts w:cstheme="minorHAnsi"/>
          <w:b/>
          <w:bCs/>
          <w:sz w:val="28"/>
          <w:szCs w:val="28"/>
        </w:rPr>
      </w:pPr>
    </w:p>
    <w:p w14:paraId="29E07AFA" w14:textId="77777777" w:rsidR="00C02855" w:rsidRDefault="00C02855" w:rsidP="00C02855">
      <w:pPr>
        <w:rPr>
          <w:rFonts w:cstheme="minorHAnsi"/>
          <w:b/>
          <w:bCs/>
          <w:sz w:val="28"/>
          <w:szCs w:val="28"/>
        </w:rPr>
      </w:pPr>
    </w:p>
    <w:p w14:paraId="23DA85E4" w14:textId="77777777" w:rsidR="00C02855" w:rsidRDefault="00C02855" w:rsidP="00C02855">
      <w:pPr>
        <w:rPr>
          <w:rFonts w:cstheme="minorHAnsi"/>
          <w:b/>
          <w:bCs/>
          <w:sz w:val="28"/>
          <w:szCs w:val="28"/>
        </w:rPr>
      </w:pPr>
    </w:p>
    <w:p w14:paraId="114F30BB" w14:textId="77777777" w:rsidR="00C02855" w:rsidRDefault="00C02855" w:rsidP="00C02855">
      <w:pPr>
        <w:rPr>
          <w:rFonts w:cstheme="minorHAnsi"/>
          <w:b/>
          <w:bCs/>
          <w:sz w:val="28"/>
          <w:szCs w:val="28"/>
        </w:rPr>
      </w:pPr>
    </w:p>
    <w:p w14:paraId="260D328D" w14:textId="77777777" w:rsidR="00C02855" w:rsidRDefault="00C02855" w:rsidP="00C02855">
      <w:pPr>
        <w:rPr>
          <w:rFonts w:cstheme="minorHAnsi"/>
          <w:b/>
          <w:bCs/>
          <w:sz w:val="28"/>
          <w:szCs w:val="28"/>
        </w:rPr>
      </w:pPr>
    </w:p>
    <w:p w14:paraId="63592309" w14:textId="77777777" w:rsidR="00C02855" w:rsidRDefault="00C02855" w:rsidP="00C02855">
      <w:pPr>
        <w:rPr>
          <w:rFonts w:cstheme="minorHAnsi"/>
          <w:b/>
          <w:bCs/>
          <w:sz w:val="28"/>
          <w:szCs w:val="28"/>
        </w:rPr>
      </w:pPr>
    </w:p>
    <w:p w14:paraId="6DA20BF9" w14:textId="77777777" w:rsidR="00C02855" w:rsidRDefault="00C02855" w:rsidP="00C02855">
      <w:pPr>
        <w:rPr>
          <w:rFonts w:cstheme="minorHAnsi"/>
          <w:b/>
          <w:bCs/>
          <w:sz w:val="28"/>
          <w:szCs w:val="28"/>
        </w:rPr>
      </w:pPr>
    </w:p>
    <w:p w14:paraId="7CB24B63" w14:textId="77777777" w:rsidR="00C02855" w:rsidRDefault="00C02855" w:rsidP="00C02855">
      <w:pPr>
        <w:rPr>
          <w:rFonts w:cstheme="minorHAnsi"/>
          <w:b/>
          <w:bCs/>
          <w:sz w:val="28"/>
          <w:szCs w:val="28"/>
        </w:rPr>
      </w:pPr>
    </w:p>
    <w:p w14:paraId="5F02FF96" w14:textId="77777777" w:rsidR="00C02855" w:rsidRDefault="00C02855" w:rsidP="00C02855">
      <w:pPr>
        <w:rPr>
          <w:rFonts w:cstheme="minorHAnsi"/>
          <w:b/>
          <w:bCs/>
          <w:sz w:val="28"/>
          <w:szCs w:val="28"/>
        </w:rPr>
      </w:pPr>
    </w:p>
    <w:p w14:paraId="1114099E" w14:textId="77777777" w:rsidR="00C02855" w:rsidRPr="00C02855" w:rsidRDefault="00C02855" w:rsidP="00C02855">
      <w:pPr>
        <w:pStyle w:val="Heading2"/>
        <w:rPr>
          <w:b/>
          <w:bCs/>
          <w:color w:val="auto"/>
          <w:sz w:val="28"/>
          <w:szCs w:val="28"/>
        </w:rPr>
      </w:pPr>
      <w:bookmarkStart w:id="8" w:name="_Toc41595511"/>
      <w:r w:rsidRPr="00C02855">
        <w:rPr>
          <w:b/>
          <w:bCs/>
          <w:color w:val="auto"/>
          <w:sz w:val="28"/>
          <w:szCs w:val="28"/>
        </w:rPr>
        <w:lastRenderedPageBreak/>
        <w:t>Appendix Four</w:t>
      </w:r>
      <w:bookmarkEnd w:id="8"/>
    </w:p>
    <w:p w14:paraId="48C1A9FF" w14:textId="77777777" w:rsidR="00C02855" w:rsidRPr="00A62091" w:rsidRDefault="00C02855" w:rsidP="00C02855">
      <w:pPr>
        <w:rPr>
          <w:rFonts w:cstheme="minorHAnsi"/>
          <w:sz w:val="24"/>
          <w:szCs w:val="24"/>
        </w:rPr>
      </w:pPr>
      <w:r>
        <w:rPr>
          <w:rFonts w:cstheme="minorHAnsi"/>
          <w:sz w:val="24"/>
          <w:szCs w:val="24"/>
        </w:rPr>
        <w:t xml:space="preserve">Abstract from book to of the </w:t>
      </w:r>
      <w:r>
        <w:rPr>
          <w:rFonts w:cstheme="minorHAnsi"/>
          <w:i/>
          <w:iCs/>
          <w:sz w:val="24"/>
          <w:szCs w:val="24"/>
        </w:rPr>
        <w:t>Histories</w:t>
      </w:r>
      <w:r>
        <w:rPr>
          <w:rFonts w:cstheme="minorHAnsi"/>
          <w:sz w:val="24"/>
          <w:szCs w:val="24"/>
        </w:rPr>
        <w:t xml:space="preserve"> written by Herodotus detailing Herodotus’ findings of Egyptian historical writings on the genealogies of their priests, kings and gods.</w:t>
      </w:r>
    </w:p>
    <w:p w14:paraId="48A36CEF" w14:textId="77777777" w:rsidR="00C02855" w:rsidRPr="0099796D" w:rsidRDefault="00C02855" w:rsidP="00C02855">
      <w:pPr>
        <w:pStyle w:val="NormalWeb"/>
        <w:spacing w:before="0" w:beforeAutospacing="0" w:after="0" w:afterAutospacing="0" w:line="360" w:lineRule="atLeast"/>
        <w:jc w:val="center"/>
        <w:rPr>
          <w:rFonts w:asciiTheme="minorHAnsi" w:hAnsiTheme="minorHAnsi" w:cstheme="minorHAnsi"/>
          <w:color w:val="333333"/>
          <w:spacing w:val="-2"/>
        </w:rPr>
      </w:pPr>
      <w:r w:rsidRPr="0099796D">
        <w:rPr>
          <w:rFonts w:asciiTheme="minorHAnsi" w:hAnsiTheme="minorHAnsi" w:cstheme="minorHAnsi"/>
          <w:color w:val="333333"/>
          <w:spacing w:val="-2"/>
        </w:rPr>
        <w:t>“142. Thus far went the record given me by the Egyptians and their priests; and they showed me that the time from the first king to that priest of Hephaestus, who was the last, covered three hundred and forty-one generations of men, and that in this time such also had been the number of their kings, and of their high priests. Now three hundred generations make up ten thousand years, three generations being equal to a century. And over and above the three hundred the remaining forty-one cover thirteen hundred and forty years. Thus the whole sum is eleven thousand three hundred and forty years; in all which time (they said) they had had no king who was a god in human form, nor had there been any such thing either before or after those years among the rest of the kings of Egypt. Four times in this period (so they told me) the sun rose contrary to his wont; twice he rose where he now sets, and twice he set where now he rises; yet Egypt at these times underwent no change, neither in the produce of the river and the land, nor in the matter of sickness and death.</w:t>
      </w:r>
    </w:p>
    <w:p w14:paraId="4096E9BC" w14:textId="77777777" w:rsidR="00C02855" w:rsidRPr="0099796D" w:rsidRDefault="00C02855" w:rsidP="00C02855">
      <w:pPr>
        <w:pStyle w:val="NormalWeb"/>
        <w:spacing w:after="0" w:line="360" w:lineRule="atLeast"/>
        <w:ind w:firstLine="360"/>
        <w:jc w:val="center"/>
        <w:rPr>
          <w:rFonts w:asciiTheme="minorHAnsi" w:hAnsiTheme="minorHAnsi" w:cstheme="minorHAnsi"/>
          <w:color w:val="333333"/>
          <w:spacing w:val="-2"/>
        </w:rPr>
      </w:pPr>
      <w:r w:rsidRPr="0099796D">
        <w:rPr>
          <w:rFonts w:asciiTheme="minorHAnsi" w:hAnsiTheme="minorHAnsi" w:cstheme="minorHAnsi"/>
          <w:color w:val="333333"/>
          <w:spacing w:val="-2"/>
        </w:rPr>
        <w:t>143. Hecataeus</w:t>
      </w:r>
      <w:hyperlink r:id="rId10" w:anchor="note_LCL117_449_1" w:history="1">
        <w:r w:rsidRPr="0099796D">
          <w:rPr>
            <w:rStyle w:val="Hyperlink"/>
            <w:rFonts w:asciiTheme="minorHAnsi" w:eastAsiaTheme="minorEastAsia" w:hAnsiTheme="minorHAnsi" w:cstheme="minorHAnsi"/>
            <w:color w:val="777777"/>
            <w:spacing w:val="-2"/>
            <w:vertAlign w:val="superscript"/>
          </w:rPr>
          <w:t>1</w:t>
        </w:r>
      </w:hyperlink>
      <w:r w:rsidRPr="0099796D">
        <w:rPr>
          <w:rFonts w:asciiTheme="minorHAnsi" w:hAnsiTheme="minorHAnsi" w:cstheme="minorHAnsi"/>
          <w:color w:val="333333"/>
          <w:spacing w:val="-2"/>
        </w:rPr>
        <w:t xml:space="preserve"> the historian was once at Thebes, where he made for himself a genealogy which connected him by lineage with a god in the sixteenth generation. But the priests did for him what they did for me (who had not traced my own lineage). They brought me into the great inner court of the temple and showed me there wooden figures which they counted up to the number they had already given, for every high priest sets there in his lifetime a statue of himself; counting and pointing to these, the priests showed me that each inherited from his father; they went through the whole tale of figures, back to the earliest from that of him who had </w:t>
      </w:r>
      <w:proofErr w:type="spellStart"/>
      <w:r w:rsidRPr="0099796D">
        <w:rPr>
          <w:rFonts w:asciiTheme="minorHAnsi" w:hAnsiTheme="minorHAnsi" w:cstheme="minorHAnsi"/>
          <w:color w:val="333333"/>
          <w:spacing w:val="-2"/>
        </w:rPr>
        <w:t>lateliest</w:t>
      </w:r>
      <w:proofErr w:type="spellEnd"/>
      <w:r w:rsidRPr="0099796D">
        <w:rPr>
          <w:rFonts w:asciiTheme="minorHAnsi" w:hAnsiTheme="minorHAnsi" w:cstheme="minorHAnsi"/>
          <w:color w:val="333333"/>
          <w:spacing w:val="-2"/>
        </w:rPr>
        <w:t xml:space="preserve"> died. Thus when Hecataeus had traced his descent and claimed that his sixteenth forefather was a god, the priests too traced a line of descent according to the method of their counting; for they would not be persuaded by him that a man could be descended from a god; they traced descent through the whole line of three hundred and forty-five figures, not connecting it with any ancestral god or hero, but declaring each figure to be a “</w:t>
      </w:r>
      <w:proofErr w:type="spellStart"/>
      <w:r w:rsidRPr="0099796D">
        <w:rPr>
          <w:rFonts w:asciiTheme="minorHAnsi" w:hAnsiTheme="minorHAnsi" w:cstheme="minorHAnsi"/>
          <w:color w:val="333333"/>
          <w:spacing w:val="-2"/>
        </w:rPr>
        <w:t>Piromis</w:t>
      </w:r>
      <w:proofErr w:type="spellEnd"/>
      <w:r w:rsidRPr="0099796D">
        <w:rPr>
          <w:rFonts w:asciiTheme="minorHAnsi" w:hAnsiTheme="minorHAnsi" w:cstheme="minorHAnsi"/>
          <w:color w:val="333333"/>
          <w:spacing w:val="-2"/>
        </w:rPr>
        <w:t>” the son of a “</w:t>
      </w:r>
      <w:proofErr w:type="spellStart"/>
      <w:r w:rsidRPr="0099796D">
        <w:rPr>
          <w:rFonts w:asciiTheme="minorHAnsi" w:hAnsiTheme="minorHAnsi" w:cstheme="minorHAnsi"/>
          <w:color w:val="333333"/>
          <w:spacing w:val="-2"/>
        </w:rPr>
        <w:t>Piromis</w:t>
      </w:r>
      <w:proofErr w:type="spellEnd"/>
      <w:r w:rsidRPr="0099796D">
        <w:rPr>
          <w:rFonts w:asciiTheme="minorHAnsi" w:hAnsiTheme="minorHAnsi" w:cstheme="minorHAnsi"/>
          <w:color w:val="333333"/>
          <w:spacing w:val="-2"/>
        </w:rPr>
        <w:t>,” that is, in the Greek language, one who is in all respects a good man.</w:t>
      </w:r>
    </w:p>
    <w:p w14:paraId="7891B420" w14:textId="77777777" w:rsidR="00C02855" w:rsidRDefault="00C02855" w:rsidP="00C02855">
      <w:pPr>
        <w:pStyle w:val="NormalWeb"/>
        <w:spacing w:before="0" w:beforeAutospacing="0" w:after="0" w:afterAutospacing="0" w:line="360" w:lineRule="atLeast"/>
        <w:ind w:firstLine="360"/>
        <w:jc w:val="center"/>
        <w:rPr>
          <w:rFonts w:asciiTheme="minorHAnsi" w:hAnsiTheme="minorHAnsi" w:cstheme="minorHAnsi"/>
          <w:color w:val="333333"/>
          <w:spacing w:val="-2"/>
        </w:rPr>
      </w:pPr>
      <w:r w:rsidRPr="0099796D">
        <w:rPr>
          <w:rFonts w:asciiTheme="minorHAnsi" w:hAnsiTheme="minorHAnsi" w:cstheme="minorHAnsi"/>
          <w:color w:val="333333"/>
          <w:spacing w:val="-2"/>
        </w:rPr>
        <w:t>144. Thus they showed that all whose statues stood there had been good men, but wholly unlike gods. Before these men, they said, the rulers of Egypt were gods, but none had been contemporary with the human priests. Of these gods one or other had in succession been supreme; the last of them to rule the country was Osiris’ son Horus, called by the Greeks Apollo; he deposed Typhon, and was the last divine king of Egypt. Osiris is, in the Greek language, Dionysus.</w:t>
      </w:r>
    </w:p>
    <w:p w14:paraId="08B81FDF" w14:textId="77777777" w:rsidR="00C02855" w:rsidRPr="0099796D" w:rsidRDefault="00C02855" w:rsidP="00C02855">
      <w:pPr>
        <w:pStyle w:val="NormalWeb"/>
        <w:spacing w:after="0" w:line="360" w:lineRule="atLeast"/>
        <w:ind w:firstLine="360"/>
        <w:jc w:val="center"/>
        <w:rPr>
          <w:rFonts w:asciiTheme="minorHAnsi" w:hAnsiTheme="minorHAnsi" w:cstheme="minorHAnsi"/>
          <w:color w:val="333333"/>
          <w:spacing w:val="-2"/>
        </w:rPr>
      </w:pPr>
      <w:r w:rsidRPr="0099796D">
        <w:rPr>
          <w:rFonts w:asciiTheme="minorHAnsi" w:hAnsiTheme="minorHAnsi" w:cstheme="minorHAnsi"/>
          <w:color w:val="333333"/>
          <w:spacing w:val="-2"/>
        </w:rPr>
        <w:t xml:space="preserve">145. Among the Greeks, Heracles, Dionysus, and Pan are held to be the youngest of the gods. But in Egypt Pan is the most ancient of these and is one of the eight gods who are said </w:t>
      </w:r>
      <w:r w:rsidRPr="0099796D">
        <w:rPr>
          <w:rFonts w:asciiTheme="minorHAnsi" w:hAnsiTheme="minorHAnsi" w:cstheme="minorHAnsi"/>
          <w:color w:val="333333"/>
          <w:spacing w:val="-2"/>
        </w:rPr>
        <w:lastRenderedPageBreak/>
        <w:t>to be the first of all, Heracles belongs to the second dynasty (that of the so-called twelve gods), and Dionysus to the third, which came after the twelve. How many years there were between Heracles and the reign of Amasis, I have already shown; Pan is said to be earlier still; the years between Dionysus and Amasis are the fewest, and they are reckoned by the Egyptians at fifteen thousand. Of all this the Egyptians claim to have certain knowledge, seeing that they had always reckoned the years and chronicled them in writing. Now the Dionysus who was called the son of Semele, daughter of Cadmus, was about sixteen hundred years before my time, and Heracles son of Alcmene about nine hundred years; and Pan the son of Penelope (for according to the Greeks Penelope and Hermes were the parents of Pan) was about eight hundred years before me, and thus of a later date than the Trojan war.</w:t>
      </w:r>
    </w:p>
    <w:p w14:paraId="1AAB6563" w14:textId="77777777" w:rsidR="00C02855" w:rsidRDefault="00C02855" w:rsidP="00C02855">
      <w:pPr>
        <w:pStyle w:val="NormalWeb"/>
        <w:spacing w:before="0" w:beforeAutospacing="0" w:after="0" w:afterAutospacing="0" w:line="360" w:lineRule="atLeast"/>
        <w:ind w:firstLine="360"/>
        <w:jc w:val="center"/>
        <w:rPr>
          <w:rFonts w:asciiTheme="minorHAnsi" w:hAnsiTheme="minorHAnsi" w:cstheme="minorHAnsi"/>
          <w:color w:val="333333"/>
          <w:spacing w:val="-2"/>
        </w:rPr>
      </w:pPr>
      <w:r w:rsidRPr="0099796D">
        <w:rPr>
          <w:rFonts w:asciiTheme="minorHAnsi" w:hAnsiTheme="minorHAnsi" w:cstheme="minorHAnsi"/>
          <w:color w:val="333333"/>
          <w:spacing w:val="-2"/>
        </w:rPr>
        <w:t>146. With regard to these two, Pan and Dionysus, a man may follow whatsoever story he deems most credible; but I here declare my own opinion concerning them:—Had Dionysus son of Semele and Pan son of Penelope been made manifest in Hellas and lived there to old age, like Heracles the son of Amphitryon, it might have been said that they too (like Heracles) were but men, named after the older Pan and Dionysus, the gods of antiquity; but as it is, the Greek story has it that no sooner was Dionysus born than Zeus sewed him up in his thigh and carried</w:t>
      </w:r>
      <w:r>
        <w:rPr>
          <w:rFonts w:asciiTheme="minorHAnsi" w:hAnsiTheme="minorHAnsi" w:cstheme="minorHAnsi"/>
          <w:color w:val="333333"/>
          <w:spacing w:val="-2"/>
        </w:rPr>
        <w:t xml:space="preserve"> </w:t>
      </w:r>
      <w:r w:rsidRPr="0099796D">
        <w:rPr>
          <w:rFonts w:asciiTheme="minorHAnsi" w:hAnsiTheme="minorHAnsi" w:cstheme="minorHAnsi"/>
          <w:color w:val="333333"/>
          <w:spacing w:val="-2"/>
        </w:rPr>
        <w:t>him away to Nysa in Ethiopia beyond Egypt; and as for Pan, the Greeks know not what became of him after his birth. It is therefore plain to me that the Greeks learnt the names of these two gods later than the names of all the others, and trace the birth of both to the time when they gained the knowledge.</w:t>
      </w:r>
      <w:r>
        <w:rPr>
          <w:rFonts w:asciiTheme="minorHAnsi" w:hAnsiTheme="minorHAnsi" w:cstheme="minorHAnsi"/>
          <w:color w:val="333333"/>
          <w:spacing w:val="-2"/>
        </w:rPr>
        <w:t>” Hdt.2.142-6 (trans. Godley, 1920: 449, 451, 453, 455)</w:t>
      </w:r>
    </w:p>
    <w:p w14:paraId="3C5D435C" w14:textId="77777777" w:rsidR="00C02855" w:rsidRDefault="00C02855" w:rsidP="00C02855">
      <w:pPr>
        <w:pStyle w:val="NormalWeb"/>
        <w:spacing w:before="0" w:beforeAutospacing="0" w:after="0" w:afterAutospacing="0" w:line="360" w:lineRule="atLeast"/>
        <w:ind w:firstLine="360"/>
        <w:jc w:val="center"/>
        <w:rPr>
          <w:rFonts w:asciiTheme="minorHAnsi" w:hAnsiTheme="minorHAnsi" w:cstheme="minorHAnsi"/>
          <w:color w:val="333333"/>
          <w:spacing w:val="-2"/>
        </w:rPr>
      </w:pPr>
    </w:p>
    <w:p w14:paraId="60EDE355" w14:textId="77777777" w:rsidR="00C02855" w:rsidRDefault="00C02855" w:rsidP="00C02855">
      <w:pPr>
        <w:pStyle w:val="NormalWeb"/>
        <w:spacing w:before="0" w:beforeAutospacing="0" w:after="0" w:afterAutospacing="0" w:line="360" w:lineRule="atLeast"/>
        <w:ind w:firstLine="360"/>
        <w:jc w:val="center"/>
        <w:rPr>
          <w:rFonts w:asciiTheme="minorHAnsi" w:hAnsiTheme="minorHAnsi" w:cstheme="minorHAnsi"/>
          <w:color w:val="333333"/>
          <w:spacing w:val="-2"/>
        </w:rPr>
      </w:pPr>
    </w:p>
    <w:p w14:paraId="21371596"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5943EFEF"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1E5898DD"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47ED257C"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6FC3DFA9"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48683986"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6173AF81"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2E20E24C"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3E964FCE"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278075A4"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062DEC53"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2ACFD42A"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020B28F3"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7E9967FB"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7DF0CAD0" w14:textId="77777777" w:rsidR="00C02855" w:rsidRDefault="00C02855" w:rsidP="00C02855">
      <w:pPr>
        <w:pStyle w:val="NormalWeb"/>
        <w:spacing w:before="0" w:beforeAutospacing="0" w:after="0" w:afterAutospacing="0" w:line="360" w:lineRule="atLeast"/>
        <w:rPr>
          <w:rFonts w:asciiTheme="minorHAnsi" w:hAnsiTheme="minorHAnsi" w:cstheme="minorHAnsi"/>
          <w:b/>
          <w:bCs/>
          <w:color w:val="333333"/>
          <w:spacing w:val="-2"/>
          <w:sz w:val="28"/>
          <w:szCs w:val="28"/>
        </w:rPr>
      </w:pPr>
    </w:p>
    <w:p w14:paraId="012EB604" w14:textId="5E36F8B9" w:rsidR="00C02855" w:rsidRPr="00C02855" w:rsidRDefault="00C02855" w:rsidP="00C02855">
      <w:pPr>
        <w:pStyle w:val="Heading2"/>
        <w:rPr>
          <w:b/>
          <w:bCs/>
          <w:color w:val="auto"/>
          <w:sz w:val="28"/>
          <w:szCs w:val="28"/>
        </w:rPr>
      </w:pPr>
      <w:bookmarkStart w:id="9" w:name="_Toc41595512"/>
      <w:r w:rsidRPr="00C02855">
        <w:rPr>
          <w:b/>
          <w:bCs/>
          <w:color w:val="auto"/>
          <w:sz w:val="28"/>
          <w:szCs w:val="28"/>
        </w:rPr>
        <w:lastRenderedPageBreak/>
        <w:t>Appendix Five</w:t>
      </w:r>
      <w:bookmarkEnd w:id="9"/>
    </w:p>
    <w:p w14:paraId="780972B8" w14:textId="77777777" w:rsidR="00C02855" w:rsidRDefault="00C02855" w:rsidP="00C02855">
      <w:pPr>
        <w:pStyle w:val="NormalWeb"/>
        <w:spacing w:before="0" w:beforeAutospacing="0" w:after="0" w:afterAutospacing="0" w:line="360" w:lineRule="atLeast"/>
        <w:rPr>
          <w:rFonts w:asciiTheme="minorHAnsi" w:hAnsiTheme="minorHAnsi" w:cstheme="minorHAnsi"/>
          <w:color w:val="333333"/>
          <w:spacing w:val="-2"/>
        </w:rPr>
      </w:pPr>
      <w:r>
        <w:rPr>
          <w:rFonts w:asciiTheme="minorHAnsi" w:hAnsiTheme="minorHAnsi" w:cstheme="minorHAnsi"/>
          <w:color w:val="333333"/>
          <w:spacing w:val="-2"/>
        </w:rPr>
        <w:t xml:space="preserve">This abstract from book two of Herodotus’ </w:t>
      </w:r>
      <w:r>
        <w:rPr>
          <w:rFonts w:asciiTheme="minorHAnsi" w:hAnsiTheme="minorHAnsi" w:cstheme="minorHAnsi"/>
          <w:i/>
          <w:iCs/>
          <w:color w:val="333333"/>
          <w:spacing w:val="-2"/>
        </w:rPr>
        <w:t>Histories</w:t>
      </w:r>
      <w:r>
        <w:rPr>
          <w:rFonts w:asciiTheme="minorHAnsi" w:hAnsiTheme="minorHAnsi" w:cstheme="minorHAnsi"/>
          <w:color w:val="333333"/>
          <w:spacing w:val="-2"/>
        </w:rPr>
        <w:t xml:space="preserve"> details out the information Herodotus has gathered on the figures known as Heracles.</w:t>
      </w:r>
    </w:p>
    <w:p w14:paraId="1D8307AF" w14:textId="77777777" w:rsidR="00C02855" w:rsidRPr="00FF458F" w:rsidRDefault="00C02855" w:rsidP="00C02855">
      <w:pPr>
        <w:pStyle w:val="NormalWeb"/>
        <w:spacing w:after="0" w:line="360" w:lineRule="atLeast"/>
        <w:jc w:val="center"/>
        <w:rPr>
          <w:rFonts w:asciiTheme="minorHAnsi" w:hAnsiTheme="minorHAnsi" w:cstheme="minorHAnsi"/>
          <w:color w:val="333333"/>
          <w:spacing w:val="-2"/>
        </w:rPr>
      </w:pPr>
      <w:r>
        <w:rPr>
          <w:rFonts w:asciiTheme="minorHAnsi" w:hAnsiTheme="minorHAnsi" w:cstheme="minorHAnsi"/>
          <w:color w:val="333333"/>
          <w:spacing w:val="-2"/>
        </w:rPr>
        <w:t>“</w:t>
      </w:r>
      <w:r w:rsidRPr="00FF458F">
        <w:rPr>
          <w:rFonts w:asciiTheme="minorHAnsi" w:hAnsiTheme="minorHAnsi" w:cstheme="minorHAnsi"/>
          <w:color w:val="333333"/>
          <w:spacing w:val="-2"/>
        </w:rPr>
        <w:t>43. Concerning Heracles, I heard it said that he was one of the twelve gods. But I could nowhere in Egypt hear anything concerning the other Heracles, whom the Greeks know. I have indeed many proofs that the name of Heracles did not come from Hellas to Egypt, but from Egypt to Hellas (and in Hellas to those Greeks who gave the name Heracles to the son of Amphitryon); and this is the chief among them—that Amphitryon and Alcmene, the parents of this Heracles, were both by descent Egyptian; and that the Egyptians deny knowledge of the names of Poseidon and the Dioscuri, nor are these gods reckoned among the gods of Egypt. Yet had they got the name of any deity from the Greeks, it was these more than any that they were like to remember, if indeed they were already making sea voyages and the Greeks too had seafaring men, as I suppose and judge; so that the names of these gods would have been even better known to the Egyptians than the name of Heracles. Nay, Heracles is a very ancient god in Egypt; as the Egyptians themselves say, the change of the eight gods to the twelve, of whom they deem Heracles one, was made seventeen thousand years before the reign of Amasis.</w:t>
      </w:r>
    </w:p>
    <w:p w14:paraId="46CA7B32" w14:textId="77777777" w:rsidR="00C02855" w:rsidRPr="00FF458F" w:rsidRDefault="00C02855" w:rsidP="00C02855">
      <w:pPr>
        <w:pStyle w:val="NormalWeb"/>
        <w:spacing w:after="0" w:line="360" w:lineRule="atLeast"/>
        <w:jc w:val="center"/>
        <w:rPr>
          <w:rFonts w:asciiTheme="minorHAnsi" w:hAnsiTheme="minorHAnsi" w:cstheme="minorHAnsi"/>
          <w:color w:val="333333"/>
          <w:spacing w:val="-2"/>
        </w:rPr>
      </w:pPr>
      <w:r w:rsidRPr="00FF458F">
        <w:rPr>
          <w:rFonts w:asciiTheme="minorHAnsi" w:hAnsiTheme="minorHAnsi" w:cstheme="minorHAnsi"/>
          <w:color w:val="333333"/>
          <w:spacing w:val="-2"/>
        </w:rPr>
        <w:t>44. Moreover, wishing to get clear knowledge of this matter whence it was possible so to do, I took</w:t>
      </w:r>
      <w:r>
        <w:rPr>
          <w:rFonts w:asciiTheme="minorHAnsi" w:hAnsiTheme="minorHAnsi" w:cstheme="minorHAnsi"/>
          <w:color w:val="333333"/>
          <w:spacing w:val="-2"/>
        </w:rPr>
        <w:t xml:space="preserve"> </w:t>
      </w:r>
      <w:r w:rsidRPr="00FF458F">
        <w:rPr>
          <w:rFonts w:asciiTheme="minorHAnsi" w:hAnsiTheme="minorHAnsi" w:cstheme="minorHAnsi"/>
          <w:color w:val="333333"/>
          <w:spacing w:val="-2"/>
        </w:rPr>
        <w:t xml:space="preserve">ship to Tyre in </w:t>
      </w:r>
      <w:proofErr w:type="spellStart"/>
      <w:r w:rsidRPr="00FF458F">
        <w:rPr>
          <w:rFonts w:asciiTheme="minorHAnsi" w:hAnsiTheme="minorHAnsi" w:cstheme="minorHAnsi"/>
          <w:color w:val="333333"/>
          <w:spacing w:val="-2"/>
        </w:rPr>
        <w:t>Phoenice</w:t>
      </w:r>
      <w:proofErr w:type="spellEnd"/>
      <w:r w:rsidRPr="00FF458F">
        <w:rPr>
          <w:rFonts w:asciiTheme="minorHAnsi" w:hAnsiTheme="minorHAnsi" w:cstheme="minorHAnsi"/>
          <w:color w:val="333333"/>
          <w:spacing w:val="-2"/>
        </w:rPr>
        <w:t xml:space="preserve">, where I heard that there was a very holy temple of Heracles. There I saw it, richly equipped with many other offerings, besides that in it there were two pillars, one of refined gold, one of emerald, a great pillar that shone in the night-time; and in converse with the priests I asked how long it was since their temple was built. I found that neither did their account tally with the belief of the Greeks; for they said that the temple of the god was founded when Tyre first became a city, and that was two thousand three hundred years since. At Tyre I saw yet another temple of that Heracles called the </w:t>
      </w:r>
      <w:proofErr w:type="spellStart"/>
      <w:r w:rsidRPr="00FF458F">
        <w:rPr>
          <w:rFonts w:asciiTheme="minorHAnsi" w:hAnsiTheme="minorHAnsi" w:cstheme="minorHAnsi"/>
          <w:color w:val="333333"/>
          <w:spacing w:val="-2"/>
        </w:rPr>
        <w:t>Thasian</w:t>
      </w:r>
      <w:proofErr w:type="spellEnd"/>
      <w:r w:rsidRPr="00FF458F">
        <w:rPr>
          <w:rFonts w:asciiTheme="minorHAnsi" w:hAnsiTheme="minorHAnsi" w:cstheme="minorHAnsi"/>
          <w:color w:val="333333"/>
          <w:spacing w:val="-2"/>
        </w:rPr>
        <w:t>. Then I went to Thasos, too, where I found a temple of Heracles built by the Phoenicians, who made a settlement there when they voyaged in search of Europe; now they did so as much as five generations before the birth in Hellas of Heracles the son of Amphitryon. Therefore, what I have discovered by inquiry plainly shows that Heracles is an ancient god. And further: those Greeks, I think, are most in the right, who have established and practise two worships of Heracles, sacrificing to one Heracles as to an immortal, and calling him the Olympian, but to the other bringing offerings as to a dead hero.</w:t>
      </w:r>
    </w:p>
    <w:p w14:paraId="60E516F6" w14:textId="77777777" w:rsidR="00C02855" w:rsidRPr="00FF458F" w:rsidRDefault="00C02855" w:rsidP="00C02855">
      <w:pPr>
        <w:pStyle w:val="NormalWeb"/>
        <w:spacing w:before="0" w:beforeAutospacing="0" w:after="0" w:afterAutospacing="0" w:line="360" w:lineRule="atLeast"/>
        <w:jc w:val="center"/>
        <w:rPr>
          <w:rFonts w:asciiTheme="minorHAnsi" w:hAnsiTheme="minorHAnsi" w:cstheme="minorHAnsi"/>
          <w:color w:val="333333"/>
          <w:spacing w:val="-2"/>
        </w:rPr>
      </w:pPr>
      <w:r w:rsidRPr="00FF458F">
        <w:rPr>
          <w:rFonts w:asciiTheme="minorHAnsi" w:hAnsiTheme="minorHAnsi" w:cstheme="minorHAnsi"/>
          <w:color w:val="333333"/>
          <w:spacing w:val="-2"/>
        </w:rPr>
        <w:t>45. But among the many ill-considered tales told by the Greeks, this is a very foolish story which they relate about Heracles—how when he came to Egypt the Egyptians crowned him and led him out in a procession to sacrifice him to Zeus; and for a while (they say) he followed quietly, but when they began</w:t>
      </w:r>
      <w:r>
        <w:rPr>
          <w:rFonts w:asciiTheme="minorHAnsi" w:hAnsiTheme="minorHAnsi" w:cstheme="minorHAnsi"/>
          <w:color w:val="333333"/>
          <w:spacing w:val="-2"/>
        </w:rPr>
        <w:t xml:space="preserve"> </w:t>
      </w:r>
      <w:r w:rsidRPr="00233F44">
        <w:rPr>
          <w:rFonts w:asciiTheme="minorHAnsi" w:hAnsiTheme="minorHAnsi" w:cstheme="minorHAnsi"/>
          <w:color w:val="333333"/>
          <w:spacing w:val="-2"/>
        </w:rPr>
        <w:t xml:space="preserve">the first rites of sacrifice upon him at the altar, he resisted and </w:t>
      </w:r>
      <w:r w:rsidRPr="00233F44">
        <w:rPr>
          <w:rFonts w:asciiTheme="minorHAnsi" w:hAnsiTheme="minorHAnsi" w:cstheme="minorHAnsi"/>
          <w:color w:val="333333"/>
          <w:spacing w:val="-2"/>
        </w:rPr>
        <w:lastRenderedPageBreak/>
        <w:t xml:space="preserve">slew them all. Now it seems to me that by this story the Greeks show themselves wholly ignorant of the character and customs of the Egyptians; for how should they sacrifice men, who are forbidden to sacrifice even the lower animals, save only swine and bulls and bull-calves, if they be unblemished, and geese? Moreover, Heracles being alone, and still but a man, as they say, how is it natural that he should slay a countless multitude? So much I say of this matter; may </w:t>
      </w:r>
      <w:proofErr w:type="spellStart"/>
      <w:r w:rsidRPr="00233F44">
        <w:rPr>
          <w:rFonts w:asciiTheme="minorHAnsi" w:hAnsiTheme="minorHAnsi" w:cstheme="minorHAnsi"/>
          <w:color w:val="333333"/>
          <w:spacing w:val="-2"/>
        </w:rPr>
        <w:t>no</w:t>
      </w:r>
      <w:proofErr w:type="spellEnd"/>
      <w:r w:rsidRPr="00233F44">
        <w:rPr>
          <w:rFonts w:asciiTheme="minorHAnsi" w:hAnsiTheme="minorHAnsi" w:cstheme="minorHAnsi"/>
          <w:color w:val="333333"/>
          <w:spacing w:val="-2"/>
        </w:rPr>
        <w:t xml:space="preserve"> god or hero be displeased with me therefor!</w:t>
      </w:r>
      <w:r>
        <w:rPr>
          <w:rFonts w:asciiTheme="minorHAnsi" w:hAnsiTheme="minorHAnsi" w:cstheme="minorHAnsi"/>
          <w:color w:val="333333"/>
          <w:spacing w:val="-2"/>
        </w:rPr>
        <w:t>” Hdt.2. 43-5 (trans. Godley, 1920: 329, 331, 333)</w:t>
      </w:r>
    </w:p>
    <w:p w14:paraId="64A491DA" w14:textId="19A18633" w:rsidR="00C02855" w:rsidRDefault="00C02855" w:rsidP="00C02855"/>
    <w:p w14:paraId="64A61716" w14:textId="52D0888C" w:rsidR="00C02855" w:rsidRDefault="00C02855" w:rsidP="00C02855"/>
    <w:p w14:paraId="25134FBB" w14:textId="70E68FD9" w:rsidR="00C02855" w:rsidRDefault="00C02855" w:rsidP="00C02855"/>
    <w:p w14:paraId="58296CA5" w14:textId="4839D6AC" w:rsidR="00C02855" w:rsidRDefault="00C02855" w:rsidP="00C02855"/>
    <w:p w14:paraId="6DED716D" w14:textId="492566D9" w:rsidR="00C02855" w:rsidRDefault="00C02855" w:rsidP="00C02855"/>
    <w:p w14:paraId="3AE75D3D" w14:textId="58F0AECC" w:rsidR="00C02855" w:rsidRDefault="00C02855" w:rsidP="00C02855"/>
    <w:p w14:paraId="246EA672" w14:textId="43F43131" w:rsidR="00C02855" w:rsidRDefault="00C02855" w:rsidP="00C02855"/>
    <w:p w14:paraId="0A0FED1C" w14:textId="20080984" w:rsidR="00C02855" w:rsidRDefault="00C02855" w:rsidP="00C02855"/>
    <w:p w14:paraId="6F61C539" w14:textId="14D8055C" w:rsidR="00C02855" w:rsidRDefault="00C02855" w:rsidP="00C02855"/>
    <w:p w14:paraId="3E525265" w14:textId="772FBA77" w:rsidR="00C02855" w:rsidRDefault="00C02855" w:rsidP="00C02855"/>
    <w:p w14:paraId="7D1155E5" w14:textId="1D193D56" w:rsidR="00C02855" w:rsidRDefault="00C02855" w:rsidP="00C02855"/>
    <w:p w14:paraId="6C52CB8E" w14:textId="3F57F315" w:rsidR="00C02855" w:rsidRDefault="00C02855" w:rsidP="00C02855"/>
    <w:p w14:paraId="2C154712" w14:textId="47543A3B" w:rsidR="00C02855" w:rsidRDefault="00C02855" w:rsidP="00C02855"/>
    <w:p w14:paraId="054AC839" w14:textId="20EFDD91" w:rsidR="00C02855" w:rsidRDefault="00C02855" w:rsidP="00C02855"/>
    <w:p w14:paraId="2D13D99F" w14:textId="6D906959" w:rsidR="00C02855" w:rsidRDefault="00C02855" w:rsidP="00C02855"/>
    <w:p w14:paraId="58266B33" w14:textId="54EB64B5" w:rsidR="00C02855" w:rsidRDefault="00C02855" w:rsidP="00C02855"/>
    <w:p w14:paraId="65836425" w14:textId="7CA5CAF6" w:rsidR="00C02855" w:rsidRDefault="00C02855" w:rsidP="00C02855"/>
    <w:p w14:paraId="7F68324E" w14:textId="5B5ECCC0" w:rsidR="00C02855" w:rsidRDefault="00C02855" w:rsidP="00C02855"/>
    <w:p w14:paraId="5EE1C9AD" w14:textId="1702C938" w:rsidR="00C02855" w:rsidRDefault="00C02855" w:rsidP="00C02855"/>
    <w:p w14:paraId="60EE14E0" w14:textId="28A3C3AC" w:rsidR="00C02855" w:rsidRDefault="00C02855" w:rsidP="00C02855"/>
    <w:p w14:paraId="2D965F59" w14:textId="7CD4A634" w:rsidR="00C02855" w:rsidRDefault="00C02855" w:rsidP="00C02855"/>
    <w:p w14:paraId="04F92709" w14:textId="655B2769" w:rsidR="00C02855" w:rsidRDefault="00C02855" w:rsidP="00C02855"/>
    <w:p w14:paraId="7503C840" w14:textId="2D2628AD" w:rsidR="00C02855" w:rsidRDefault="00C02855" w:rsidP="00C02855"/>
    <w:p w14:paraId="2BF33E34" w14:textId="2DA62410" w:rsidR="00C02855" w:rsidRDefault="00C02855" w:rsidP="00C02855"/>
    <w:p w14:paraId="021F9575" w14:textId="10B556C4" w:rsidR="00C02855" w:rsidRDefault="00C02855" w:rsidP="00C02855"/>
    <w:p w14:paraId="6D73D1DC" w14:textId="77777777" w:rsidR="00C02855" w:rsidRPr="00C02855" w:rsidRDefault="00C02855" w:rsidP="00C02855">
      <w:pPr>
        <w:pStyle w:val="Heading1"/>
        <w:rPr>
          <w:b/>
          <w:bCs/>
          <w:color w:val="auto"/>
        </w:rPr>
      </w:pPr>
      <w:bookmarkStart w:id="10" w:name="_Toc41595513"/>
      <w:r w:rsidRPr="00C02855">
        <w:rPr>
          <w:b/>
          <w:bCs/>
          <w:color w:val="auto"/>
        </w:rPr>
        <w:lastRenderedPageBreak/>
        <w:t>Reference List</w:t>
      </w:r>
      <w:bookmarkEnd w:id="10"/>
    </w:p>
    <w:p w14:paraId="0F46CA74" w14:textId="77777777" w:rsidR="00C02855" w:rsidRDefault="00C02855" w:rsidP="00C02855">
      <w:pPr>
        <w:jc w:val="both"/>
        <w:rPr>
          <w:sz w:val="24"/>
          <w:szCs w:val="24"/>
        </w:rPr>
      </w:pPr>
      <w:proofErr w:type="spellStart"/>
      <w:r w:rsidRPr="005D1ACA">
        <w:rPr>
          <w:sz w:val="24"/>
          <w:szCs w:val="24"/>
        </w:rPr>
        <w:t>Bichler</w:t>
      </w:r>
      <w:proofErr w:type="spellEnd"/>
      <w:r w:rsidRPr="005D1ACA">
        <w:rPr>
          <w:sz w:val="24"/>
          <w:szCs w:val="24"/>
        </w:rPr>
        <w:t>, R., 2018. Herodotus' Book 2 and the Unity of the work. In: T. Harrison and E. Irwin, ed., Interpreting Herodotus. Oxford: Oxford University Press.</w:t>
      </w:r>
    </w:p>
    <w:p w14:paraId="29D17C6A" w14:textId="77777777" w:rsidR="00C02855" w:rsidRDefault="00C02855" w:rsidP="00C02855">
      <w:pPr>
        <w:jc w:val="both"/>
        <w:rPr>
          <w:sz w:val="24"/>
          <w:szCs w:val="24"/>
        </w:rPr>
      </w:pPr>
      <w:r>
        <w:rPr>
          <w:sz w:val="24"/>
          <w:szCs w:val="24"/>
        </w:rPr>
        <w:t xml:space="preserve">Herodotus. </w:t>
      </w:r>
      <w:r w:rsidRPr="001D39F5">
        <w:rPr>
          <w:i/>
          <w:iCs/>
          <w:sz w:val="24"/>
          <w:szCs w:val="24"/>
        </w:rPr>
        <w:t>The Persian Wars</w:t>
      </w:r>
      <w:r w:rsidRPr="00B9206A">
        <w:rPr>
          <w:sz w:val="24"/>
          <w:szCs w:val="24"/>
        </w:rPr>
        <w:t>, Volume I: Books 1-2.</w:t>
      </w:r>
      <w:r>
        <w:rPr>
          <w:sz w:val="24"/>
          <w:szCs w:val="24"/>
        </w:rPr>
        <w:t xml:space="preserve"> A. D. Godley (trans.). 1920. Cambridge: Harvard University Press.</w:t>
      </w:r>
    </w:p>
    <w:p w14:paraId="649EB1CB" w14:textId="77777777" w:rsidR="00C02855" w:rsidRDefault="00C02855" w:rsidP="00C02855">
      <w:pPr>
        <w:jc w:val="both"/>
        <w:rPr>
          <w:sz w:val="24"/>
          <w:szCs w:val="24"/>
        </w:rPr>
      </w:pPr>
      <w:r w:rsidRPr="005D1ACA">
        <w:rPr>
          <w:sz w:val="24"/>
          <w:szCs w:val="24"/>
        </w:rPr>
        <w:t>Lloyd, A., 2002. Egypt. In: E. Bakker, I. de Jong and H. van Wees, ed., Brill's Companion to Herodotus. Boston: Brill Academic Publishers.</w:t>
      </w:r>
    </w:p>
    <w:p w14:paraId="371796EF" w14:textId="77777777" w:rsidR="00C02855" w:rsidRDefault="00C02855" w:rsidP="00C02855">
      <w:pPr>
        <w:jc w:val="both"/>
        <w:rPr>
          <w:sz w:val="24"/>
          <w:szCs w:val="24"/>
        </w:rPr>
      </w:pPr>
      <w:r w:rsidRPr="00797935">
        <w:rPr>
          <w:sz w:val="24"/>
          <w:szCs w:val="24"/>
        </w:rPr>
        <w:t>Morris, I., 2008. Burial And Ancient Society. New York, NY: ACLS History-E-Book.</w:t>
      </w:r>
    </w:p>
    <w:p w14:paraId="1F060EAA" w14:textId="77777777" w:rsidR="00C02855" w:rsidRPr="005D1ACA" w:rsidRDefault="00C02855" w:rsidP="00C02855">
      <w:pPr>
        <w:jc w:val="both"/>
        <w:rPr>
          <w:sz w:val="24"/>
          <w:szCs w:val="24"/>
        </w:rPr>
      </w:pPr>
      <w:r w:rsidRPr="007925A2">
        <w:rPr>
          <w:sz w:val="24"/>
          <w:szCs w:val="24"/>
        </w:rPr>
        <w:t>Moyer, I., 2002. Herodotus and an Egyptian mirage: The genealogies of the Theban priests. The Journal of Hellenic Studies, 122, pp.70-90.</w:t>
      </w:r>
    </w:p>
    <w:p w14:paraId="466D604E" w14:textId="77777777" w:rsidR="00C02855" w:rsidRDefault="00C02855" w:rsidP="00C02855">
      <w:pPr>
        <w:jc w:val="both"/>
        <w:rPr>
          <w:sz w:val="24"/>
          <w:szCs w:val="24"/>
        </w:rPr>
      </w:pPr>
      <w:r w:rsidRPr="00212E00">
        <w:rPr>
          <w:sz w:val="24"/>
          <w:szCs w:val="24"/>
        </w:rPr>
        <w:t>West, S., 1998. Cultural antitheses: Reflections of Herodotus 2.35–36. International Journal of the Classical Tradition, 5(1), pp.3-19.</w:t>
      </w:r>
    </w:p>
    <w:p w14:paraId="6D14744A" w14:textId="77777777" w:rsidR="00C02855" w:rsidRDefault="00C02855" w:rsidP="00C02855">
      <w:pPr>
        <w:jc w:val="both"/>
        <w:rPr>
          <w:sz w:val="24"/>
          <w:szCs w:val="24"/>
        </w:rPr>
      </w:pPr>
      <w:r w:rsidRPr="00395D10">
        <w:rPr>
          <w:sz w:val="24"/>
          <w:szCs w:val="24"/>
        </w:rPr>
        <w:t>W</w:t>
      </w:r>
      <w:r>
        <w:rPr>
          <w:sz w:val="24"/>
          <w:szCs w:val="24"/>
        </w:rPr>
        <w:t>hale</w:t>
      </w:r>
      <w:r w:rsidRPr="00395D10">
        <w:rPr>
          <w:sz w:val="24"/>
          <w:szCs w:val="24"/>
        </w:rPr>
        <w:t>, S., 1989. 'Women's Lib' in Ancient Egypt. Ancient History Resources for Teachers, 19(3), pp. 138</w:t>
      </w:r>
      <w:r>
        <w:rPr>
          <w:sz w:val="24"/>
          <w:szCs w:val="24"/>
        </w:rPr>
        <w:t>-144</w:t>
      </w:r>
      <w:r w:rsidRPr="00395D10">
        <w:rPr>
          <w:sz w:val="24"/>
          <w:szCs w:val="24"/>
        </w:rPr>
        <w:t>.</w:t>
      </w:r>
    </w:p>
    <w:p w14:paraId="17CE4598" w14:textId="77777777" w:rsidR="00C02855" w:rsidRPr="00C02855" w:rsidRDefault="00C02855" w:rsidP="00C02855"/>
    <w:sectPr w:rsidR="00C02855" w:rsidRPr="00C02855" w:rsidSect="008D7DA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A7CDC" w14:textId="77777777" w:rsidR="001614C8" w:rsidRDefault="001614C8" w:rsidP="00162210">
      <w:pPr>
        <w:spacing w:after="0" w:line="240" w:lineRule="auto"/>
      </w:pPr>
      <w:r>
        <w:separator/>
      </w:r>
    </w:p>
  </w:endnote>
  <w:endnote w:type="continuationSeparator" w:id="0">
    <w:p w14:paraId="19D60297" w14:textId="77777777" w:rsidR="001614C8" w:rsidRDefault="001614C8" w:rsidP="0016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913462"/>
      <w:docPartObj>
        <w:docPartGallery w:val="Page Numbers (Bottom of Page)"/>
        <w:docPartUnique/>
      </w:docPartObj>
    </w:sdtPr>
    <w:sdtEndPr>
      <w:rPr>
        <w:noProof/>
      </w:rPr>
    </w:sdtEndPr>
    <w:sdtContent>
      <w:p w14:paraId="250938A1" w14:textId="1A6DC96A" w:rsidR="00162210" w:rsidRDefault="001622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ECFEB7" w14:textId="77777777" w:rsidR="00162210" w:rsidRDefault="00162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FB35E" w14:textId="77777777" w:rsidR="001614C8" w:rsidRDefault="001614C8" w:rsidP="00162210">
      <w:pPr>
        <w:spacing w:after="0" w:line="240" w:lineRule="auto"/>
      </w:pPr>
      <w:r>
        <w:separator/>
      </w:r>
    </w:p>
  </w:footnote>
  <w:footnote w:type="continuationSeparator" w:id="0">
    <w:p w14:paraId="19F8B31F" w14:textId="77777777" w:rsidR="001614C8" w:rsidRDefault="001614C8" w:rsidP="001622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AE"/>
    <w:rsid w:val="00011C9B"/>
    <w:rsid w:val="000613BC"/>
    <w:rsid w:val="00071001"/>
    <w:rsid w:val="001614C8"/>
    <w:rsid w:val="00162210"/>
    <w:rsid w:val="00176C91"/>
    <w:rsid w:val="00186895"/>
    <w:rsid w:val="001A78B9"/>
    <w:rsid w:val="001F2DEF"/>
    <w:rsid w:val="00266C8C"/>
    <w:rsid w:val="00280035"/>
    <w:rsid w:val="002A6A2A"/>
    <w:rsid w:val="002B7820"/>
    <w:rsid w:val="002E7885"/>
    <w:rsid w:val="00331A4B"/>
    <w:rsid w:val="003A3A83"/>
    <w:rsid w:val="003C36C3"/>
    <w:rsid w:val="00464463"/>
    <w:rsid w:val="00481636"/>
    <w:rsid w:val="004F7DDE"/>
    <w:rsid w:val="005D606D"/>
    <w:rsid w:val="00601F4F"/>
    <w:rsid w:val="006058A2"/>
    <w:rsid w:val="006D387D"/>
    <w:rsid w:val="00701D35"/>
    <w:rsid w:val="00746943"/>
    <w:rsid w:val="007D64C4"/>
    <w:rsid w:val="008409CF"/>
    <w:rsid w:val="00883C13"/>
    <w:rsid w:val="008A770C"/>
    <w:rsid w:val="008C0221"/>
    <w:rsid w:val="008D7DAE"/>
    <w:rsid w:val="0096014E"/>
    <w:rsid w:val="00966A13"/>
    <w:rsid w:val="009D0CCF"/>
    <w:rsid w:val="00A538F5"/>
    <w:rsid w:val="00AE299F"/>
    <w:rsid w:val="00AF17BC"/>
    <w:rsid w:val="00B86C4D"/>
    <w:rsid w:val="00BD3624"/>
    <w:rsid w:val="00C02855"/>
    <w:rsid w:val="00C1624D"/>
    <w:rsid w:val="00CF552E"/>
    <w:rsid w:val="00D018DC"/>
    <w:rsid w:val="00D56C2D"/>
    <w:rsid w:val="00DB78EF"/>
    <w:rsid w:val="00E3111B"/>
    <w:rsid w:val="00EE4167"/>
    <w:rsid w:val="00F70640"/>
    <w:rsid w:val="00F776DA"/>
    <w:rsid w:val="00F87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A56AA"/>
  <w15:chartTrackingRefBased/>
  <w15:docId w15:val="{900E21F5-4357-4AB5-B040-463C5821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C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28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7D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7DAE"/>
    <w:rPr>
      <w:rFonts w:eastAsiaTheme="minorEastAsia"/>
      <w:lang w:val="en-US"/>
    </w:rPr>
  </w:style>
  <w:style w:type="character" w:customStyle="1" w:styleId="Heading1Char">
    <w:name w:val="Heading 1 Char"/>
    <w:basedOn w:val="DefaultParagraphFont"/>
    <w:link w:val="Heading1"/>
    <w:uiPriority w:val="9"/>
    <w:rsid w:val="00266C8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2A6A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indent">
    <w:name w:val="noindent"/>
    <w:basedOn w:val="Normal"/>
    <w:rsid w:val="00C028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02855"/>
    <w:rPr>
      <w:color w:val="0000FF"/>
      <w:u w:val="single"/>
    </w:rPr>
  </w:style>
  <w:style w:type="character" w:customStyle="1" w:styleId="Heading2Char">
    <w:name w:val="Heading 2 Char"/>
    <w:basedOn w:val="DefaultParagraphFont"/>
    <w:link w:val="Heading2"/>
    <w:uiPriority w:val="9"/>
    <w:rsid w:val="00C028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86895"/>
    <w:pPr>
      <w:outlineLvl w:val="9"/>
    </w:pPr>
    <w:rPr>
      <w:lang w:val="en-US"/>
    </w:rPr>
  </w:style>
  <w:style w:type="paragraph" w:styleId="TOC1">
    <w:name w:val="toc 1"/>
    <w:basedOn w:val="Normal"/>
    <w:next w:val="Normal"/>
    <w:autoRedefine/>
    <w:uiPriority w:val="39"/>
    <w:unhideWhenUsed/>
    <w:rsid w:val="00186895"/>
    <w:pPr>
      <w:spacing w:after="100"/>
    </w:pPr>
  </w:style>
  <w:style w:type="paragraph" w:styleId="TOC2">
    <w:name w:val="toc 2"/>
    <w:basedOn w:val="Normal"/>
    <w:next w:val="Normal"/>
    <w:autoRedefine/>
    <w:uiPriority w:val="39"/>
    <w:unhideWhenUsed/>
    <w:rsid w:val="00186895"/>
    <w:pPr>
      <w:spacing w:after="100"/>
      <w:ind w:left="220"/>
    </w:pPr>
  </w:style>
  <w:style w:type="paragraph" w:styleId="Header">
    <w:name w:val="header"/>
    <w:basedOn w:val="Normal"/>
    <w:link w:val="HeaderChar"/>
    <w:uiPriority w:val="99"/>
    <w:unhideWhenUsed/>
    <w:rsid w:val="00162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210"/>
  </w:style>
  <w:style w:type="paragraph" w:styleId="Footer">
    <w:name w:val="footer"/>
    <w:basedOn w:val="Normal"/>
    <w:link w:val="FooterChar"/>
    <w:uiPriority w:val="99"/>
    <w:unhideWhenUsed/>
    <w:rsid w:val="00162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oebclassics-com.ezproxy.uwtsd.ac.uk/view/herodotus-persian_wars/1920/pb_LCL117.449.xml" TargetMode="External"/><Relationship Id="rId4" Type="http://schemas.openxmlformats.org/officeDocument/2006/relationships/webSettings" Target="webSettings.xml"/><Relationship Id="rId9" Type="http://schemas.openxmlformats.org/officeDocument/2006/relationships/hyperlink" Target="https://www-loebclassics-com.ezproxy.uwtsd.ac.uk/view/herodotus-persian_wars/1920/pb_LCL117.319.xm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051742928DE44909237EE65F9D5A12B"/>
        <w:category>
          <w:name w:val="General"/>
          <w:gallery w:val="placeholder"/>
        </w:category>
        <w:types>
          <w:type w:val="bbPlcHdr"/>
        </w:types>
        <w:behaviors>
          <w:behavior w:val="content"/>
        </w:behaviors>
        <w:guid w:val="{FC2310C4-460C-4401-89D5-C3E9B118EA0B}"/>
      </w:docPartPr>
      <w:docPartBody>
        <w:p w:rsidR="0067697E" w:rsidRDefault="005E1A3C" w:rsidP="005E1A3C">
          <w:pPr>
            <w:pStyle w:val="F051742928DE44909237EE65F9D5A12B"/>
          </w:pPr>
          <w:r>
            <w:rPr>
              <w:rFonts w:asciiTheme="majorHAnsi" w:eastAsiaTheme="majorEastAsia" w:hAnsiTheme="majorHAnsi" w:cstheme="majorBidi"/>
              <w:caps/>
              <w:color w:val="4472C4" w:themeColor="accent1"/>
              <w:sz w:val="80"/>
              <w:szCs w:val="80"/>
            </w:rPr>
            <w:t>[Document title]</w:t>
          </w:r>
        </w:p>
      </w:docPartBody>
    </w:docPart>
    <w:docPart>
      <w:docPartPr>
        <w:name w:val="8C9BECD012E44B3CB2D58AC7B832F099"/>
        <w:category>
          <w:name w:val="General"/>
          <w:gallery w:val="placeholder"/>
        </w:category>
        <w:types>
          <w:type w:val="bbPlcHdr"/>
        </w:types>
        <w:behaviors>
          <w:behavior w:val="content"/>
        </w:behaviors>
        <w:guid w:val="{9AC9FB7E-F444-4C70-8668-B2A7533CAF74}"/>
      </w:docPartPr>
      <w:docPartBody>
        <w:p w:rsidR="0067697E" w:rsidRDefault="005E1A3C" w:rsidP="005E1A3C">
          <w:pPr>
            <w:pStyle w:val="8C9BECD012E44B3CB2D58AC7B832F09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A3C"/>
    <w:rsid w:val="002D7C6B"/>
    <w:rsid w:val="005E1A3C"/>
    <w:rsid w:val="0067697E"/>
    <w:rsid w:val="00C9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51742928DE44909237EE65F9D5A12B">
    <w:name w:val="F051742928DE44909237EE65F9D5A12B"/>
    <w:rsid w:val="005E1A3C"/>
  </w:style>
  <w:style w:type="paragraph" w:customStyle="1" w:styleId="8C9BECD012E44B3CB2D58AC7B832F099">
    <w:name w:val="8C9BECD012E44B3CB2D58AC7B832F099"/>
    <w:rsid w:val="005E1A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0E65E-BBBB-4EA1-8571-7696EE5B5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7201</Words>
  <Characters>41047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Herodotus and Egypt</vt:lpstr>
    </vt:vector>
  </TitlesOfParts>
  <Company/>
  <LinksUpToDate>false</LinksUpToDate>
  <CharactersWithSpaces>48152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Herodotus and Egypt</dc:title>
  <dc:subject>How Herodotus used information about Egypt to stimulate self-assessment of Greek society and culture, and create a basis for a Greek identity based on the Historical Past.</dc:subject>
  <dc:creator>Tiarnach Leer</dc:creator>
  <cp:keywords/>
  <dc:description/>
  <cp:lastModifiedBy>Tiarnach Leer</cp:lastModifiedBy>
  <cp:revision>22</cp:revision>
  <dcterms:created xsi:type="dcterms:W3CDTF">2020-05-28T20:44:00Z</dcterms:created>
  <dcterms:modified xsi:type="dcterms:W3CDTF">2020-05-29T17:52:00Z</dcterms:modified>
</cp:coreProperties>
</file>