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8B1F02" w14:textId="4FF0F203" w:rsidR="0023691E" w:rsidRDefault="0023691E" w:rsidP="0023691E"/>
    <w:p w14:paraId="1D5F19E7" w14:textId="77777777" w:rsidR="0023691E" w:rsidRDefault="0023691E" w:rsidP="0023691E"/>
    <w:p w14:paraId="756C08E7" w14:textId="15313F89" w:rsidR="00D76F6D" w:rsidRPr="009E08CB" w:rsidRDefault="0023691E" w:rsidP="0023691E">
      <w:pPr>
        <w:rPr>
          <w:rFonts w:ascii="Times New Roman" w:hAnsi="Times New Roman" w:cs="Times New Roman"/>
        </w:rPr>
      </w:pPr>
      <w:r w:rsidRPr="009E08CB">
        <w:rPr>
          <w:rFonts w:ascii="Times New Roman" w:hAnsi="Times New Roman" w:cs="Times New Roman"/>
          <w:noProof/>
        </w:rPr>
        <w:drawing>
          <wp:inline distT="0" distB="0" distL="0" distR="0" wp14:anchorId="6C74803A" wp14:editId="5E9EC375">
            <wp:extent cx="5731510" cy="3180715"/>
            <wp:effectExtent l="0" t="0" r="2540" b="635"/>
            <wp:docPr id="10964136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80715"/>
                    </a:xfrm>
                    <a:prstGeom prst="rect">
                      <a:avLst/>
                    </a:prstGeom>
                    <a:noFill/>
                    <a:ln>
                      <a:noFill/>
                    </a:ln>
                  </pic:spPr>
                </pic:pic>
              </a:graphicData>
            </a:graphic>
          </wp:inline>
        </w:drawing>
      </w:r>
    </w:p>
    <w:p w14:paraId="41CF062A" w14:textId="77777777" w:rsidR="0023691E" w:rsidRPr="009E08CB" w:rsidRDefault="0023691E" w:rsidP="0023691E">
      <w:pPr>
        <w:jc w:val="center"/>
        <w:rPr>
          <w:rFonts w:ascii="Times New Roman" w:hAnsi="Times New Roman" w:cs="Times New Roman"/>
          <w:b/>
          <w:bCs/>
          <w:noProof/>
          <w:color w:val="000000" w:themeColor="text1"/>
          <w:sz w:val="44"/>
          <w:szCs w:val="44"/>
          <w:u w:val="single"/>
        </w:rPr>
      </w:pPr>
      <w:r w:rsidRPr="009E08CB">
        <w:rPr>
          <w:rFonts w:ascii="Times New Roman" w:hAnsi="Times New Roman" w:cs="Times New Roman"/>
          <w:b/>
          <w:bCs/>
          <w:noProof/>
          <w:color w:val="000000" w:themeColor="text1"/>
          <w:sz w:val="44"/>
          <w:szCs w:val="44"/>
          <w:u w:val="single"/>
        </w:rPr>
        <w:t>Data Security, Governance and Compliance           report for finsure Bank(FSB)</w:t>
      </w:r>
    </w:p>
    <w:p w14:paraId="6FFC6C2E" w14:textId="77777777" w:rsidR="0023691E" w:rsidRPr="009E08CB" w:rsidRDefault="0023691E" w:rsidP="0023691E">
      <w:pPr>
        <w:rPr>
          <w:rFonts w:ascii="Times New Roman" w:hAnsi="Times New Roman" w:cs="Times New Roman"/>
        </w:rPr>
      </w:pPr>
    </w:p>
    <w:p w14:paraId="6B8339F0" w14:textId="77777777" w:rsidR="0023691E" w:rsidRPr="009E08CB" w:rsidRDefault="0023691E" w:rsidP="0023691E">
      <w:pPr>
        <w:rPr>
          <w:rFonts w:ascii="Times New Roman" w:hAnsi="Times New Roman" w:cs="Times New Roman"/>
          <w:noProof/>
          <w:color w:val="000000" w:themeColor="text1"/>
          <w:sz w:val="40"/>
          <w:szCs w:val="40"/>
        </w:rPr>
      </w:pPr>
      <w:r w:rsidRPr="009E08CB">
        <w:rPr>
          <w:rFonts w:ascii="Times New Roman" w:hAnsi="Times New Roman" w:cs="Times New Roman"/>
          <w:b/>
          <w:bCs/>
          <w:noProof/>
          <w:color w:val="000000" w:themeColor="text1"/>
          <w:sz w:val="40"/>
          <w:szCs w:val="40"/>
        </w:rPr>
        <w:t>Name</w:t>
      </w:r>
      <w:r w:rsidRPr="009E08CB">
        <w:rPr>
          <w:rFonts w:ascii="Times New Roman" w:hAnsi="Times New Roman" w:cs="Times New Roman"/>
          <w:noProof/>
          <w:color w:val="000000" w:themeColor="text1"/>
          <w:sz w:val="40"/>
          <w:szCs w:val="40"/>
        </w:rPr>
        <w:t>: Hiral Jitubhai Jasoliya</w:t>
      </w:r>
    </w:p>
    <w:p w14:paraId="2452A1D4" w14:textId="77777777" w:rsidR="0023691E" w:rsidRPr="009E08CB" w:rsidRDefault="0023691E" w:rsidP="0023691E">
      <w:pPr>
        <w:rPr>
          <w:rFonts w:ascii="Times New Roman" w:hAnsi="Times New Roman" w:cs="Times New Roman"/>
          <w:noProof/>
          <w:color w:val="000000" w:themeColor="text1"/>
          <w:sz w:val="40"/>
          <w:szCs w:val="40"/>
        </w:rPr>
      </w:pPr>
      <w:r w:rsidRPr="009E08CB">
        <w:rPr>
          <w:rFonts w:ascii="Times New Roman" w:hAnsi="Times New Roman" w:cs="Times New Roman"/>
          <w:b/>
          <w:bCs/>
          <w:noProof/>
          <w:color w:val="000000" w:themeColor="text1"/>
          <w:sz w:val="40"/>
          <w:szCs w:val="40"/>
        </w:rPr>
        <w:t>Student Id:</w:t>
      </w:r>
      <w:r w:rsidRPr="009E08CB">
        <w:rPr>
          <w:rFonts w:ascii="Times New Roman" w:hAnsi="Times New Roman" w:cs="Times New Roman"/>
          <w:noProof/>
          <w:color w:val="000000" w:themeColor="text1"/>
          <w:sz w:val="40"/>
          <w:szCs w:val="40"/>
        </w:rPr>
        <w:t xml:space="preserve"> 2507162</w:t>
      </w:r>
    </w:p>
    <w:p w14:paraId="1116FC63" w14:textId="77777777" w:rsidR="0023691E" w:rsidRPr="009E08CB" w:rsidRDefault="0023691E" w:rsidP="0023691E">
      <w:pPr>
        <w:rPr>
          <w:rFonts w:ascii="Times New Roman" w:hAnsi="Times New Roman" w:cs="Times New Roman"/>
          <w:sz w:val="40"/>
          <w:szCs w:val="40"/>
        </w:rPr>
      </w:pPr>
      <w:r w:rsidRPr="009E08CB">
        <w:rPr>
          <w:rFonts w:ascii="Times New Roman" w:hAnsi="Times New Roman" w:cs="Times New Roman"/>
          <w:b/>
          <w:bCs/>
          <w:noProof/>
          <w:color w:val="000000" w:themeColor="text1"/>
          <w:sz w:val="40"/>
          <w:szCs w:val="40"/>
        </w:rPr>
        <w:t>Course:</w:t>
      </w:r>
      <w:r w:rsidRPr="009E08CB">
        <w:rPr>
          <w:rFonts w:ascii="Times New Roman" w:hAnsi="Times New Roman" w:cs="Times New Roman"/>
          <w:b/>
          <w:bCs/>
          <w:sz w:val="40"/>
          <w:szCs w:val="40"/>
        </w:rPr>
        <w:t xml:space="preserve"> </w:t>
      </w:r>
      <w:r w:rsidRPr="009E08CB">
        <w:rPr>
          <w:rFonts w:ascii="Times New Roman" w:hAnsi="Times New Roman" w:cs="Times New Roman"/>
          <w:sz w:val="40"/>
          <w:szCs w:val="40"/>
        </w:rPr>
        <w:t>MSc Cybersecurity and Digital Forensics</w:t>
      </w:r>
    </w:p>
    <w:p w14:paraId="39DD288C" w14:textId="77777777" w:rsidR="0023691E" w:rsidRPr="009E08CB" w:rsidRDefault="0023691E" w:rsidP="0023691E">
      <w:pPr>
        <w:rPr>
          <w:rFonts w:ascii="Times New Roman" w:hAnsi="Times New Roman" w:cs="Times New Roman"/>
          <w:sz w:val="40"/>
          <w:szCs w:val="40"/>
        </w:rPr>
      </w:pPr>
      <w:r w:rsidRPr="009E08CB">
        <w:rPr>
          <w:rFonts w:ascii="Times New Roman" w:hAnsi="Times New Roman" w:cs="Times New Roman"/>
          <w:b/>
          <w:bCs/>
          <w:sz w:val="40"/>
          <w:szCs w:val="40"/>
        </w:rPr>
        <w:t xml:space="preserve">Module: </w:t>
      </w:r>
      <w:r w:rsidRPr="009E08CB">
        <w:rPr>
          <w:rFonts w:ascii="Times New Roman" w:hAnsi="Times New Roman" w:cs="Times New Roman"/>
          <w:sz w:val="40"/>
          <w:szCs w:val="40"/>
        </w:rPr>
        <w:t>Data security, governance and Compliance</w:t>
      </w:r>
    </w:p>
    <w:p w14:paraId="31DC4D03" w14:textId="746960BE" w:rsidR="0023691E" w:rsidRPr="009E08CB" w:rsidRDefault="0023691E" w:rsidP="0023691E">
      <w:pPr>
        <w:rPr>
          <w:rFonts w:ascii="Times New Roman" w:hAnsi="Times New Roman" w:cs="Times New Roman"/>
          <w:sz w:val="40"/>
          <w:szCs w:val="40"/>
        </w:rPr>
      </w:pPr>
      <w:r w:rsidRPr="009E08CB">
        <w:rPr>
          <w:rFonts w:ascii="Times New Roman" w:hAnsi="Times New Roman" w:cs="Times New Roman"/>
          <w:b/>
          <w:bCs/>
          <w:sz w:val="40"/>
          <w:szCs w:val="40"/>
        </w:rPr>
        <w:t>University:</w:t>
      </w:r>
      <w:r w:rsidRPr="009E08CB">
        <w:rPr>
          <w:rFonts w:ascii="Times New Roman" w:hAnsi="Times New Roman" w:cs="Times New Roman"/>
          <w:sz w:val="40"/>
          <w:szCs w:val="40"/>
        </w:rPr>
        <w:t xml:space="preserve"> University of Wales, Trinity Saint David</w:t>
      </w:r>
    </w:p>
    <w:p w14:paraId="2C726FE9" w14:textId="77777777" w:rsidR="0023691E" w:rsidRDefault="0023691E" w:rsidP="0023691E">
      <w:pPr>
        <w:rPr>
          <w:rFonts w:ascii="Aptos" w:hAnsi="Aptos"/>
          <w:sz w:val="40"/>
          <w:szCs w:val="40"/>
        </w:rPr>
      </w:pPr>
    </w:p>
    <w:p w14:paraId="455AE1D9" w14:textId="77777777" w:rsidR="0023691E" w:rsidRDefault="0023691E" w:rsidP="0023691E">
      <w:pPr>
        <w:rPr>
          <w:rFonts w:ascii="Aptos" w:hAnsi="Aptos"/>
          <w:sz w:val="40"/>
          <w:szCs w:val="40"/>
        </w:rPr>
      </w:pPr>
    </w:p>
    <w:p w14:paraId="3A0DB1A8" w14:textId="77777777" w:rsidR="0023691E" w:rsidRDefault="0023691E" w:rsidP="0023691E">
      <w:pPr>
        <w:rPr>
          <w:rFonts w:ascii="Aptos" w:hAnsi="Aptos"/>
          <w:sz w:val="40"/>
          <w:szCs w:val="40"/>
        </w:rPr>
      </w:pPr>
    </w:p>
    <w:p w14:paraId="5B4CDF12" w14:textId="737AB3AC" w:rsidR="0023691E" w:rsidRPr="00247F6D" w:rsidRDefault="0023691E" w:rsidP="0023691E">
      <w:pPr>
        <w:rPr>
          <w:rFonts w:ascii="Times New Roman" w:hAnsi="Times New Roman" w:cs="Times New Roman"/>
          <w:b/>
          <w:bCs/>
          <w:sz w:val="32"/>
          <w:szCs w:val="32"/>
        </w:rPr>
      </w:pPr>
      <w:r w:rsidRPr="00247F6D">
        <w:rPr>
          <w:rFonts w:ascii="Times New Roman" w:hAnsi="Times New Roman" w:cs="Times New Roman"/>
          <w:b/>
          <w:bCs/>
          <w:sz w:val="32"/>
          <w:szCs w:val="32"/>
        </w:rPr>
        <w:lastRenderedPageBreak/>
        <w:t>Abstract</w:t>
      </w:r>
    </w:p>
    <w:p w14:paraId="34662313" w14:textId="77777777" w:rsidR="00756DF4" w:rsidRPr="00247F6D" w:rsidRDefault="00756DF4" w:rsidP="00756DF4">
      <w:pPr>
        <w:jc w:val="both"/>
        <w:rPr>
          <w:rFonts w:ascii="Times New Roman" w:hAnsi="Times New Roman" w:cs="Times New Roman"/>
          <w:noProof/>
          <w:sz w:val="28"/>
          <w:szCs w:val="28"/>
        </w:rPr>
      </w:pPr>
      <w:r w:rsidRPr="00247F6D">
        <w:rPr>
          <w:rFonts w:ascii="Times New Roman" w:hAnsi="Times New Roman" w:cs="Times New Roman"/>
          <w:noProof/>
          <w:sz w:val="28"/>
          <w:szCs w:val="28"/>
        </w:rPr>
        <w:t>The transition to cloud services and digitalization of banks has made the operations more efficient, but has increased the risk of cybersecurity attacks on banks. The current report examines the problems with security, governance, and compliance faced by FinSure Bank (FSB). It is one of the digital banks that works mostly on the cloud and uses BYOD policy.</w:t>
      </w:r>
    </w:p>
    <w:p w14:paraId="4D5C6FBC" w14:textId="77777777" w:rsidR="00756DF4" w:rsidRPr="00247F6D" w:rsidRDefault="00756DF4" w:rsidP="009E08CB">
      <w:pPr>
        <w:jc w:val="both"/>
        <w:rPr>
          <w:rFonts w:ascii="Times New Roman" w:hAnsi="Times New Roman" w:cs="Times New Roman"/>
          <w:noProof/>
          <w:sz w:val="28"/>
          <w:szCs w:val="28"/>
        </w:rPr>
      </w:pPr>
      <w:r w:rsidRPr="00247F6D">
        <w:rPr>
          <w:rFonts w:ascii="Times New Roman" w:hAnsi="Times New Roman" w:cs="Times New Roman"/>
          <w:noProof/>
          <w:sz w:val="28"/>
          <w:szCs w:val="28"/>
        </w:rPr>
        <w:t>They have been analyzed in the context of ITIL 4, ISO/IEC 27001:2022, and NIST Cybersecurity Framework 2.0 frameworks. ITIL 4 framework can be used for effective service management, ISO 27001:2022 framework allows building ISMS, and the latter includes NIST Cybersecurity Framework.</w:t>
      </w:r>
    </w:p>
    <w:p w14:paraId="6E376559" w14:textId="77777777" w:rsidR="00756DF4" w:rsidRPr="00247F6D" w:rsidRDefault="00756DF4" w:rsidP="00756DF4">
      <w:pPr>
        <w:jc w:val="both"/>
        <w:rPr>
          <w:rFonts w:ascii="Times New Roman" w:hAnsi="Times New Roman" w:cs="Times New Roman"/>
          <w:noProof/>
          <w:sz w:val="28"/>
          <w:szCs w:val="28"/>
        </w:rPr>
      </w:pPr>
      <w:r w:rsidRPr="00247F6D">
        <w:rPr>
          <w:rFonts w:ascii="Times New Roman" w:hAnsi="Times New Roman" w:cs="Times New Roman"/>
          <w:noProof/>
          <w:sz w:val="28"/>
          <w:szCs w:val="28"/>
        </w:rPr>
        <w:t>Based on this analysis, the hybrid framework called "FSB SecureBank Framework" is proposed, including key aspects discussed above: governance, policies, risk management, security controls, BYOD policy, GDPR compliance, contingency plans, SLAs. The need to regularly update the existing regulatory requirements is also critically discussed in relation to the evolving cyber threat environment.</w:t>
      </w:r>
    </w:p>
    <w:p w14:paraId="70584234" w14:textId="77777777" w:rsidR="00756DF4" w:rsidRPr="00247F6D" w:rsidRDefault="00756DF4" w:rsidP="00756DF4">
      <w:pPr>
        <w:jc w:val="both"/>
        <w:rPr>
          <w:rFonts w:ascii="Times New Roman" w:hAnsi="Times New Roman" w:cs="Times New Roman"/>
          <w:noProof/>
          <w:sz w:val="28"/>
          <w:szCs w:val="28"/>
        </w:rPr>
      </w:pPr>
      <w:r w:rsidRPr="00247F6D">
        <w:rPr>
          <w:rFonts w:ascii="Times New Roman" w:hAnsi="Times New Roman" w:cs="Times New Roman"/>
          <w:noProof/>
          <w:sz w:val="28"/>
          <w:szCs w:val="28"/>
        </w:rPr>
        <w:t>In general, the process of digitalization requires flexible and robust governance in the banking sector to secure confidential data.</w:t>
      </w:r>
    </w:p>
    <w:p w14:paraId="21421870" w14:textId="77777777" w:rsidR="00756DF4" w:rsidRDefault="00756DF4" w:rsidP="00756DF4">
      <w:pPr>
        <w:jc w:val="both"/>
        <w:rPr>
          <w:rFonts w:ascii="Times New Roman" w:hAnsi="Times New Roman" w:cs="Times New Roman"/>
          <w:sz w:val="36"/>
          <w:szCs w:val="36"/>
        </w:rPr>
      </w:pPr>
    </w:p>
    <w:p w14:paraId="6411FBE7" w14:textId="77777777" w:rsidR="00247F6D" w:rsidRDefault="00247F6D" w:rsidP="00756DF4">
      <w:pPr>
        <w:jc w:val="both"/>
        <w:rPr>
          <w:rFonts w:ascii="Times New Roman" w:hAnsi="Times New Roman" w:cs="Times New Roman"/>
          <w:sz w:val="36"/>
          <w:szCs w:val="36"/>
        </w:rPr>
      </w:pPr>
    </w:p>
    <w:p w14:paraId="269E79B5" w14:textId="77777777" w:rsidR="00247F6D" w:rsidRDefault="00247F6D" w:rsidP="00756DF4">
      <w:pPr>
        <w:jc w:val="both"/>
        <w:rPr>
          <w:rFonts w:ascii="Times New Roman" w:hAnsi="Times New Roman" w:cs="Times New Roman"/>
          <w:sz w:val="36"/>
          <w:szCs w:val="36"/>
        </w:rPr>
      </w:pPr>
    </w:p>
    <w:p w14:paraId="7E9243B5" w14:textId="77777777" w:rsidR="00247F6D" w:rsidRDefault="00247F6D" w:rsidP="00756DF4">
      <w:pPr>
        <w:jc w:val="both"/>
        <w:rPr>
          <w:rFonts w:ascii="Times New Roman" w:hAnsi="Times New Roman" w:cs="Times New Roman"/>
          <w:sz w:val="36"/>
          <w:szCs w:val="36"/>
        </w:rPr>
      </w:pPr>
    </w:p>
    <w:p w14:paraId="484D33EC" w14:textId="77777777" w:rsidR="00247F6D" w:rsidRDefault="00247F6D" w:rsidP="00756DF4">
      <w:pPr>
        <w:jc w:val="both"/>
        <w:rPr>
          <w:rFonts w:ascii="Times New Roman" w:hAnsi="Times New Roman" w:cs="Times New Roman"/>
          <w:sz w:val="36"/>
          <w:szCs w:val="36"/>
        </w:rPr>
      </w:pPr>
    </w:p>
    <w:p w14:paraId="767363C9" w14:textId="77777777" w:rsidR="00247F6D" w:rsidRDefault="00247F6D" w:rsidP="00756DF4">
      <w:pPr>
        <w:jc w:val="both"/>
        <w:rPr>
          <w:rFonts w:ascii="Times New Roman" w:hAnsi="Times New Roman" w:cs="Times New Roman"/>
          <w:sz w:val="36"/>
          <w:szCs w:val="36"/>
        </w:rPr>
      </w:pPr>
    </w:p>
    <w:p w14:paraId="7F0E932E" w14:textId="77777777" w:rsidR="00247F6D" w:rsidRDefault="00247F6D" w:rsidP="00756DF4">
      <w:pPr>
        <w:jc w:val="both"/>
        <w:rPr>
          <w:rFonts w:ascii="Times New Roman" w:hAnsi="Times New Roman" w:cs="Times New Roman"/>
          <w:sz w:val="36"/>
          <w:szCs w:val="36"/>
        </w:rPr>
      </w:pPr>
    </w:p>
    <w:p w14:paraId="1908ECDC" w14:textId="77777777" w:rsidR="00247F6D" w:rsidRPr="00247F6D" w:rsidRDefault="00247F6D" w:rsidP="00756DF4">
      <w:pPr>
        <w:jc w:val="both"/>
        <w:rPr>
          <w:rFonts w:ascii="Times New Roman" w:hAnsi="Times New Roman" w:cs="Times New Roman"/>
          <w:sz w:val="36"/>
          <w:szCs w:val="36"/>
        </w:rPr>
      </w:pPr>
    </w:p>
    <w:p w14:paraId="2724118B" w14:textId="77777777" w:rsidR="00756DF4" w:rsidRPr="00247F6D" w:rsidRDefault="00756DF4" w:rsidP="00756DF4">
      <w:pPr>
        <w:jc w:val="both"/>
        <w:rPr>
          <w:rFonts w:ascii="Times New Roman" w:hAnsi="Times New Roman" w:cs="Times New Roman"/>
          <w:sz w:val="36"/>
          <w:szCs w:val="36"/>
        </w:rPr>
      </w:pPr>
    </w:p>
    <w:p w14:paraId="7C79386B" w14:textId="77777777" w:rsidR="00756DF4" w:rsidRPr="00247F6D" w:rsidRDefault="00756DF4" w:rsidP="00756DF4">
      <w:pPr>
        <w:jc w:val="both"/>
        <w:rPr>
          <w:rFonts w:ascii="Times New Roman" w:hAnsi="Times New Roman" w:cs="Times New Roman"/>
          <w:sz w:val="36"/>
          <w:szCs w:val="36"/>
        </w:rPr>
      </w:pPr>
    </w:p>
    <w:p w14:paraId="2D3A3F4E" w14:textId="517651CA" w:rsidR="0023691E" w:rsidRPr="00247F6D" w:rsidRDefault="0023691E" w:rsidP="00756DF4">
      <w:pPr>
        <w:jc w:val="both"/>
        <w:rPr>
          <w:rFonts w:ascii="Times New Roman" w:hAnsi="Times New Roman" w:cs="Times New Roman"/>
          <w:b/>
          <w:bCs/>
          <w:sz w:val="32"/>
          <w:szCs w:val="32"/>
        </w:rPr>
      </w:pPr>
      <w:r w:rsidRPr="00247F6D">
        <w:rPr>
          <w:rFonts w:ascii="Times New Roman" w:hAnsi="Times New Roman" w:cs="Times New Roman"/>
          <w:b/>
          <w:bCs/>
          <w:sz w:val="32"/>
          <w:szCs w:val="32"/>
        </w:rPr>
        <w:lastRenderedPageBreak/>
        <w:t>Table of Contents</w:t>
      </w:r>
    </w:p>
    <w:p w14:paraId="16AD8317" w14:textId="6074D291" w:rsidR="0023691E" w:rsidRPr="00247F6D" w:rsidRDefault="0023691E" w:rsidP="0023691E">
      <w:pPr>
        <w:pStyle w:val="ListParagraph"/>
        <w:numPr>
          <w:ilvl w:val="0"/>
          <w:numId w:val="1"/>
        </w:numPr>
        <w:jc w:val="both"/>
        <w:rPr>
          <w:rFonts w:ascii="Times New Roman" w:hAnsi="Times New Roman" w:cs="Times New Roman"/>
          <w:sz w:val="28"/>
          <w:szCs w:val="28"/>
        </w:rPr>
      </w:pPr>
      <w:r w:rsidRPr="00247F6D">
        <w:rPr>
          <w:rFonts w:ascii="Times New Roman" w:hAnsi="Times New Roman" w:cs="Times New Roman"/>
          <w:sz w:val="28"/>
          <w:szCs w:val="28"/>
        </w:rPr>
        <w:t>Introduction</w:t>
      </w:r>
    </w:p>
    <w:p w14:paraId="4311CC9D" w14:textId="1AB19DCF" w:rsidR="0023691E" w:rsidRPr="00247F6D" w:rsidRDefault="0023691E" w:rsidP="0023691E">
      <w:pPr>
        <w:pStyle w:val="ListParagraph"/>
        <w:numPr>
          <w:ilvl w:val="0"/>
          <w:numId w:val="1"/>
        </w:numPr>
        <w:jc w:val="both"/>
        <w:rPr>
          <w:rFonts w:ascii="Times New Roman" w:hAnsi="Times New Roman" w:cs="Times New Roman"/>
          <w:sz w:val="28"/>
          <w:szCs w:val="28"/>
        </w:rPr>
      </w:pPr>
      <w:r w:rsidRPr="00247F6D">
        <w:rPr>
          <w:rFonts w:ascii="Times New Roman" w:hAnsi="Times New Roman" w:cs="Times New Roman"/>
          <w:sz w:val="28"/>
          <w:szCs w:val="28"/>
        </w:rPr>
        <w:t>Security Frameworks and Models</w:t>
      </w:r>
    </w:p>
    <w:p w14:paraId="332B5F33" w14:textId="4E0AB4BC" w:rsidR="0023691E" w:rsidRPr="00247F6D" w:rsidRDefault="0023691E" w:rsidP="0023691E">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ITIL Information Technology Infrastructure Library</w:t>
      </w:r>
    </w:p>
    <w:p w14:paraId="179F1C3B" w14:textId="56757B68" w:rsidR="0023691E" w:rsidRPr="00247F6D" w:rsidRDefault="0023691E" w:rsidP="0023691E">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ISO 27001 (Information Security Management System)</w:t>
      </w:r>
    </w:p>
    <w:p w14:paraId="133B6631" w14:textId="2D55CA51" w:rsidR="0023691E" w:rsidRPr="00247F6D" w:rsidRDefault="0023691E" w:rsidP="0023691E">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NIST Cybersecurity Framework</w:t>
      </w:r>
    </w:p>
    <w:p w14:paraId="517CA23D" w14:textId="019F03AB" w:rsidR="0023691E" w:rsidRPr="00247F6D" w:rsidRDefault="002533CD" w:rsidP="002533CD">
      <w:pPr>
        <w:pStyle w:val="ListParagraph"/>
        <w:numPr>
          <w:ilvl w:val="0"/>
          <w:numId w:val="1"/>
        </w:numPr>
        <w:jc w:val="both"/>
        <w:rPr>
          <w:rFonts w:ascii="Times New Roman" w:hAnsi="Times New Roman" w:cs="Times New Roman"/>
          <w:sz w:val="28"/>
          <w:szCs w:val="28"/>
        </w:rPr>
      </w:pPr>
      <w:r w:rsidRPr="00247F6D">
        <w:rPr>
          <w:rFonts w:ascii="Times New Roman" w:hAnsi="Times New Roman" w:cs="Times New Roman"/>
          <w:sz w:val="28"/>
          <w:szCs w:val="28"/>
        </w:rPr>
        <w:t>FSB Security, Governance and Compliance Design</w:t>
      </w:r>
    </w:p>
    <w:p w14:paraId="1094BFB5" w14:textId="70A10B95" w:rsidR="002533CD" w:rsidRPr="00247F6D" w:rsidRDefault="002533CD" w:rsidP="002533CD">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Governance</w:t>
      </w:r>
    </w:p>
    <w:p w14:paraId="3596AE14" w14:textId="7E7C7F5F" w:rsidR="002533CD" w:rsidRPr="00247F6D" w:rsidRDefault="002533CD" w:rsidP="002533CD">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Security Policies</w:t>
      </w:r>
    </w:p>
    <w:p w14:paraId="76DCDF3A" w14:textId="6B81B04C" w:rsidR="002533CD" w:rsidRPr="00247F6D" w:rsidRDefault="002533CD" w:rsidP="002533CD">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Risk Management</w:t>
      </w:r>
    </w:p>
    <w:p w14:paraId="096BE517" w14:textId="4DB4BC0E" w:rsidR="002533CD" w:rsidRPr="00247F6D" w:rsidRDefault="002533CD" w:rsidP="002533CD">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Protection Mechanisms</w:t>
      </w:r>
    </w:p>
    <w:p w14:paraId="5CB9A1B8" w14:textId="4E4DDFE6" w:rsidR="002533CD" w:rsidRPr="00247F6D" w:rsidRDefault="002533CD" w:rsidP="002533CD">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BYOD Security</w:t>
      </w:r>
    </w:p>
    <w:p w14:paraId="5B4A562A" w14:textId="5B5E4452" w:rsidR="002533CD" w:rsidRPr="00247F6D" w:rsidRDefault="002533CD" w:rsidP="002533CD">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Compliance (GDPR)</w:t>
      </w:r>
    </w:p>
    <w:p w14:paraId="4456179F" w14:textId="7888B8D9" w:rsidR="002533CD" w:rsidRPr="00247F6D" w:rsidRDefault="002533CD" w:rsidP="002533CD">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Contingency Planning</w:t>
      </w:r>
    </w:p>
    <w:p w14:paraId="15248F70" w14:textId="568BAB15" w:rsidR="002533CD" w:rsidRPr="00247F6D" w:rsidRDefault="002533CD" w:rsidP="002533CD">
      <w:pPr>
        <w:pStyle w:val="ListParagraph"/>
        <w:numPr>
          <w:ilvl w:val="1"/>
          <w:numId w:val="1"/>
        </w:numPr>
        <w:jc w:val="both"/>
        <w:rPr>
          <w:rFonts w:ascii="Times New Roman" w:hAnsi="Times New Roman" w:cs="Times New Roman"/>
          <w:sz w:val="28"/>
          <w:szCs w:val="28"/>
        </w:rPr>
      </w:pPr>
      <w:r w:rsidRPr="00247F6D">
        <w:rPr>
          <w:rFonts w:ascii="Times New Roman" w:hAnsi="Times New Roman" w:cs="Times New Roman"/>
          <w:sz w:val="28"/>
          <w:szCs w:val="28"/>
        </w:rPr>
        <w:t>Service Level Agreements (SLA)</w:t>
      </w:r>
    </w:p>
    <w:p w14:paraId="74606265" w14:textId="3A6AEC8C" w:rsidR="002533CD" w:rsidRPr="00247F6D" w:rsidRDefault="002533CD" w:rsidP="002533CD">
      <w:pPr>
        <w:pStyle w:val="ListParagraph"/>
        <w:numPr>
          <w:ilvl w:val="0"/>
          <w:numId w:val="1"/>
        </w:numPr>
        <w:jc w:val="both"/>
        <w:rPr>
          <w:rFonts w:ascii="Times New Roman" w:hAnsi="Times New Roman" w:cs="Times New Roman"/>
          <w:sz w:val="28"/>
          <w:szCs w:val="28"/>
        </w:rPr>
      </w:pPr>
      <w:r w:rsidRPr="00247F6D">
        <w:rPr>
          <w:rFonts w:ascii="Times New Roman" w:hAnsi="Times New Roman" w:cs="Times New Roman"/>
          <w:sz w:val="28"/>
          <w:szCs w:val="28"/>
        </w:rPr>
        <w:t>Critical Discussion: Importance of Updating Regulations and Standards</w:t>
      </w:r>
    </w:p>
    <w:p w14:paraId="5FD96086" w14:textId="27F4D576" w:rsidR="002533CD" w:rsidRPr="00247F6D" w:rsidRDefault="002533CD" w:rsidP="002533CD">
      <w:pPr>
        <w:pStyle w:val="ListParagraph"/>
        <w:numPr>
          <w:ilvl w:val="0"/>
          <w:numId w:val="1"/>
        </w:numPr>
        <w:jc w:val="both"/>
        <w:rPr>
          <w:rFonts w:ascii="Times New Roman" w:hAnsi="Times New Roman" w:cs="Times New Roman"/>
          <w:sz w:val="28"/>
          <w:szCs w:val="28"/>
        </w:rPr>
      </w:pPr>
      <w:r w:rsidRPr="00247F6D">
        <w:rPr>
          <w:rFonts w:ascii="Times New Roman" w:hAnsi="Times New Roman" w:cs="Times New Roman"/>
          <w:sz w:val="28"/>
          <w:szCs w:val="28"/>
        </w:rPr>
        <w:t>Conclusion</w:t>
      </w:r>
    </w:p>
    <w:p w14:paraId="0733CA37" w14:textId="41A4C283" w:rsidR="002533CD" w:rsidRPr="00247F6D" w:rsidRDefault="002533CD" w:rsidP="002533CD">
      <w:pPr>
        <w:pStyle w:val="ListParagraph"/>
        <w:numPr>
          <w:ilvl w:val="0"/>
          <w:numId w:val="1"/>
        </w:numPr>
        <w:jc w:val="both"/>
        <w:rPr>
          <w:rFonts w:ascii="Times New Roman" w:hAnsi="Times New Roman" w:cs="Times New Roman"/>
          <w:sz w:val="28"/>
          <w:szCs w:val="28"/>
        </w:rPr>
      </w:pPr>
      <w:r w:rsidRPr="00247F6D">
        <w:rPr>
          <w:rFonts w:ascii="Times New Roman" w:hAnsi="Times New Roman" w:cs="Times New Roman"/>
          <w:sz w:val="28"/>
          <w:szCs w:val="28"/>
        </w:rPr>
        <w:t>IEEE References</w:t>
      </w:r>
    </w:p>
    <w:p w14:paraId="3204C2AE" w14:textId="77777777" w:rsidR="002533CD" w:rsidRPr="00247F6D" w:rsidRDefault="002533CD" w:rsidP="002533CD">
      <w:pPr>
        <w:pStyle w:val="ListParagraph"/>
        <w:jc w:val="both"/>
        <w:rPr>
          <w:rFonts w:ascii="Times New Roman" w:hAnsi="Times New Roman" w:cs="Times New Roman"/>
          <w:sz w:val="36"/>
          <w:szCs w:val="36"/>
        </w:rPr>
      </w:pPr>
    </w:p>
    <w:p w14:paraId="467C2F02" w14:textId="77777777" w:rsidR="009E08CB" w:rsidRPr="00247F6D" w:rsidRDefault="009E08CB" w:rsidP="002533CD">
      <w:pPr>
        <w:pStyle w:val="ListParagraph"/>
        <w:jc w:val="both"/>
        <w:rPr>
          <w:rFonts w:ascii="Times New Roman" w:hAnsi="Times New Roman" w:cs="Times New Roman"/>
          <w:sz w:val="36"/>
          <w:szCs w:val="36"/>
        </w:rPr>
      </w:pPr>
    </w:p>
    <w:p w14:paraId="7817D47C" w14:textId="453F94E7" w:rsidR="009E08CB" w:rsidRPr="00247F6D" w:rsidRDefault="009E08CB" w:rsidP="002533CD">
      <w:pPr>
        <w:pStyle w:val="ListParagraph"/>
        <w:jc w:val="both"/>
        <w:rPr>
          <w:rFonts w:ascii="Times New Roman" w:hAnsi="Times New Roman" w:cs="Times New Roman"/>
          <w:sz w:val="36"/>
          <w:szCs w:val="36"/>
        </w:rPr>
      </w:pPr>
      <w:r w:rsidRPr="00247F6D">
        <w:rPr>
          <w:rFonts w:ascii="Times New Roman" w:hAnsi="Times New Roman" w:cs="Times New Roman"/>
          <w:sz w:val="36"/>
          <w:szCs w:val="36"/>
        </w:rPr>
        <w:t>.</w:t>
      </w:r>
    </w:p>
    <w:p w14:paraId="43B70256" w14:textId="77777777" w:rsidR="009E08CB" w:rsidRDefault="009E08CB" w:rsidP="002533CD">
      <w:pPr>
        <w:pStyle w:val="ListParagraph"/>
        <w:jc w:val="both"/>
        <w:rPr>
          <w:rFonts w:ascii="Times New Roman" w:hAnsi="Times New Roman" w:cs="Times New Roman"/>
          <w:sz w:val="36"/>
          <w:szCs w:val="36"/>
        </w:rPr>
      </w:pPr>
    </w:p>
    <w:p w14:paraId="36E0D33F" w14:textId="77777777" w:rsidR="00247F6D" w:rsidRDefault="00247F6D" w:rsidP="002533CD">
      <w:pPr>
        <w:pStyle w:val="ListParagraph"/>
        <w:jc w:val="both"/>
        <w:rPr>
          <w:rFonts w:ascii="Times New Roman" w:hAnsi="Times New Roman" w:cs="Times New Roman"/>
          <w:sz w:val="36"/>
          <w:szCs w:val="36"/>
        </w:rPr>
      </w:pPr>
    </w:p>
    <w:p w14:paraId="40B83C2C" w14:textId="77777777" w:rsidR="00247F6D" w:rsidRDefault="00247F6D" w:rsidP="002533CD">
      <w:pPr>
        <w:pStyle w:val="ListParagraph"/>
        <w:jc w:val="both"/>
        <w:rPr>
          <w:rFonts w:ascii="Times New Roman" w:hAnsi="Times New Roman" w:cs="Times New Roman"/>
          <w:sz w:val="36"/>
          <w:szCs w:val="36"/>
        </w:rPr>
      </w:pPr>
    </w:p>
    <w:p w14:paraId="6E82477A" w14:textId="77777777" w:rsidR="00247F6D" w:rsidRDefault="00247F6D" w:rsidP="002533CD">
      <w:pPr>
        <w:pStyle w:val="ListParagraph"/>
        <w:jc w:val="both"/>
        <w:rPr>
          <w:rFonts w:ascii="Times New Roman" w:hAnsi="Times New Roman" w:cs="Times New Roman"/>
          <w:sz w:val="36"/>
          <w:szCs w:val="36"/>
        </w:rPr>
      </w:pPr>
    </w:p>
    <w:p w14:paraId="011484C8" w14:textId="77777777" w:rsidR="00247F6D" w:rsidRDefault="00247F6D" w:rsidP="002533CD">
      <w:pPr>
        <w:pStyle w:val="ListParagraph"/>
        <w:jc w:val="both"/>
        <w:rPr>
          <w:rFonts w:ascii="Times New Roman" w:hAnsi="Times New Roman" w:cs="Times New Roman"/>
          <w:sz w:val="36"/>
          <w:szCs w:val="36"/>
        </w:rPr>
      </w:pPr>
    </w:p>
    <w:p w14:paraId="4A81A053" w14:textId="77777777" w:rsidR="00247F6D" w:rsidRDefault="00247F6D" w:rsidP="002533CD">
      <w:pPr>
        <w:pStyle w:val="ListParagraph"/>
        <w:jc w:val="both"/>
        <w:rPr>
          <w:rFonts w:ascii="Times New Roman" w:hAnsi="Times New Roman" w:cs="Times New Roman"/>
          <w:sz w:val="36"/>
          <w:szCs w:val="36"/>
        </w:rPr>
      </w:pPr>
    </w:p>
    <w:p w14:paraId="4873A795" w14:textId="77777777" w:rsidR="00247F6D" w:rsidRPr="00247F6D" w:rsidRDefault="00247F6D" w:rsidP="002533CD">
      <w:pPr>
        <w:pStyle w:val="ListParagraph"/>
        <w:jc w:val="both"/>
        <w:rPr>
          <w:rFonts w:ascii="Times New Roman" w:hAnsi="Times New Roman" w:cs="Times New Roman"/>
          <w:sz w:val="36"/>
          <w:szCs w:val="36"/>
        </w:rPr>
      </w:pPr>
    </w:p>
    <w:p w14:paraId="400C7A7F" w14:textId="77777777" w:rsidR="002533CD" w:rsidRPr="00247F6D" w:rsidRDefault="002533CD" w:rsidP="002533CD">
      <w:pPr>
        <w:pStyle w:val="ListParagraph"/>
        <w:jc w:val="both"/>
        <w:rPr>
          <w:rFonts w:ascii="Times New Roman" w:hAnsi="Times New Roman" w:cs="Times New Roman"/>
          <w:sz w:val="36"/>
          <w:szCs w:val="36"/>
        </w:rPr>
      </w:pPr>
    </w:p>
    <w:p w14:paraId="04814700" w14:textId="77777777" w:rsidR="002533CD" w:rsidRDefault="002533CD" w:rsidP="002533CD">
      <w:pPr>
        <w:jc w:val="both"/>
        <w:rPr>
          <w:rFonts w:ascii="Times New Roman" w:hAnsi="Times New Roman" w:cs="Times New Roman"/>
          <w:sz w:val="36"/>
          <w:szCs w:val="36"/>
        </w:rPr>
      </w:pPr>
    </w:p>
    <w:p w14:paraId="1851D7B0" w14:textId="77777777" w:rsidR="00247F6D" w:rsidRPr="00247F6D" w:rsidRDefault="00247F6D" w:rsidP="002533CD">
      <w:pPr>
        <w:jc w:val="both"/>
        <w:rPr>
          <w:rFonts w:ascii="Times New Roman" w:hAnsi="Times New Roman" w:cs="Times New Roman"/>
          <w:sz w:val="36"/>
          <w:szCs w:val="36"/>
        </w:rPr>
      </w:pPr>
    </w:p>
    <w:p w14:paraId="39812B35" w14:textId="61662DCE" w:rsidR="0023691E" w:rsidRPr="00247F6D" w:rsidRDefault="002533CD" w:rsidP="002533CD">
      <w:pPr>
        <w:pStyle w:val="ListParagraph"/>
        <w:numPr>
          <w:ilvl w:val="0"/>
          <w:numId w:val="2"/>
        </w:numPr>
        <w:jc w:val="both"/>
        <w:rPr>
          <w:rFonts w:ascii="Times New Roman" w:hAnsi="Times New Roman" w:cs="Times New Roman"/>
          <w:b/>
          <w:bCs/>
          <w:sz w:val="32"/>
          <w:szCs w:val="32"/>
        </w:rPr>
      </w:pPr>
      <w:r w:rsidRPr="00247F6D">
        <w:rPr>
          <w:rFonts w:ascii="Times New Roman" w:hAnsi="Times New Roman" w:cs="Times New Roman"/>
          <w:b/>
          <w:bCs/>
          <w:sz w:val="32"/>
          <w:szCs w:val="32"/>
        </w:rPr>
        <w:lastRenderedPageBreak/>
        <w:t>Introduction</w:t>
      </w:r>
    </w:p>
    <w:p w14:paraId="005A4F6E" w14:textId="77777777" w:rsidR="00756DF4" w:rsidRPr="00247F6D" w:rsidRDefault="00756DF4" w:rsidP="004609C2">
      <w:pPr>
        <w:ind w:left="720"/>
        <w:jc w:val="both"/>
        <w:rPr>
          <w:rFonts w:ascii="Times New Roman" w:hAnsi="Times New Roman" w:cs="Times New Roman"/>
          <w:noProof/>
          <w:sz w:val="28"/>
          <w:szCs w:val="28"/>
        </w:rPr>
      </w:pPr>
      <w:r w:rsidRPr="00247F6D">
        <w:rPr>
          <w:rFonts w:ascii="Times New Roman" w:hAnsi="Times New Roman" w:cs="Times New Roman"/>
          <w:noProof/>
          <w:sz w:val="28"/>
          <w:szCs w:val="28"/>
        </w:rPr>
        <w:t>Traditionally, brick-and-mortar banking systems have evolved to become cloud-based, ensuring fast processing and increased accessibility. However, as banks migrate towards using cloud technologies, many new cybersecurity threats arise, including data leakage, identity theft, and insider threat. For FinSure Bank (FSB), a fast-growing financial services firm, whose operations depend heavily on technology, as over 90 percent of its infrastructure is hosted outside its internal data centers, along with the requirement for BYOD access among staff members and contractors and increased mobile banking services for the customers, all pose significant security challenges.</w:t>
      </w:r>
    </w:p>
    <w:p w14:paraId="23A5DE65" w14:textId="77777777" w:rsidR="00756DF4" w:rsidRPr="00247F6D" w:rsidRDefault="00756DF4" w:rsidP="004609C2">
      <w:pPr>
        <w:ind w:left="720"/>
        <w:jc w:val="both"/>
        <w:rPr>
          <w:rFonts w:ascii="Times New Roman" w:hAnsi="Times New Roman" w:cs="Times New Roman"/>
          <w:noProof/>
          <w:sz w:val="28"/>
          <w:szCs w:val="28"/>
        </w:rPr>
      </w:pPr>
      <w:r w:rsidRPr="00247F6D">
        <w:rPr>
          <w:rFonts w:ascii="Times New Roman" w:hAnsi="Times New Roman" w:cs="Times New Roman"/>
          <w:noProof/>
          <w:sz w:val="28"/>
          <w:szCs w:val="28"/>
        </w:rPr>
        <w:t>Although FinSure processes highly sensitive and confidential data, there are no established security policies, lack of governance model, risk management, or compliance audits, leaving the bank at the mercy of the GDPR compliance, frauds, and cybersecurity attacks.</w:t>
      </w:r>
    </w:p>
    <w:p w14:paraId="366778C7" w14:textId="148C589C" w:rsidR="00247F6D" w:rsidRPr="00E93857" w:rsidRDefault="00BD7C1A" w:rsidP="00E93857">
      <w:pPr>
        <w:ind w:left="720"/>
        <w:jc w:val="both"/>
        <w:rPr>
          <w:rFonts w:ascii="Times New Roman" w:hAnsi="Times New Roman" w:cs="Times New Roman"/>
          <w:noProof/>
          <w:sz w:val="28"/>
          <w:szCs w:val="28"/>
        </w:rPr>
      </w:pPr>
      <w:r w:rsidRPr="00247F6D">
        <w:rPr>
          <w:rFonts w:ascii="Times New Roman" w:hAnsi="Times New Roman" w:cs="Times New Roman"/>
          <w:noProof/>
          <w:sz w:val="28"/>
          <w:szCs w:val="28"/>
        </w:rPr>
        <w:t>In this report, three security frameworks widely used by organizations will be presented: ITIL 4, ISO/IEC 27001:2022, and NIST Cybersecurity Framework 2.0. Later, a new framework based on two aforementioned models will be suggested, with the emphasis on the importance of updating cybersecurity standards.</w:t>
      </w:r>
    </w:p>
    <w:p w14:paraId="5ECAE621" w14:textId="16CC4B0A" w:rsidR="002533CD" w:rsidRPr="00247F6D" w:rsidRDefault="002533CD" w:rsidP="004609C2">
      <w:pPr>
        <w:ind w:left="720"/>
        <w:jc w:val="both"/>
        <w:rPr>
          <w:rFonts w:ascii="Times New Roman" w:hAnsi="Times New Roman" w:cs="Times New Roman"/>
          <w:b/>
          <w:bCs/>
          <w:noProof/>
          <w:sz w:val="32"/>
          <w:szCs w:val="32"/>
        </w:rPr>
      </w:pPr>
      <w:r w:rsidRPr="00247F6D">
        <w:rPr>
          <w:rFonts w:ascii="Times New Roman" w:hAnsi="Times New Roman" w:cs="Times New Roman"/>
          <w:b/>
          <w:bCs/>
          <w:noProof/>
          <w:sz w:val="32"/>
          <w:szCs w:val="32"/>
        </w:rPr>
        <w:t>Assumptions</w:t>
      </w:r>
    </w:p>
    <w:p w14:paraId="3241C3DF" w14:textId="77777777" w:rsidR="00756DF4" w:rsidRPr="00247F6D" w:rsidRDefault="00756DF4" w:rsidP="004609C2">
      <w:pPr>
        <w:pStyle w:val="ListParagraph"/>
        <w:numPr>
          <w:ilvl w:val="0"/>
          <w:numId w:val="3"/>
        </w:numPr>
        <w:ind w:left="1440"/>
        <w:jc w:val="both"/>
        <w:rPr>
          <w:rFonts w:ascii="Times New Roman" w:hAnsi="Times New Roman" w:cs="Times New Roman"/>
          <w:noProof/>
          <w:sz w:val="28"/>
          <w:szCs w:val="28"/>
        </w:rPr>
      </w:pPr>
      <w:r w:rsidRPr="00247F6D">
        <w:rPr>
          <w:rFonts w:ascii="Times New Roman" w:hAnsi="Times New Roman" w:cs="Times New Roman"/>
          <w:noProof/>
          <w:sz w:val="28"/>
          <w:szCs w:val="28"/>
        </w:rPr>
        <w:t>FSB complies with GDPR and other comparable data security laws across different jurisdictions.</w:t>
      </w:r>
    </w:p>
    <w:p w14:paraId="3AB454D8" w14:textId="77777777" w:rsidR="00756DF4" w:rsidRPr="00247F6D" w:rsidRDefault="00756DF4" w:rsidP="004609C2">
      <w:pPr>
        <w:pStyle w:val="ListParagraph"/>
        <w:numPr>
          <w:ilvl w:val="0"/>
          <w:numId w:val="3"/>
        </w:numPr>
        <w:ind w:left="1440"/>
        <w:jc w:val="both"/>
        <w:rPr>
          <w:rFonts w:ascii="Times New Roman" w:hAnsi="Times New Roman" w:cs="Times New Roman"/>
          <w:noProof/>
          <w:sz w:val="28"/>
          <w:szCs w:val="28"/>
        </w:rPr>
      </w:pPr>
      <w:r w:rsidRPr="00247F6D">
        <w:rPr>
          <w:rFonts w:ascii="Times New Roman" w:hAnsi="Times New Roman" w:cs="Times New Roman"/>
          <w:noProof/>
          <w:sz w:val="28"/>
          <w:szCs w:val="28"/>
        </w:rPr>
        <w:t>The cloud services currently being utilized possess a minimum certification level of SOC 2 and equivalent.</w:t>
      </w:r>
    </w:p>
    <w:p w14:paraId="6D6C7B3A" w14:textId="77777777" w:rsidR="00756DF4" w:rsidRPr="00247F6D" w:rsidRDefault="00756DF4" w:rsidP="004609C2">
      <w:pPr>
        <w:pStyle w:val="ListParagraph"/>
        <w:numPr>
          <w:ilvl w:val="0"/>
          <w:numId w:val="3"/>
        </w:numPr>
        <w:ind w:left="1440"/>
        <w:jc w:val="both"/>
        <w:rPr>
          <w:rFonts w:ascii="Times New Roman" w:hAnsi="Times New Roman" w:cs="Times New Roman"/>
          <w:noProof/>
          <w:sz w:val="28"/>
          <w:szCs w:val="28"/>
        </w:rPr>
      </w:pPr>
      <w:r w:rsidRPr="00247F6D">
        <w:rPr>
          <w:rFonts w:ascii="Times New Roman" w:hAnsi="Times New Roman" w:cs="Times New Roman"/>
          <w:noProof/>
          <w:sz w:val="28"/>
          <w:szCs w:val="28"/>
        </w:rPr>
        <w:t>Support from top-level management and adequate funding for a 1-year phased deployment cycle are assured.</w:t>
      </w:r>
    </w:p>
    <w:p w14:paraId="5F68A164" w14:textId="0503D074" w:rsidR="002533CD" w:rsidRPr="00247F6D" w:rsidRDefault="00756DF4" w:rsidP="004609C2">
      <w:pPr>
        <w:pStyle w:val="ListParagraph"/>
        <w:numPr>
          <w:ilvl w:val="0"/>
          <w:numId w:val="3"/>
        </w:numPr>
        <w:ind w:left="1440"/>
        <w:jc w:val="both"/>
        <w:rPr>
          <w:rFonts w:ascii="Times New Roman" w:hAnsi="Times New Roman" w:cs="Times New Roman"/>
          <w:noProof/>
          <w:sz w:val="28"/>
          <w:szCs w:val="28"/>
        </w:rPr>
      </w:pPr>
      <w:r w:rsidRPr="00247F6D">
        <w:rPr>
          <w:rFonts w:ascii="Times New Roman" w:hAnsi="Times New Roman" w:cs="Times New Roman"/>
          <w:noProof/>
          <w:sz w:val="28"/>
          <w:szCs w:val="28"/>
        </w:rPr>
        <w:t>BYOD will be deployed on a mandatory basis, with MDM software being deployed to facilitate this.</w:t>
      </w:r>
    </w:p>
    <w:p w14:paraId="1689D235" w14:textId="77777777" w:rsidR="00247F6D" w:rsidRDefault="00247F6D" w:rsidP="002533CD">
      <w:pPr>
        <w:jc w:val="both"/>
        <w:rPr>
          <w:rFonts w:ascii="Times New Roman" w:hAnsi="Times New Roman" w:cs="Times New Roman"/>
          <w:noProof/>
          <w:sz w:val="40"/>
          <w:szCs w:val="40"/>
        </w:rPr>
      </w:pPr>
    </w:p>
    <w:p w14:paraId="341CB5F1" w14:textId="77777777" w:rsidR="00E93857" w:rsidRDefault="00E93857" w:rsidP="002533CD">
      <w:pPr>
        <w:jc w:val="both"/>
        <w:rPr>
          <w:rFonts w:ascii="Times New Roman" w:hAnsi="Times New Roman" w:cs="Times New Roman"/>
          <w:sz w:val="40"/>
          <w:szCs w:val="40"/>
        </w:rPr>
      </w:pPr>
    </w:p>
    <w:p w14:paraId="3A48F43A" w14:textId="77777777" w:rsidR="00E93857" w:rsidRDefault="00E93857" w:rsidP="002533CD">
      <w:pPr>
        <w:jc w:val="both"/>
        <w:rPr>
          <w:rFonts w:ascii="Times New Roman" w:hAnsi="Times New Roman" w:cs="Times New Roman"/>
          <w:sz w:val="40"/>
          <w:szCs w:val="40"/>
        </w:rPr>
      </w:pPr>
    </w:p>
    <w:p w14:paraId="3EADC2F8" w14:textId="045D9E2D" w:rsidR="0023691E" w:rsidRPr="00247F6D" w:rsidRDefault="002533CD" w:rsidP="002533CD">
      <w:pPr>
        <w:jc w:val="both"/>
        <w:rPr>
          <w:rFonts w:ascii="Times New Roman" w:hAnsi="Times New Roman" w:cs="Times New Roman"/>
          <w:b/>
          <w:bCs/>
          <w:sz w:val="36"/>
          <w:szCs w:val="36"/>
        </w:rPr>
      </w:pPr>
      <w:r w:rsidRPr="00247F6D">
        <w:rPr>
          <w:rFonts w:ascii="Times New Roman" w:hAnsi="Times New Roman" w:cs="Times New Roman"/>
          <w:b/>
          <w:bCs/>
          <w:sz w:val="36"/>
          <w:szCs w:val="36"/>
        </w:rPr>
        <w:lastRenderedPageBreak/>
        <w:t>2. Security Frameworks and Models</w:t>
      </w:r>
    </w:p>
    <w:p w14:paraId="26D3BBB8" w14:textId="191DA50A" w:rsidR="0023691E" w:rsidRPr="00247F6D" w:rsidRDefault="002533CD" w:rsidP="002533CD">
      <w:pPr>
        <w:jc w:val="both"/>
        <w:rPr>
          <w:rFonts w:ascii="Times New Roman" w:hAnsi="Times New Roman" w:cs="Times New Roman"/>
          <w:b/>
          <w:bCs/>
          <w:sz w:val="32"/>
          <w:szCs w:val="32"/>
        </w:rPr>
      </w:pPr>
      <w:r w:rsidRPr="00247F6D">
        <w:rPr>
          <w:rFonts w:ascii="Times New Roman" w:hAnsi="Times New Roman" w:cs="Times New Roman"/>
          <w:b/>
          <w:bCs/>
          <w:sz w:val="32"/>
          <w:szCs w:val="32"/>
        </w:rPr>
        <w:t>2.1 ITIL Information Technology Infrastructure Library</w:t>
      </w:r>
    </w:p>
    <w:p w14:paraId="6CF7EFB3" w14:textId="7E07789E" w:rsidR="00A31678" w:rsidRDefault="007F395D" w:rsidP="0023691E">
      <w:pPr>
        <w:rPr>
          <w:rFonts w:ascii="Times New Roman" w:hAnsi="Times New Roman" w:cs="Times New Roman"/>
          <w:sz w:val="28"/>
          <w:szCs w:val="28"/>
        </w:rPr>
      </w:pPr>
      <w:r w:rsidRPr="00247F6D">
        <w:rPr>
          <w:rFonts w:ascii="Times New Roman" w:hAnsi="Times New Roman" w:cs="Times New Roman"/>
          <w:sz w:val="28"/>
          <w:szCs w:val="28"/>
        </w:rPr>
        <w:t>ITIL Version 4 is a best practice framework designed to provide a Service Value System (SVS) that will ensure alignment between IT services and organizational objectives.</w:t>
      </w:r>
    </w:p>
    <w:p w14:paraId="7FAB4932" w14:textId="77777777" w:rsidR="003E5F02" w:rsidRDefault="003E5F02" w:rsidP="0023691E">
      <w:pPr>
        <w:rPr>
          <w:rFonts w:ascii="Times New Roman" w:hAnsi="Times New Roman" w:cs="Times New Roman"/>
          <w:noProof/>
          <w:sz w:val="28"/>
          <w:szCs w:val="28"/>
        </w:rPr>
      </w:pPr>
    </w:p>
    <w:p w14:paraId="5D3B1FD9" w14:textId="5BCE2FA8" w:rsidR="00E93857" w:rsidRDefault="00E93857" w:rsidP="00E93857">
      <w:pPr>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2EA4309" wp14:editId="5F77F72C">
            <wp:extent cx="4492625" cy="3611880"/>
            <wp:effectExtent l="0" t="0" r="3175" b="7620"/>
            <wp:docPr id="8939652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965272" name="Picture 893965272"/>
                    <pic:cNvPicPr/>
                  </pic:nvPicPr>
                  <pic:blipFill>
                    <a:blip r:embed="rId7">
                      <a:extLst>
                        <a:ext uri="{28A0092B-C50C-407E-A947-70E740481C1C}">
                          <a14:useLocalDpi xmlns:a14="http://schemas.microsoft.com/office/drawing/2010/main" val="0"/>
                        </a:ext>
                      </a:extLst>
                    </a:blip>
                    <a:stretch>
                      <a:fillRect/>
                    </a:stretch>
                  </pic:blipFill>
                  <pic:spPr>
                    <a:xfrm>
                      <a:off x="0" y="0"/>
                      <a:ext cx="4502470" cy="3619795"/>
                    </a:xfrm>
                    <a:prstGeom prst="rect">
                      <a:avLst/>
                    </a:prstGeom>
                  </pic:spPr>
                </pic:pic>
              </a:graphicData>
            </a:graphic>
          </wp:inline>
        </w:drawing>
      </w:r>
    </w:p>
    <w:p w14:paraId="100715FA" w14:textId="77777777" w:rsidR="006B6423" w:rsidRPr="00247F6D" w:rsidRDefault="006B6423" w:rsidP="00E93857">
      <w:pPr>
        <w:jc w:val="center"/>
        <w:rPr>
          <w:rFonts w:ascii="Times New Roman" w:hAnsi="Times New Roman" w:cs="Times New Roman"/>
          <w:sz w:val="28"/>
          <w:szCs w:val="28"/>
        </w:rPr>
      </w:pPr>
    </w:p>
    <w:p w14:paraId="1C5E65AF" w14:textId="77777777" w:rsidR="00E93857" w:rsidRDefault="00E030DA" w:rsidP="00E030DA">
      <w:pPr>
        <w:rPr>
          <w:rFonts w:ascii="Times New Roman" w:hAnsi="Times New Roman" w:cs="Times New Roman"/>
          <w:sz w:val="28"/>
          <w:szCs w:val="28"/>
        </w:rPr>
      </w:pPr>
      <w:r w:rsidRPr="00247F6D">
        <w:rPr>
          <w:rFonts w:ascii="Times New Roman" w:hAnsi="Times New Roman" w:cs="Times New Roman"/>
          <w:sz w:val="28"/>
          <w:szCs w:val="28"/>
        </w:rPr>
        <w:t>ITIL Version 4 will be helpful to FSBs because it provides guidelines on how to deal with security risks associated with cloud service management and BYOD incidents; therefore, any disruptions will be kept at bay. But it is necessary to apply the framework together with other frameworks due to the fact that it does not offer a satisfactory solution to security issues, although it concentrates more on service delivery.</w:t>
      </w:r>
    </w:p>
    <w:p w14:paraId="45776D8A" w14:textId="70D7A83F" w:rsidR="00E030DA" w:rsidRPr="00E93857" w:rsidRDefault="002533CD" w:rsidP="00E030DA">
      <w:pPr>
        <w:rPr>
          <w:rFonts w:ascii="Times New Roman" w:hAnsi="Times New Roman" w:cs="Times New Roman"/>
          <w:sz w:val="28"/>
          <w:szCs w:val="28"/>
        </w:rPr>
      </w:pPr>
      <w:r w:rsidRPr="00247F6D">
        <w:rPr>
          <w:rFonts w:ascii="Times New Roman" w:hAnsi="Times New Roman" w:cs="Times New Roman"/>
          <w:b/>
          <w:bCs/>
          <w:sz w:val="32"/>
          <w:szCs w:val="32"/>
        </w:rPr>
        <w:t>2.2 ISO 27001 (Information Security Management System)</w:t>
      </w:r>
    </w:p>
    <w:p w14:paraId="4B8FC031" w14:textId="18523811" w:rsidR="00E93857" w:rsidRDefault="00E030DA" w:rsidP="00E030DA">
      <w:pPr>
        <w:jc w:val="both"/>
        <w:rPr>
          <w:rFonts w:ascii="Times New Roman" w:hAnsi="Times New Roman" w:cs="Times New Roman"/>
          <w:noProof/>
          <w:sz w:val="28"/>
          <w:szCs w:val="28"/>
        </w:rPr>
      </w:pPr>
      <w:r w:rsidRPr="00247F6D">
        <w:rPr>
          <w:rFonts w:ascii="Times New Roman" w:hAnsi="Times New Roman" w:cs="Times New Roman"/>
          <w:noProof/>
          <w:sz w:val="28"/>
          <w:szCs w:val="28"/>
        </w:rPr>
        <w:t>ISO/IEC 27001:2022 standard is a globally recognized standard for the implementation of ISMS.It follows a risk-based strategy and adopts the PDCA approach. It also</w:t>
      </w:r>
      <w:r w:rsidRPr="00247F6D">
        <w:rPr>
          <w:rFonts w:ascii="Times New Roman" w:hAnsi="Times New Roman" w:cs="Times New Roman"/>
          <w:noProof/>
          <w:sz w:val="36"/>
          <w:szCs w:val="36"/>
        </w:rPr>
        <w:t xml:space="preserve"> </w:t>
      </w:r>
      <w:r w:rsidRPr="00247F6D">
        <w:rPr>
          <w:rFonts w:ascii="Times New Roman" w:hAnsi="Times New Roman" w:cs="Times New Roman"/>
          <w:noProof/>
          <w:sz w:val="28"/>
          <w:szCs w:val="28"/>
        </w:rPr>
        <w:t>comprises a total of 93 control measures</w:t>
      </w:r>
      <w:r w:rsidRPr="00247F6D">
        <w:rPr>
          <w:rFonts w:ascii="Times New Roman" w:hAnsi="Times New Roman" w:cs="Times New Roman"/>
          <w:noProof/>
          <w:sz w:val="36"/>
          <w:szCs w:val="36"/>
        </w:rPr>
        <w:t xml:space="preserve"> </w:t>
      </w:r>
      <w:r w:rsidRPr="00247F6D">
        <w:rPr>
          <w:rFonts w:ascii="Times New Roman" w:hAnsi="Times New Roman" w:cs="Times New Roman"/>
          <w:noProof/>
          <w:sz w:val="28"/>
          <w:szCs w:val="28"/>
        </w:rPr>
        <w:t>distributed into four groups as per Annex A</w:t>
      </w:r>
      <w:r w:rsidR="007F395D" w:rsidRPr="00247F6D">
        <w:rPr>
          <w:rFonts w:ascii="Times New Roman" w:hAnsi="Times New Roman" w:cs="Times New Roman"/>
          <w:noProof/>
          <w:sz w:val="28"/>
          <w:szCs w:val="28"/>
        </w:rPr>
        <w:t>.</w:t>
      </w:r>
    </w:p>
    <w:p w14:paraId="47209124" w14:textId="40B1D543" w:rsidR="00E93857" w:rsidRDefault="00271802" w:rsidP="00E030DA">
      <w:pPr>
        <w:jc w:val="both"/>
        <w:rPr>
          <w:rFonts w:ascii="Times New Roman" w:hAnsi="Times New Roman" w:cs="Times New Roman"/>
          <w:noProof/>
          <w:sz w:val="28"/>
          <w:szCs w:val="28"/>
        </w:rPr>
      </w:pPr>
      <w:r>
        <w:rPr>
          <w:rFonts w:ascii="Times New Roman" w:hAnsi="Times New Roman" w:cs="Times New Roman"/>
          <w:noProof/>
          <w:sz w:val="28"/>
          <w:szCs w:val="28"/>
        </w:rPr>
        <w:lastRenderedPageBreak/>
        <w:drawing>
          <wp:inline distT="0" distB="0" distL="0" distR="0" wp14:anchorId="014F3EA5" wp14:editId="43DAC492">
            <wp:extent cx="5731510" cy="54952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4-28 120349.png"/>
                    <pic:cNvPicPr/>
                  </pic:nvPicPr>
                  <pic:blipFill>
                    <a:blip r:embed="rId8">
                      <a:extLst>
                        <a:ext uri="{28A0092B-C50C-407E-A947-70E740481C1C}">
                          <a14:useLocalDpi xmlns:a14="http://schemas.microsoft.com/office/drawing/2010/main" val="0"/>
                        </a:ext>
                      </a:extLst>
                    </a:blip>
                    <a:stretch>
                      <a:fillRect/>
                    </a:stretch>
                  </pic:blipFill>
                  <pic:spPr>
                    <a:xfrm>
                      <a:off x="0" y="0"/>
                      <a:ext cx="5731510" cy="5495290"/>
                    </a:xfrm>
                    <a:prstGeom prst="rect">
                      <a:avLst/>
                    </a:prstGeom>
                  </pic:spPr>
                </pic:pic>
              </a:graphicData>
            </a:graphic>
          </wp:inline>
        </w:drawing>
      </w:r>
      <w:bookmarkStart w:id="0" w:name="_GoBack"/>
      <w:bookmarkEnd w:id="0"/>
    </w:p>
    <w:p w14:paraId="6B94FDA6" w14:textId="4DD3AA7C" w:rsidR="006B6423" w:rsidRDefault="006B6423" w:rsidP="00E030DA">
      <w:pPr>
        <w:jc w:val="both"/>
        <w:rPr>
          <w:rFonts w:ascii="Times New Roman" w:hAnsi="Times New Roman" w:cs="Times New Roman"/>
          <w:noProof/>
          <w:sz w:val="28"/>
          <w:szCs w:val="28"/>
        </w:rPr>
      </w:pPr>
    </w:p>
    <w:p w14:paraId="17C07116" w14:textId="77777777" w:rsidR="006B6423" w:rsidRDefault="006B6423" w:rsidP="00E030DA">
      <w:pPr>
        <w:jc w:val="both"/>
        <w:rPr>
          <w:rFonts w:ascii="Times New Roman" w:hAnsi="Times New Roman" w:cs="Times New Roman"/>
          <w:noProof/>
          <w:sz w:val="28"/>
          <w:szCs w:val="28"/>
        </w:rPr>
      </w:pPr>
    </w:p>
    <w:p w14:paraId="553A9647" w14:textId="4C83C760" w:rsidR="00756DF4" w:rsidRPr="00247F6D" w:rsidRDefault="007F395D" w:rsidP="0023691E">
      <w:pPr>
        <w:rPr>
          <w:rFonts w:ascii="Times New Roman" w:hAnsi="Times New Roman" w:cs="Times New Roman"/>
          <w:sz w:val="28"/>
          <w:szCs w:val="28"/>
        </w:rPr>
      </w:pPr>
      <w:r w:rsidRPr="00247F6D">
        <w:rPr>
          <w:rFonts w:ascii="Times New Roman" w:hAnsi="Times New Roman" w:cs="Times New Roman"/>
          <w:sz w:val="28"/>
          <w:szCs w:val="28"/>
        </w:rPr>
        <w:t>The CIA triad incorporated in the standard is very much suitable for the FSB to prove compliance and build up the trust of its customers. One drawback associated with it is that its implementation cost is relatively high for an emerging digital bank.</w:t>
      </w:r>
    </w:p>
    <w:p w14:paraId="199E170F" w14:textId="78000143" w:rsidR="0023691E" w:rsidRPr="00247F6D" w:rsidRDefault="00514557" w:rsidP="00514557">
      <w:pPr>
        <w:rPr>
          <w:rFonts w:ascii="Times New Roman" w:hAnsi="Times New Roman" w:cs="Times New Roman"/>
          <w:b/>
          <w:bCs/>
          <w:sz w:val="32"/>
          <w:szCs w:val="32"/>
        </w:rPr>
      </w:pPr>
      <w:r w:rsidRPr="00247F6D">
        <w:rPr>
          <w:rFonts w:ascii="Times New Roman" w:hAnsi="Times New Roman" w:cs="Times New Roman"/>
          <w:b/>
          <w:bCs/>
          <w:sz w:val="32"/>
          <w:szCs w:val="32"/>
        </w:rPr>
        <w:t>2.3 NIST Cybersecurity Framework</w:t>
      </w:r>
    </w:p>
    <w:p w14:paraId="409E8596" w14:textId="6F3941A7" w:rsidR="00A31678" w:rsidRDefault="007F395D" w:rsidP="00756DF4">
      <w:pPr>
        <w:jc w:val="both"/>
        <w:rPr>
          <w:rFonts w:ascii="Times New Roman" w:hAnsi="Times New Roman" w:cs="Times New Roman"/>
          <w:noProof/>
          <w:sz w:val="28"/>
          <w:szCs w:val="28"/>
        </w:rPr>
      </w:pPr>
      <w:r w:rsidRPr="00247F6D">
        <w:rPr>
          <w:rFonts w:ascii="Times New Roman" w:hAnsi="Times New Roman" w:cs="Times New Roman"/>
          <w:sz w:val="28"/>
          <w:szCs w:val="28"/>
        </w:rPr>
        <w:t xml:space="preserve">Moving from ISO 27001 to broader cybersecurity frameworks, the NIST Cyber Security Framework 2.0 is an adaptable and result-oriented framework that has six major functions, which include Governance (new addition), Identify, Protect, </w:t>
      </w:r>
      <w:r w:rsidRPr="00247F6D">
        <w:rPr>
          <w:rFonts w:ascii="Times New Roman" w:hAnsi="Times New Roman" w:cs="Times New Roman"/>
          <w:sz w:val="28"/>
          <w:szCs w:val="28"/>
        </w:rPr>
        <w:lastRenderedPageBreak/>
        <w:t>Detect, Respond, and Recover. This framework is highly effective in cloud computing environments as well as in BYOD cases.</w:t>
      </w:r>
    </w:p>
    <w:p w14:paraId="331307EF" w14:textId="0BAF1C07" w:rsidR="00E93857" w:rsidRPr="00247F6D" w:rsidRDefault="00E93857" w:rsidP="00756DF4">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7D2E307" wp14:editId="0B6D5FF9">
            <wp:extent cx="5731510" cy="3611880"/>
            <wp:effectExtent l="0" t="0" r="2540" b="7620"/>
            <wp:docPr id="493049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04910" name="Picture 49304910"/>
                    <pic:cNvPicPr/>
                  </pic:nvPicPr>
                  <pic:blipFill>
                    <a:blip r:embed="rId9">
                      <a:extLst>
                        <a:ext uri="{28A0092B-C50C-407E-A947-70E740481C1C}">
                          <a14:useLocalDpi xmlns:a14="http://schemas.microsoft.com/office/drawing/2010/main" val="0"/>
                        </a:ext>
                      </a:extLst>
                    </a:blip>
                    <a:stretch>
                      <a:fillRect/>
                    </a:stretch>
                  </pic:blipFill>
                  <pic:spPr>
                    <a:xfrm>
                      <a:off x="0" y="0"/>
                      <a:ext cx="5731510" cy="3611880"/>
                    </a:xfrm>
                    <a:prstGeom prst="rect">
                      <a:avLst/>
                    </a:prstGeom>
                  </pic:spPr>
                </pic:pic>
              </a:graphicData>
            </a:graphic>
          </wp:inline>
        </w:drawing>
      </w:r>
    </w:p>
    <w:p w14:paraId="424B5FF0" w14:textId="67E0C810" w:rsidR="00D87D7F" w:rsidRPr="00E93857" w:rsidRDefault="007F395D" w:rsidP="00514557">
      <w:pPr>
        <w:jc w:val="both"/>
        <w:rPr>
          <w:rFonts w:ascii="Times New Roman" w:hAnsi="Times New Roman" w:cs="Times New Roman"/>
          <w:sz w:val="28"/>
          <w:szCs w:val="28"/>
        </w:rPr>
      </w:pPr>
      <w:r w:rsidRPr="00247F6D">
        <w:rPr>
          <w:rFonts w:ascii="Times New Roman" w:hAnsi="Times New Roman" w:cs="Times New Roman"/>
          <w:sz w:val="28"/>
          <w:szCs w:val="28"/>
        </w:rPr>
        <w:t>The focus on governance that is evident in NIST 2.0 serves as an answer to the absence of proper coordination that is present in the FSB framework. It is flexible enough to allow for rapid response to threats.</w:t>
      </w:r>
    </w:p>
    <w:p w14:paraId="5C6002D9" w14:textId="3567F67E" w:rsidR="00514557" w:rsidRPr="00E93857" w:rsidRDefault="00514557" w:rsidP="00514557">
      <w:pPr>
        <w:jc w:val="both"/>
        <w:rPr>
          <w:rFonts w:ascii="Times New Roman" w:hAnsi="Times New Roman" w:cs="Times New Roman"/>
          <w:b/>
          <w:bCs/>
          <w:sz w:val="32"/>
          <w:szCs w:val="32"/>
        </w:rPr>
      </w:pPr>
      <w:r w:rsidRPr="00247F6D">
        <w:rPr>
          <w:rFonts w:ascii="Times New Roman" w:hAnsi="Times New Roman" w:cs="Times New Roman"/>
          <w:b/>
          <w:bCs/>
          <w:sz w:val="32"/>
          <w:szCs w:val="32"/>
        </w:rPr>
        <w:t>Comparison of Frameworks</w:t>
      </w:r>
    </w:p>
    <w:tbl>
      <w:tblPr>
        <w:tblStyle w:val="TableGrid"/>
        <w:tblW w:w="11340" w:type="dxa"/>
        <w:tblInd w:w="-1139" w:type="dxa"/>
        <w:tblLayout w:type="fixed"/>
        <w:tblLook w:val="04A0" w:firstRow="1" w:lastRow="0" w:firstColumn="1" w:lastColumn="0" w:noHBand="0" w:noVBand="1"/>
      </w:tblPr>
      <w:tblGrid>
        <w:gridCol w:w="2694"/>
        <w:gridCol w:w="2053"/>
        <w:gridCol w:w="1065"/>
        <w:gridCol w:w="3152"/>
        <w:gridCol w:w="2376"/>
      </w:tblGrid>
      <w:tr w:rsidR="006B4D56" w:rsidRPr="00247F6D" w14:paraId="6F6F34C8" w14:textId="77777777" w:rsidTr="006B6423">
        <w:tc>
          <w:tcPr>
            <w:tcW w:w="2694" w:type="dxa"/>
            <w:shd w:val="clear" w:color="auto" w:fill="D0CECE" w:themeFill="background2" w:themeFillShade="E6"/>
          </w:tcPr>
          <w:p w14:paraId="2913A5F2" w14:textId="4D201B6B" w:rsidR="006B4D56" w:rsidRPr="00247F6D" w:rsidRDefault="006B4D56" w:rsidP="006B4D56">
            <w:pPr>
              <w:jc w:val="center"/>
              <w:rPr>
                <w:rFonts w:ascii="Times New Roman" w:hAnsi="Times New Roman" w:cs="Times New Roman"/>
                <w:b/>
                <w:bCs/>
                <w:sz w:val="32"/>
                <w:szCs w:val="32"/>
              </w:rPr>
            </w:pPr>
            <w:r w:rsidRPr="00247F6D">
              <w:rPr>
                <w:rFonts w:ascii="Times New Roman" w:hAnsi="Times New Roman" w:cs="Times New Roman"/>
                <w:b/>
                <w:bCs/>
                <w:sz w:val="32"/>
                <w:szCs w:val="32"/>
              </w:rPr>
              <w:t>Framework</w:t>
            </w:r>
          </w:p>
        </w:tc>
        <w:tc>
          <w:tcPr>
            <w:tcW w:w="2053" w:type="dxa"/>
            <w:shd w:val="clear" w:color="auto" w:fill="D0CECE" w:themeFill="background2" w:themeFillShade="E6"/>
          </w:tcPr>
          <w:p w14:paraId="71D1EC95" w14:textId="28E0FA66" w:rsidR="006B4D56" w:rsidRPr="00247F6D" w:rsidRDefault="006B4D56" w:rsidP="002701CF">
            <w:pPr>
              <w:jc w:val="center"/>
              <w:rPr>
                <w:rFonts w:ascii="Times New Roman" w:hAnsi="Times New Roman" w:cs="Times New Roman"/>
                <w:b/>
                <w:bCs/>
                <w:sz w:val="32"/>
                <w:szCs w:val="32"/>
              </w:rPr>
            </w:pPr>
            <w:r w:rsidRPr="00247F6D">
              <w:rPr>
                <w:rFonts w:ascii="Times New Roman" w:hAnsi="Times New Roman" w:cs="Times New Roman"/>
                <w:b/>
                <w:bCs/>
                <w:sz w:val="32"/>
                <w:szCs w:val="32"/>
              </w:rPr>
              <w:t>Key Focus</w:t>
            </w:r>
          </w:p>
        </w:tc>
        <w:tc>
          <w:tcPr>
            <w:tcW w:w="1065" w:type="dxa"/>
            <w:shd w:val="clear" w:color="auto" w:fill="D0CECE" w:themeFill="background2" w:themeFillShade="E6"/>
          </w:tcPr>
          <w:p w14:paraId="1D6E0EC3" w14:textId="2B1FF2AF" w:rsidR="006B4D56" w:rsidRPr="00247F6D" w:rsidRDefault="006B4D56" w:rsidP="006B4D56">
            <w:pPr>
              <w:jc w:val="center"/>
              <w:rPr>
                <w:rFonts w:ascii="Times New Roman" w:hAnsi="Times New Roman" w:cs="Times New Roman"/>
                <w:b/>
                <w:bCs/>
                <w:sz w:val="32"/>
                <w:szCs w:val="32"/>
              </w:rPr>
            </w:pPr>
            <w:r w:rsidRPr="00247F6D">
              <w:rPr>
                <w:rFonts w:ascii="Times New Roman" w:hAnsi="Times New Roman" w:cs="Times New Roman"/>
                <w:b/>
                <w:bCs/>
                <w:sz w:val="32"/>
                <w:szCs w:val="32"/>
              </w:rPr>
              <w:t>Certification</w:t>
            </w:r>
          </w:p>
        </w:tc>
        <w:tc>
          <w:tcPr>
            <w:tcW w:w="3152" w:type="dxa"/>
            <w:shd w:val="clear" w:color="auto" w:fill="D0CECE" w:themeFill="background2" w:themeFillShade="E6"/>
          </w:tcPr>
          <w:p w14:paraId="2239016B" w14:textId="5A17A53A" w:rsidR="006B4D56" w:rsidRPr="00247F6D" w:rsidRDefault="006B4D56" w:rsidP="006B4D56">
            <w:pPr>
              <w:jc w:val="center"/>
              <w:rPr>
                <w:rFonts w:ascii="Times New Roman" w:hAnsi="Times New Roman" w:cs="Times New Roman"/>
                <w:b/>
                <w:bCs/>
                <w:sz w:val="32"/>
                <w:szCs w:val="32"/>
              </w:rPr>
            </w:pPr>
            <w:r w:rsidRPr="00247F6D">
              <w:rPr>
                <w:rFonts w:ascii="Times New Roman" w:hAnsi="Times New Roman" w:cs="Times New Roman"/>
                <w:b/>
                <w:bCs/>
                <w:sz w:val="32"/>
                <w:szCs w:val="32"/>
              </w:rPr>
              <w:t>Strengths for FSB</w:t>
            </w:r>
          </w:p>
        </w:tc>
        <w:tc>
          <w:tcPr>
            <w:tcW w:w="2376" w:type="dxa"/>
            <w:shd w:val="clear" w:color="auto" w:fill="D0CECE" w:themeFill="background2" w:themeFillShade="E6"/>
          </w:tcPr>
          <w:p w14:paraId="7FF830A5" w14:textId="2328EF64" w:rsidR="006B4D56" w:rsidRPr="00247F6D" w:rsidRDefault="006B4D56" w:rsidP="006B4D56">
            <w:pPr>
              <w:jc w:val="center"/>
              <w:rPr>
                <w:rFonts w:ascii="Times New Roman" w:hAnsi="Times New Roman" w:cs="Times New Roman"/>
                <w:b/>
                <w:bCs/>
                <w:sz w:val="32"/>
                <w:szCs w:val="32"/>
              </w:rPr>
            </w:pPr>
            <w:r w:rsidRPr="00247F6D">
              <w:rPr>
                <w:rFonts w:ascii="Times New Roman" w:hAnsi="Times New Roman" w:cs="Times New Roman"/>
                <w:b/>
                <w:bCs/>
                <w:sz w:val="32"/>
                <w:szCs w:val="32"/>
              </w:rPr>
              <w:t>Limitations</w:t>
            </w:r>
          </w:p>
        </w:tc>
      </w:tr>
      <w:tr w:rsidR="006B4D56" w:rsidRPr="00247F6D" w14:paraId="55AEE611" w14:textId="77777777" w:rsidTr="006B6423">
        <w:trPr>
          <w:trHeight w:val="2381"/>
        </w:trPr>
        <w:tc>
          <w:tcPr>
            <w:tcW w:w="2694" w:type="dxa"/>
          </w:tcPr>
          <w:p w14:paraId="1848CCD4" w14:textId="1C79D7A1"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ITIL 4</w:t>
            </w:r>
          </w:p>
        </w:tc>
        <w:tc>
          <w:tcPr>
            <w:tcW w:w="2053" w:type="dxa"/>
            <w:vAlign w:val="center"/>
          </w:tcPr>
          <w:p w14:paraId="3BE69158" w14:textId="5E6472D7" w:rsidR="006B4D56" w:rsidRPr="00247F6D" w:rsidRDefault="006B4D56" w:rsidP="002701CF">
            <w:pPr>
              <w:jc w:val="center"/>
              <w:rPr>
                <w:rFonts w:ascii="Times New Roman" w:hAnsi="Times New Roman" w:cs="Times New Roman"/>
                <w:sz w:val="28"/>
                <w:szCs w:val="28"/>
              </w:rPr>
            </w:pPr>
            <w:r w:rsidRPr="00247F6D">
              <w:rPr>
                <w:rFonts w:ascii="Times New Roman" w:hAnsi="Times New Roman" w:cs="Times New Roman"/>
                <w:sz w:val="28"/>
                <w:szCs w:val="28"/>
              </w:rPr>
              <w:t>Service management &amp; continual improvement</w:t>
            </w:r>
          </w:p>
        </w:tc>
        <w:tc>
          <w:tcPr>
            <w:tcW w:w="1065" w:type="dxa"/>
          </w:tcPr>
          <w:p w14:paraId="1762BCE1" w14:textId="66749DE8"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No</w:t>
            </w:r>
          </w:p>
        </w:tc>
        <w:tc>
          <w:tcPr>
            <w:tcW w:w="3152" w:type="dxa"/>
          </w:tcPr>
          <w:p w14:paraId="41F4CA65" w14:textId="2FE5C344"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Integrates security into cloud services and BYOD incident response</w:t>
            </w:r>
          </w:p>
        </w:tc>
        <w:tc>
          <w:tcPr>
            <w:tcW w:w="2376" w:type="dxa"/>
          </w:tcPr>
          <w:p w14:paraId="6705698B" w14:textId="06CAA86E"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More service-oriented than security-focused</w:t>
            </w:r>
          </w:p>
        </w:tc>
      </w:tr>
      <w:tr w:rsidR="006B4D56" w:rsidRPr="00247F6D" w14:paraId="1B8D3243" w14:textId="77777777" w:rsidTr="006B6423">
        <w:tc>
          <w:tcPr>
            <w:tcW w:w="2694" w:type="dxa"/>
          </w:tcPr>
          <w:p w14:paraId="31BCFB95" w14:textId="4C4DC61B"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ISO/IEC 27001:2022</w:t>
            </w:r>
          </w:p>
        </w:tc>
        <w:tc>
          <w:tcPr>
            <w:tcW w:w="2053" w:type="dxa"/>
          </w:tcPr>
          <w:p w14:paraId="3A0C6210" w14:textId="01D259EA"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Information Security Management System (ISMS)</w:t>
            </w:r>
          </w:p>
        </w:tc>
        <w:tc>
          <w:tcPr>
            <w:tcW w:w="1065" w:type="dxa"/>
          </w:tcPr>
          <w:p w14:paraId="081ADEFA" w14:textId="474301D3"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Yes</w:t>
            </w:r>
          </w:p>
        </w:tc>
        <w:tc>
          <w:tcPr>
            <w:tcW w:w="3152" w:type="dxa"/>
          </w:tcPr>
          <w:p w14:paraId="09E8C429" w14:textId="053FE62C"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Provides certifiable governance, risk-based controls and GDPR alignment</w:t>
            </w:r>
          </w:p>
        </w:tc>
        <w:tc>
          <w:tcPr>
            <w:tcW w:w="2376" w:type="dxa"/>
          </w:tcPr>
          <w:p w14:paraId="41BA1A3B" w14:textId="4AEAEC84"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Higher implementation cost and time</w:t>
            </w:r>
          </w:p>
        </w:tc>
      </w:tr>
      <w:tr w:rsidR="006B4D56" w:rsidRPr="00247F6D" w14:paraId="4E91B51F" w14:textId="77777777" w:rsidTr="006B6423">
        <w:tc>
          <w:tcPr>
            <w:tcW w:w="2694" w:type="dxa"/>
          </w:tcPr>
          <w:p w14:paraId="12CDEC3D" w14:textId="6B5B2994"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lastRenderedPageBreak/>
              <w:t>NIST Cybersecurity Framework 2.0</w:t>
            </w:r>
          </w:p>
        </w:tc>
        <w:tc>
          <w:tcPr>
            <w:tcW w:w="2053" w:type="dxa"/>
          </w:tcPr>
          <w:p w14:paraId="00ECA6F9" w14:textId="2F6ADC2D"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Risk-based cybersecurity outcomes</w:t>
            </w:r>
          </w:p>
        </w:tc>
        <w:tc>
          <w:tcPr>
            <w:tcW w:w="1065" w:type="dxa"/>
          </w:tcPr>
          <w:p w14:paraId="11CE4486" w14:textId="22DAC2B2"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No</w:t>
            </w:r>
          </w:p>
        </w:tc>
        <w:tc>
          <w:tcPr>
            <w:tcW w:w="3152" w:type="dxa"/>
          </w:tcPr>
          <w:p w14:paraId="4A5FA07D" w14:textId="77777777"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Flexible, scalable for cloud</w:t>
            </w:r>
          </w:p>
          <w:p w14:paraId="312786A6" w14:textId="77777777" w:rsidR="006B4D56" w:rsidRPr="00247F6D" w:rsidRDefault="006B4D56" w:rsidP="00954FD4">
            <w:pPr>
              <w:jc w:val="center"/>
              <w:rPr>
                <w:rFonts w:ascii="Times New Roman" w:hAnsi="Times New Roman" w:cs="Times New Roman"/>
                <w:sz w:val="28"/>
                <w:szCs w:val="28"/>
              </w:rPr>
            </w:pPr>
          </w:p>
        </w:tc>
        <w:tc>
          <w:tcPr>
            <w:tcW w:w="2376" w:type="dxa"/>
          </w:tcPr>
          <w:p w14:paraId="3895BEBE" w14:textId="77777777" w:rsidR="006B4D56" w:rsidRPr="00247F6D" w:rsidRDefault="006B4D56" w:rsidP="00954FD4">
            <w:pPr>
              <w:jc w:val="center"/>
              <w:rPr>
                <w:rFonts w:ascii="Times New Roman" w:hAnsi="Times New Roman" w:cs="Times New Roman"/>
                <w:sz w:val="28"/>
                <w:szCs w:val="28"/>
              </w:rPr>
            </w:pPr>
            <w:r w:rsidRPr="00247F6D">
              <w:rPr>
                <w:rFonts w:ascii="Times New Roman" w:hAnsi="Times New Roman" w:cs="Times New Roman"/>
                <w:sz w:val="28"/>
                <w:szCs w:val="28"/>
              </w:rPr>
              <w:t>Voluntary – no formal certification</w:t>
            </w:r>
          </w:p>
          <w:p w14:paraId="54655599" w14:textId="77777777" w:rsidR="006B4D56" w:rsidRPr="00247F6D" w:rsidRDefault="006B4D56" w:rsidP="00954FD4">
            <w:pPr>
              <w:jc w:val="center"/>
              <w:rPr>
                <w:rFonts w:ascii="Times New Roman" w:hAnsi="Times New Roman" w:cs="Times New Roman"/>
                <w:sz w:val="28"/>
                <w:szCs w:val="28"/>
              </w:rPr>
            </w:pPr>
          </w:p>
        </w:tc>
      </w:tr>
    </w:tbl>
    <w:p w14:paraId="4B156543" w14:textId="77777777" w:rsidR="00D87D7F" w:rsidRDefault="00D87D7F" w:rsidP="006B4D56">
      <w:pPr>
        <w:jc w:val="both"/>
        <w:rPr>
          <w:rFonts w:ascii="Times New Roman" w:hAnsi="Times New Roman" w:cs="Times New Roman"/>
          <w:sz w:val="36"/>
          <w:szCs w:val="36"/>
        </w:rPr>
      </w:pPr>
    </w:p>
    <w:p w14:paraId="732C70C9" w14:textId="2DF32D96" w:rsidR="00D87D7F" w:rsidRDefault="006B4D56" w:rsidP="00514557">
      <w:pPr>
        <w:jc w:val="both"/>
        <w:rPr>
          <w:rFonts w:ascii="Times New Roman" w:hAnsi="Times New Roman" w:cs="Times New Roman"/>
          <w:noProof/>
          <w:sz w:val="28"/>
          <w:szCs w:val="28"/>
        </w:rPr>
      </w:pPr>
      <w:r w:rsidRPr="00D87D7F">
        <w:rPr>
          <w:rFonts w:ascii="Times New Roman" w:hAnsi="Times New Roman" w:cs="Times New Roman"/>
          <w:noProof/>
          <w:sz w:val="28"/>
          <w:szCs w:val="28"/>
        </w:rPr>
        <w:t>These three models complement each other; ISO 27001 offers a solid framework and certification, ITIL 4 assists in matching service management to the organization, and NIST 2.0 adds agility and governance. Thus, a combination of all three models is regarded as the best solution for FSB.</w:t>
      </w:r>
    </w:p>
    <w:p w14:paraId="61D1071B" w14:textId="77777777" w:rsidR="00E93857" w:rsidRPr="00E93857" w:rsidRDefault="00E93857" w:rsidP="00514557">
      <w:pPr>
        <w:jc w:val="both"/>
        <w:rPr>
          <w:rFonts w:ascii="Times New Roman" w:hAnsi="Times New Roman" w:cs="Times New Roman"/>
          <w:noProof/>
          <w:sz w:val="28"/>
          <w:szCs w:val="28"/>
        </w:rPr>
      </w:pPr>
    </w:p>
    <w:p w14:paraId="70067745" w14:textId="0EDA9901" w:rsidR="00F23389" w:rsidRPr="00D87D7F" w:rsidRDefault="00F23389" w:rsidP="00514557">
      <w:pPr>
        <w:jc w:val="both"/>
        <w:rPr>
          <w:rFonts w:ascii="Times New Roman" w:hAnsi="Times New Roman" w:cs="Times New Roman"/>
          <w:b/>
          <w:bCs/>
          <w:noProof/>
          <w:sz w:val="36"/>
          <w:szCs w:val="36"/>
        </w:rPr>
      </w:pPr>
      <w:r w:rsidRPr="00D87D7F">
        <w:rPr>
          <w:rFonts w:ascii="Times New Roman" w:hAnsi="Times New Roman" w:cs="Times New Roman"/>
          <w:b/>
          <w:bCs/>
          <w:noProof/>
          <w:sz w:val="36"/>
          <w:szCs w:val="36"/>
        </w:rPr>
        <w:t>3. FSB Security, Governance and Compliance Design</w:t>
      </w:r>
    </w:p>
    <w:p w14:paraId="0E5FE9EC" w14:textId="52DE2AE2" w:rsidR="00F23389" w:rsidRPr="00D87D7F" w:rsidRDefault="00F23389" w:rsidP="00F23389">
      <w:pPr>
        <w:jc w:val="both"/>
        <w:rPr>
          <w:rFonts w:ascii="Times New Roman" w:hAnsi="Times New Roman" w:cs="Times New Roman"/>
          <w:b/>
          <w:bCs/>
          <w:noProof/>
          <w:sz w:val="32"/>
          <w:szCs w:val="32"/>
        </w:rPr>
      </w:pPr>
      <w:r w:rsidRPr="00D87D7F">
        <w:rPr>
          <w:rFonts w:ascii="Times New Roman" w:hAnsi="Times New Roman" w:cs="Times New Roman"/>
          <w:b/>
          <w:bCs/>
          <w:noProof/>
          <w:sz w:val="32"/>
          <w:szCs w:val="32"/>
        </w:rPr>
        <w:t>Proposed Hybrid Framework: “FSB SecureBank Governance Model”</w:t>
      </w:r>
    </w:p>
    <w:p w14:paraId="117990FE" w14:textId="77777777" w:rsidR="00AA0294" w:rsidRPr="00D87D7F" w:rsidRDefault="00AA0294" w:rsidP="00AA0294">
      <w:pPr>
        <w:jc w:val="both"/>
        <w:rPr>
          <w:rFonts w:ascii="Times New Roman" w:hAnsi="Times New Roman" w:cs="Times New Roman"/>
          <w:noProof/>
          <w:sz w:val="28"/>
          <w:szCs w:val="28"/>
        </w:rPr>
      </w:pPr>
      <w:r w:rsidRPr="00D87D7F">
        <w:rPr>
          <w:rFonts w:ascii="Times New Roman" w:hAnsi="Times New Roman" w:cs="Times New Roman"/>
          <w:noProof/>
          <w:sz w:val="28"/>
          <w:szCs w:val="28"/>
        </w:rPr>
        <w:t>The FinSure Bank (FSB) functions as a digital-first bank where over 90% of its infrastructure is managed via cloud-based technology. The organization has made extensive use of Bring Your Own Device (BYOD) technology along with outsourcing to third parties. Under such circumstances, it becomes necessary for the organization to have an effective security framework which should be integrated within the governance structure and also meet all compliance requirements. In order to do so, a hybrid model has been developed considering the principles from three different frameworks, namely ITIL 4, ISO/IEC 27001:2022, and NIST Cybersecurity Framework 2.0.</w:t>
      </w:r>
    </w:p>
    <w:p w14:paraId="4D6FD015" w14:textId="77777777" w:rsidR="004321B1" w:rsidRDefault="00AA0294" w:rsidP="00AA0294">
      <w:pPr>
        <w:jc w:val="both"/>
        <w:rPr>
          <w:rFonts w:ascii="Times New Roman" w:hAnsi="Times New Roman" w:cs="Times New Roman"/>
          <w:noProof/>
          <w:sz w:val="28"/>
          <w:szCs w:val="28"/>
        </w:rPr>
      </w:pPr>
      <w:r w:rsidRPr="00D87D7F">
        <w:rPr>
          <w:rFonts w:ascii="Times New Roman" w:hAnsi="Times New Roman" w:cs="Times New Roman"/>
          <w:noProof/>
          <w:sz w:val="28"/>
          <w:szCs w:val="28"/>
        </w:rPr>
        <w:t xml:space="preserve">It is an integration of all three models and includes the best aspects of each. The ISO/IEC 27001:2022 model has an efficient and standard ISMS which has 93 controls divided among four categories namely Organization, People, Physical and Technological. The NIST CSF 2.0 has an adaptive and risk-based model which has 6 main functions namely Govern (newly included), Identify, Protect, Detect, Respond and Recover. The ITIL 4 framework incorporates the concept of security with service management and continuous improvements within the Service Value System (SVS). Thus, combining these three has led to an integrated </w:t>
      </w:r>
    </w:p>
    <w:p w14:paraId="4B4E210C" w14:textId="516ADBDD" w:rsidR="00A10615" w:rsidRDefault="00AA0294" w:rsidP="00AA0294">
      <w:pPr>
        <w:jc w:val="both"/>
        <w:rPr>
          <w:rFonts w:ascii="Times New Roman" w:hAnsi="Times New Roman" w:cs="Times New Roman"/>
          <w:noProof/>
          <w:sz w:val="36"/>
          <w:szCs w:val="36"/>
        </w:rPr>
      </w:pPr>
      <w:r w:rsidRPr="00D87D7F">
        <w:rPr>
          <w:rFonts w:ascii="Times New Roman" w:hAnsi="Times New Roman" w:cs="Times New Roman"/>
          <w:noProof/>
          <w:sz w:val="28"/>
          <w:szCs w:val="28"/>
        </w:rPr>
        <w:t>model replacing the existing fragmented one of the FSB.</w:t>
      </w:r>
    </w:p>
    <w:p w14:paraId="03AB027B" w14:textId="489B40B2" w:rsidR="00E93857" w:rsidRPr="00247F6D" w:rsidRDefault="00E93857" w:rsidP="00AA0294">
      <w:pPr>
        <w:jc w:val="both"/>
        <w:rPr>
          <w:rFonts w:ascii="Times New Roman" w:hAnsi="Times New Roman" w:cs="Times New Roman"/>
          <w:sz w:val="36"/>
          <w:szCs w:val="36"/>
        </w:rPr>
      </w:pPr>
      <w:r>
        <w:rPr>
          <w:rFonts w:ascii="Times New Roman" w:hAnsi="Times New Roman" w:cs="Times New Roman"/>
          <w:noProof/>
          <w:sz w:val="36"/>
          <w:szCs w:val="36"/>
        </w:rPr>
        <w:lastRenderedPageBreak/>
        <w:drawing>
          <wp:inline distT="0" distB="0" distL="0" distR="0" wp14:anchorId="070DBC3E" wp14:editId="4B549781">
            <wp:extent cx="5383530" cy="6105525"/>
            <wp:effectExtent l="0" t="0" r="7620" b="9525"/>
            <wp:docPr id="16132382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238212" name="Picture 1613238212"/>
                    <pic:cNvPicPr/>
                  </pic:nvPicPr>
                  <pic:blipFill>
                    <a:blip r:embed="rId10">
                      <a:extLst>
                        <a:ext uri="{28A0092B-C50C-407E-A947-70E740481C1C}">
                          <a14:useLocalDpi xmlns:a14="http://schemas.microsoft.com/office/drawing/2010/main" val="0"/>
                        </a:ext>
                      </a:extLst>
                    </a:blip>
                    <a:stretch>
                      <a:fillRect/>
                    </a:stretch>
                  </pic:blipFill>
                  <pic:spPr>
                    <a:xfrm>
                      <a:off x="0" y="0"/>
                      <a:ext cx="5383530" cy="6105525"/>
                    </a:xfrm>
                    <a:prstGeom prst="rect">
                      <a:avLst/>
                    </a:prstGeom>
                  </pic:spPr>
                </pic:pic>
              </a:graphicData>
            </a:graphic>
          </wp:inline>
        </w:drawing>
      </w:r>
    </w:p>
    <w:p w14:paraId="450641F7" w14:textId="1028EDCC" w:rsidR="00F23389" w:rsidRPr="00D87D7F" w:rsidRDefault="00F23389" w:rsidP="00F23389">
      <w:pPr>
        <w:jc w:val="both"/>
        <w:rPr>
          <w:rFonts w:ascii="Times New Roman" w:hAnsi="Times New Roman" w:cs="Times New Roman"/>
          <w:b/>
          <w:bCs/>
          <w:sz w:val="32"/>
          <w:szCs w:val="32"/>
        </w:rPr>
      </w:pPr>
      <w:r w:rsidRPr="00D87D7F">
        <w:rPr>
          <w:rFonts w:ascii="Times New Roman" w:hAnsi="Times New Roman" w:cs="Times New Roman"/>
          <w:b/>
          <w:bCs/>
          <w:sz w:val="32"/>
          <w:szCs w:val="32"/>
        </w:rPr>
        <w:t>3.1 Governance</w:t>
      </w:r>
    </w:p>
    <w:p w14:paraId="32E58020" w14:textId="7F8A1D26" w:rsidR="00756DF4" w:rsidRPr="00D87D7F" w:rsidRDefault="00AA0294" w:rsidP="00F23389">
      <w:pPr>
        <w:jc w:val="both"/>
        <w:rPr>
          <w:rFonts w:ascii="Times New Roman" w:hAnsi="Times New Roman" w:cs="Times New Roman"/>
          <w:sz w:val="28"/>
          <w:szCs w:val="28"/>
        </w:rPr>
      </w:pPr>
      <w:r w:rsidRPr="00D87D7F">
        <w:rPr>
          <w:rFonts w:ascii="Times New Roman" w:hAnsi="Times New Roman" w:cs="Times New Roman"/>
          <w:sz w:val="28"/>
          <w:szCs w:val="28"/>
        </w:rPr>
        <w:t>Currently, the FSB does not have a common governance framework that will be solved by developing the Information Security Governance Board. The board will function based on the recommendations of the Chief Information Security Officer (CISO), defining the strategic direction for the organization.</w:t>
      </w:r>
    </w:p>
    <w:p w14:paraId="749393AE" w14:textId="3A6B138F" w:rsidR="00AA0294" w:rsidRPr="00D87D7F" w:rsidRDefault="00AA0294" w:rsidP="00F23389">
      <w:pPr>
        <w:jc w:val="both"/>
        <w:rPr>
          <w:rFonts w:ascii="Times New Roman" w:hAnsi="Times New Roman" w:cs="Times New Roman"/>
          <w:sz w:val="28"/>
          <w:szCs w:val="28"/>
        </w:rPr>
      </w:pPr>
      <w:r w:rsidRPr="00D87D7F">
        <w:rPr>
          <w:rFonts w:ascii="Times New Roman" w:hAnsi="Times New Roman" w:cs="Times New Roman"/>
          <w:sz w:val="28"/>
          <w:szCs w:val="28"/>
        </w:rPr>
        <w:t xml:space="preserve">The governance process will be created at the organization level through the Governance (GV) capability in NIST CSF 2.0. These processes will comprise the Organizational Context, Risk Management Approach, Roles, Responsibilities &amp; Authorities, and Policies &amp; Oversight. The leadership, policies, and responsibilities will be well-distributed in accordance with the Organizational </w:t>
      </w:r>
      <w:r w:rsidRPr="00D87D7F">
        <w:rPr>
          <w:rFonts w:ascii="Times New Roman" w:hAnsi="Times New Roman" w:cs="Times New Roman"/>
          <w:sz w:val="28"/>
          <w:szCs w:val="28"/>
        </w:rPr>
        <w:lastRenderedPageBreak/>
        <w:t>Controls (A.5) of ISO 27001:2022. The governance process will be in alignment with the business strategy through the practices of Strategy Management and Governance in ITIL 4.</w:t>
      </w:r>
    </w:p>
    <w:p w14:paraId="3127ECB1" w14:textId="205A2503" w:rsidR="00F23389" w:rsidRPr="00D87D7F" w:rsidRDefault="00F23389" w:rsidP="00F23389">
      <w:pPr>
        <w:jc w:val="both"/>
        <w:rPr>
          <w:rFonts w:ascii="Times New Roman" w:hAnsi="Times New Roman" w:cs="Times New Roman"/>
          <w:b/>
          <w:bCs/>
          <w:sz w:val="32"/>
          <w:szCs w:val="32"/>
        </w:rPr>
      </w:pPr>
      <w:r w:rsidRPr="00D87D7F">
        <w:rPr>
          <w:rFonts w:ascii="Times New Roman" w:hAnsi="Times New Roman" w:cs="Times New Roman"/>
          <w:b/>
          <w:bCs/>
          <w:sz w:val="32"/>
          <w:szCs w:val="32"/>
        </w:rPr>
        <w:t>3.2 Security Policies</w:t>
      </w:r>
    </w:p>
    <w:p w14:paraId="2492C000" w14:textId="77777777" w:rsidR="00AA0294" w:rsidRPr="00D87D7F" w:rsidRDefault="00AA0294" w:rsidP="00F23389">
      <w:pPr>
        <w:jc w:val="both"/>
        <w:rPr>
          <w:rFonts w:ascii="Times New Roman" w:hAnsi="Times New Roman" w:cs="Times New Roman"/>
          <w:sz w:val="28"/>
          <w:szCs w:val="28"/>
        </w:rPr>
      </w:pPr>
      <w:r w:rsidRPr="00D87D7F">
        <w:rPr>
          <w:rFonts w:ascii="Times New Roman" w:hAnsi="Times New Roman" w:cs="Times New Roman"/>
          <w:sz w:val="28"/>
          <w:szCs w:val="28"/>
        </w:rPr>
        <w:t>FSB comprehensive security policies shall be formulated, namely, Acceptable Use Policy, Data Classification and Handling Policy, Access Control Policy, Third Party Vendor Management Policy and Bring Your Own Device (BYOD) Policy. This is in line with clause A.5.1 (Policies for information security) of ISO 27001:2022 and the policies shall be reviewed on an annual basis.</w:t>
      </w:r>
    </w:p>
    <w:p w14:paraId="21C80FAA" w14:textId="7B1E2EF3" w:rsidR="00AA0294" w:rsidRPr="00D87D7F" w:rsidRDefault="00AA0294" w:rsidP="00F23389">
      <w:pPr>
        <w:jc w:val="both"/>
        <w:rPr>
          <w:rFonts w:ascii="Times New Roman" w:hAnsi="Times New Roman" w:cs="Times New Roman"/>
          <w:sz w:val="28"/>
          <w:szCs w:val="28"/>
        </w:rPr>
      </w:pPr>
      <w:r w:rsidRPr="00D87D7F">
        <w:rPr>
          <w:rFonts w:ascii="Times New Roman" w:hAnsi="Times New Roman" w:cs="Times New Roman"/>
          <w:sz w:val="28"/>
          <w:szCs w:val="28"/>
        </w:rPr>
        <w:t>The policies will be made realistic and achievable using ITIL 4’s Policy Management and Continual Improvement approaches. Each policy will have clearly outlined roles, mechanisms for enforcement, and punishment for those who fail to adhere to the rules, making it easier for everyone to comprehend and implement.</w:t>
      </w:r>
    </w:p>
    <w:p w14:paraId="575B1BC1" w14:textId="56CD7F20" w:rsidR="00F23389" w:rsidRPr="00D87D7F" w:rsidRDefault="00F23389" w:rsidP="00F23389">
      <w:pPr>
        <w:jc w:val="both"/>
        <w:rPr>
          <w:rFonts w:ascii="Times New Roman" w:hAnsi="Times New Roman" w:cs="Times New Roman"/>
          <w:b/>
          <w:bCs/>
          <w:sz w:val="32"/>
          <w:szCs w:val="32"/>
        </w:rPr>
      </w:pPr>
      <w:r w:rsidRPr="00D87D7F">
        <w:rPr>
          <w:rFonts w:ascii="Times New Roman" w:hAnsi="Times New Roman" w:cs="Times New Roman"/>
          <w:b/>
          <w:bCs/>
          <w:sz w:val="32"/>
          <w:szCs w:val="32"/>
        </w:rPr>
        <w:t>3.3 Risk Management</w:t>
      </w:r>
    </w:p>
    <w:p w14:paraId="42615BF2" w14:textId="191F8F8F" w:rsidR="00507EB5" w:rsidRDefault="00AA0294" w:rsidP="00F23389">
      <w:pPr>
        <w:jc w:val="both"/>
        <w:rPr>
          <w:rFonts w:ascii="Times New Roman" w:hAnsi="Times New Roman" w:cs="Times New Roman"/>
          <w:sz w:val="28"/>
          <w:szCs w:val="28"/>
        </w:rPr>
      </w:pPr>
      <w:r w:rsidRPr="00D87D7F">
        <w:rPr>
          <w:rFonts w:ascii="Times New Roman" w:hAnsi="Times New Roman" w:cs="Times New Roman"/>
          <w:sz w:val="28"/>
          <w:szCs w:val="28"/>
        </w:rPr>
        <w:t>The risk management process will be improved through the integration of the Identify and Govern functions in the NIST CSF 2.0 framework with the risk assessment approach in ISO 27001:2022 to develop a Risk Register that will be reviewed quarterly.</w:t>
      </w:r>
    </w:p>
    <w:tbl>
      <w:tblPr>
        <w:tblStyle w:val="TableGrid"/>
        <w:tblpPr w:leftFromText="180" w:rightFromText="180" w:vertAnchor="text" w:horzAnchor="margin" w:tblpXSpec="center" w:tblpY="352"/>
        <w:tblW w:w="11392" w:type="dxa"/>
        <w:tblLook w:val="04A0" w:firstRow="1" w:lastRow="0" w:firstColumn="1" w:lastColumn="0" w:noHBand="0" w:noVBand="1"/>
      </w:tblPr>
      <w:tblGrid>
        <w:gridCol w:w="2059"/>
        <w:gridCol w:w="2333"/>
        <w:gridCol w:w="2333"/>
        <w:gridCol w:w="2333"/>
        <w:gridCol w:w="2334"/>
      </w:tblGrid>
      <w:tr w:rsidR="00954FD4" w14:paraId="6E967084" w14:textId="77777777" w:rsidTr="006B6423">
        <w:trPr>
          <w:trHeight w:val="364"/>
        </w:trPr>
        <w:tc>
          <w:tcPr>
            <w:tcW w:w="2059" w:type="dxa"/>
            <w:shd w:val="clear" w:color="auto" w:fill="D0CECE" w:themeFill="background2" w:themeFillShade="E6"/>
          </w:tcPr>
          <w:p w14:paraId="090D1121"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b/>
                <w:bCs/>
                <w:sz w:val="32"/>
                <w:szCs w:val="32"/>
              </w:rPr>
              <w:t>FSB Risk Area</w:t>
            </w:r>
          </w:p>
        </w:tc>
        <w:tc>
          <w:tcPr>
            <w:tcW w:w="2333" w:type="dxa"/>
            <w:shd w:val="clear" w:color="auto" w:fill="D0CECE" w:themeFill="background2" w:themeFillShade="E6"/>
          </w:tcPr>
          <w:p w14:paraId="5556DF80"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b/>
                <w:bCs/>
                <w:sz w:val="32"/>
                <w:szCs w:val="32"/>
              </w:rPr>
              <w:t>ISO 27001 Control</w:t>
            </w:r>
          </w:p>
        </w:tc>
        <w:tc>
          <w:tcPr>
            <w:tcW w:w="2333" w:type="dxa"/>
            <w:shd w:val="clear" w:color="auto" w:fill="D0CECE" w:themeFill="background2" w:themeFillShade="E6"/>
          </w:tcPr>
          <w:p w14:paraId="00C91A67"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b/>
                <w:bCs/>
                <w:sz w:val="32"/>
                <w:szCs w:val="32"/>
              </w:rPr>
              <w:t>NIST Function</w:t>
            </w:r>
          </w:p>
        </w:tc>
        <w:tc>
          <w:tcPr>
            <w:tcW w:w="2333" w:type="dxa"/>
            <w:shd w:val="clear" w:color="auto" w:fill="D0CECE" w:themeFill="background2" w:themeFillShade="E6"/>
          </w:tcPr>
          <w:p w14:paraId="3E06A049"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b/>
                <w:bCs/>
                <w:sz w:val="32"/>
                <w:szCs w:val="32"/>
              </w:rPr>
              <w:t>ITIL Practice</w:t>
            </w:r>
          </w:p>
        </w:tc>
        <w:tc>
          <w:tcPr>
            <w:tcW w:w="2334" w:type="dxa"/>
            <w:shd w:val="clear" w:color="auto" w:fill="D0CECE" w:themeFill="background2" w:themeFillShade="E6"/>
          </w:tcPr>
          <w:p w14:paraId="1F3FD336"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b/>
                <w:bCs/>
                <w:sz w:val="32"/>
                <w:szCs w:val="32"/>
              </w:rPr>
              <w:t>Proposed Action for FSB</w:t>
            </w:r>
          </w:p>
        </w:tc>
      </w:tr>
      <w:tr w:rsidR="00954FD4" w14:paraId="099FA097" w14:textId="77777777" w:rsidTr="002701CF">
        <w:trPr>
          <w:trHeight w:val="385"/>
        </w:trPr>
        <w:tc>
          <w:tcPr>
            <w:tcW w:w="2059" w:type="dxa"/>
          </w:tcPr>
          <w:p w14:paraId="1C67771C"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BYOD &amp; Mobile Devices</w:t>
            </w:r>
          </w:p>
        </w:tc>
        <w:tc>
          <w:tcPr>
            <w:tcW w:w="2333" w:type="dxa"/>
          </w:tcPr>
          <w:p w14:paraId="48512A17"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A.6.2 Mobile device policy</w:t>
            </w:r>
          </w:p>
        </w:tc>
        <w:tc>
          <w:tcPr>
            <w:tcW w:w="2333" w:type="dxa"/>
          </w:tcPr>
          <w:p w14:paraId="6CC881AE"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Protect</w:t>
            </w:r>
          </w:p>
        </w:tc>
        <w:tc>
          <w:tcPr>
            <w:tcW w:w="2333" w:type="dxa"/>
          </w:tcPr>
          <w:p w14:paraId="6323DB6E"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Information Security Management</w:t>
            </w:r>
          </w:p>
        </w:tc>
        <w:tc>
          <w:tcPr>
            <w:tcW w:w="2334" w:type="dxa"/>
          </w:tcPr>
          <w:p w14:paraId="71A60877"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Mandatory MDM + MFA + remote wipe + automatic updates</w:t>
            </w:r>
          </w:p>
        </w:tc>
      </w:tr>
      <w:tr w:rsidR="00954FD4" w14:paraId="29DFAC53" w14:textId="77777777" w:rsidTr="002701CF">
        <w:trPr>
          <w:trHeight w:val="364"/>
        </w:trPr>
        <w:tc>
          <w:tcPr>
            <w:tcW w:w="2059" w:type="dxa"/>
          </w:tcPr>
          <w:p w14:paraId="4BE06EF0"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Cloud Infrastructure (&gt;90%)</w:t>
            </w:r>
          </w:p>
        </w:tc>
        <w:tc>
          <w:tcPr>
            <w:tcW w:w="2333" w:type="dxa"/>
          </w:tcPr>
          <w:p w14:paraId="7C0CBBDC"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A.5.1 Organisational controls</w:t>
            </w:r>
          </w:p>
        </w:tc>
        <w:tc>
          <w:tcPr>
            <w:tcW w:w="2333" w:type="dxa"/>
          </w:tcPr>
          <w:p w14:paraId="0F8FDC7D"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Identify + Govern</w:t>
            </w:r>
          </w:p>
        </w:tc>
        <w:tc>
          <w:tcPr>
            <w:tcW w:w="2333" w:type="dxa"/>
            <w:vAlign w:val="center"/>
          </w:tcPr>
          <w:p w14:paraId="1D0A5ABD"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Service Configuration Management</w:t>
            </w:r>
          </w:p>
        </w:tc>
        <w:tc>
          <w:tcPr>
            <w:tcW w:w="2334" w:type="dxa"/>
          </w:tcPr>
          <w:p w14:paraId="3147C866"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Third-party risk assessments + strict SLAs</w:t>
            </w:r>
          </w:p>
        </w:tc>
      </w:tr>
      <w:tr w:rsidR="00954FD4" w14:paraId="536EA997" w14:textId="77777777" w:rsidTr="002701CF">
        <w:trPr>
          <w:trHeight w:val="364"/>
        </w:trPr>
        <w:tc>
          <w:tcPr>
            <w:tcW w:w="2059" w:type="dxa"/>
          </w:tcPr>
          <w:p w14:paraId="04E2B9A2"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GDPR Compliance</w:t>
            </w:r>
          </w:p>
        </w:tc>
        <w:tc>
          <w:tcPr>
            <w:tcW w:w="2333" w:type="dxa"/>
            <w:vAlign w:val="center"/>
          </w:tcPr>
          <w:p w14:paraId="08F8284A"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A.18.1 Compliance with legal requirements</w:t>
            </w:r>
          </w:p>
        </w:tc>
        <w:tc>
          <w:tcPr>
            <w:tcW w:w="2333" w:type="dxa"/>
          </w:tcPr>
          <w:p w14:paraId="332E4758"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Respond + Recover</w:t>
            </w:r>
          </w:p>
        </w:tc>
        <w:tc>
          <w:tcPr>
            <w:tcW w:w="2333" w:type="dxa"/>
          </w:tcPr>
          <w:p w14:paraId="1173D81C"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Incident Management</w:t>
            </w:r>
          </w:p>
        </w:tc>
        <w:tc>
          <w:tcPr>
            <w:tcW w:w="2334" w:type="dxa"/>
          </w:tcPr>
          <w:p w14:paraId="2436552F"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DPIAs, 72-hour breach notification, privacy-by-design</w:t>
            </w:r>
          </w:p>
        </w:tc>
      </w:tr>
      <w:tr w:rsidR="00954FD4" w14:paraId="6060C1B6" w14:textId="77777777" w:rsidTr="002701CF">
        <w:trPr>
          <w:trHeight w:val="385"/>
        </w:trPr>
        <w:tc>
          <w:tcPr>
            <w:tcW w:w="2059" w:type="dxa"/>
          </w:tcPr>
          <w:p w14:paraId="576CE490"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Insider Threats</w:t>
            </w:r>
          </w:p>
        </w:tc>
        <w:tc>
          <w:tcPr>
            <w:tcW w:w="2333" w:type="dxa"/>
          </w:tcPr>
          <w:p w14:paraId="078958EF"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A.7.1 Human resource security</w:t>
            </w:r>
          </w:p>
        </w:tc>
        <w:tc>
          <w:tcPr>
            <w:tcW w:w="2333" w:type="dxa"/>
          </w:tcPr>
          <w:p w14:paraId="3B257C86"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Detect</w:t>
            </w:r>
          </w:p>
        </w:tc>
        <w:tc>
          <w:tcPr>
            <w:tcW w:w="2333" w:type="dxa"/>
          </w:tcPr>
          <w:p w14:paraId="28270742"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Monitoring &amp; Event Management</w:t>
            </w:r>
          </w:p>
        </w:tc>
        <w:tc>
          <w:tcPr>
            <w:tcW w:w="2334" w:type="dxa"/>
          </w:tcPr>
          <w:p w14:paraId="7C4E3C00"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SIEM + annual security awareness training</w:t>
            </w:r>
          </w:p>
        </w:tc>
      </w:tr>
      <w:tr w:rsidR="00954FD4" w14:paraId="41DB0703" w14:textId="77777777" w:rsidTr="002701CF">
        <w:trPr>
          <w:trHeight w:val="364"/>
        </w:trPr>
        <w:tc>
          <w:tcPr>
            <w:tcW w:w="2059" w:type="dxa"/>
          </w:tcPr>
          <w:p w14:paraId="7AF44ABD"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lastRenderedPageBreak/>
              <w:t>Data Privacy &amp; Fraud</w:t>
            </w:r>
          </w:p>
        </w:tc>
        <w:tc>
          <w:tcPr>
            <w:tcW w:w="2333" w:type="dxa"/>
          </w:tcPr>
          <w:p w14:paraId="08E43CE2"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A.8.2 Information classification</w:t>
            </w:r>
          </w:p>
        </w:tc>
        <w:tc>
          <w:tcPr>
            <w:tcW w:w="2333" w:type="dxa"/>
          </w:tcPr>
          <w:p w14:paraId="37006645"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Protect</w:t>
            </w:r>
          </w:p>
        </w:tc>
        <w:tc>
          <w:tcPr>
            <w:tcW w:w="2333" w:type="dxa"/>
          </w:tcPr>
          <w:p w14:paraId="25603970"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Access Management</w:t>
            </w:r>
          </w:p>
        </w:tc>
        <w:tc>
          <w:tcPr>
            <w:tcW w:w="2334" w:type="dxa"/>
          </w:tcPr>
          <w:p w14:paraId="77884564"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Data encryption + role-based access control (RBAC)</w:t>
            </w:r>
          </w:p>
        </w:tc>
      </w:tr>
      <w:tr w:rsidR="00954FD4" w14:paraId="28D08D2A" w14:textId="77777777" w:rsidTr="002701CF">
        <w:trPr>
          <w:trHeight w:val="364"/>
        </w:trPr>
        <w:tc>
          <w:tcPr>
            <w:tcW w:w="2059" w:type="dxa"/>
          </w:tcPr>
          <w:p w14:paraId="0AA8D755" w14:textId="77777777" w:rsidR="00954FD4" w:rsidRPr="00D87D7F"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Cyber Attacks</w:t>
            </w:r>
          </w:p>
        </w:tc>
        <w:tc>
          <w:tcPr>
            <w:tcW w:w="2333" w:type="dxa"/>
          </w:tcPr>
          <w:p w14:paraId="0A59982C"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A.14.1 System acquisition</w:t>
            </w:r>
          </w:p>
        </w:tc>
        <w:tc>
          <w:tcPr>
            <w:tcW w:w="2333" w:type="dxa"/>
          </w:tcPr>
          <w:p w14:paraId="2A2F7D9E"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Detect + Respond</w:t>
            </w:r>
          </w:p>
        </w:tc>
        <w:tc>
          <w:tcPr>
            <w:tcW w:w="2333" w:type="dxa"/>
          </w:tcPr>
          <w:p w14:paraId="7AF2E1A0"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Incident Management</w:t>
            </w:r>
          </w:p>
        </w:tc>
        <w:tc>
          <w:tcPr>
            <w:tcW w:w="2334" w:type="dxa"/>
          </w:tcPr>
          <w:p w14:paraId="52C69F0D"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Firewalls, intrusion detection &amp; 24/7 SOC monitoring</w:t>
            </w:r>
          </w:p>
        </w:tc>
      </w:tr>
      <w:tr w:rsidR="00954FD4" w14:paraId="100E085E" w14:textId="77777777" w:rsidTr="002701CF">
        <w:trPr>
          <w:trHeight w:val="364"/>
        </w:trPr>
        <w:tc>
          <w:tcPr>
            <w:tcW w:w="2059" w:type="dxa"/>
          </w:tcPr>
          <w:p w14:paraId="63C45D1F" w14:textId="77777777" w:rsidR="00954FD4" w:rsidRPr="00D87D7F"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Business Continuity</w:t>
            </w:r>
          </w:p>
        </w:tc>
        <w:tc>
          <w:tcPr>
            <w:tcW w:w="2333" w:type="dxa"/>
          </w:tcPr>
          <w:p w14:paraId="7F35586E"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A.17.1 Information security continuity</w:t>
            </w:r>
          </w:p>
        </w:tc>
        <w:tc>
          <w:tcPr>
            <w:tcW w:w="2333" w:type="dxa"/>
          </w:tcPr>
          <w:p w14:paraId="3C8E82ED"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Recover</w:t>
            </w:r>
          </w:p>
        </w:tc>
        <w:tc>
          <w:tcPr>
            <w:tcW w:w="2333" w:type="dxa"/>
          </w:tcPr>
          <w:p w14:paraId="42418774"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Availability Management</w:t>
            </w:r>
          </w:p>
        </w:tc>
        <w:tc>
          <w:tcPr>
            <w:tcW w:w="2334" w:type="dxa"/>
          </w:tcPr>
          <w:p w14:paraId="66F6404F"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Regular backups + defined RTO/RPO</w:t>
            </w:r>
          </w:p>
        </w:tc>
      </w:tr>
      <w:tr w:rsidR="00954FD4" w14:paraId="641856D6" w14:textId="77777777" w:rsidTr="002701CF">
        <w:trPr>
          <w:trHeight w:val="364"/>
        </w:trPr>
        <w:tc>
          <w:tcPr>
            <w:tcW w:w="2059" w:type="dxa"/>
          </w:tcPr>
          <w:p w14:paraId="0563C6AF" w14:textId="77777777" w:rsidR="00954FD4" w:rsidRPr="00D87D7F"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Third-Party / Partner Risk</w:t>
            </w:r>
          </w:p>
        </w:tc>
        <w:tc>
          <w:tcPr>
            <w:tcW w:w="2333" w:type="dxa"/>
            <w:vAlign w:val="center"/>
          </w:tcPr>
          <w:p w14:paraId="5FC9D474"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A.15.1 Supplier relationships</w:t>
            </w:r>
          </w:p>
        </w:tc>
        <w:tc>
          <w:tcPr>
            <w:tcW w:w="2333" w:type="dxa"/>
          </w:tcPr>
          <w:p w14:paraId="5CE85EC6"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Govern</w:t>
            </w:r>
          </w:p>
        </w:tc>
        <w:tc>
          <w:tcPr>
            <w:tcW w:w="2333" w:type="dxa"/>
          </w:tcPr>
          <w:p w14:paraId="5988BCB4"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Supplier Management</w:t>
            </w:r>
          </w:p>
        </w:tc>
        <w:tc>
          <w:tcPr>
            <w:tcW w:w="2334" w:type="dxa"/>
          </w:tcPr>
          <w:p w14:paraId="6DBC1902" w14:textId="77777777" w:rsidR="00954FD4" w:rsidRDefault="00954FD4" w:rsidP="00954FD4">
            <w:pPr>
              <w:jc w:val="center"/>
              <w:rPr>
                <w:rFonts w:ascii="Times New Roman" w:hAnsi="Times New Roman" w:cs="Times New Roman"/>
                <w:sz w:val="28"/>
                <w:szCs w:val="28"/>
              </w:rPr>
            </w:pPr>
            <w:r w:rsidRPr="00D87D7F">
              <w:rPr>
                <w:rFonts w:ascii="Times New Roman" w:hAnsi="Times New Roman" w:cs="Times New Roman"/>
                <w:sz w:val="28"/>
                <w:szCs w:val="28"/>
              </w:rPr>
              <w:t>Vendor risk assessments + audit rights in contracts</w:t>
            </w:r>
          </w:p>
        </w:tc>
      </w:tr>
    </w:tbl>
    <w:p w14:paraId="29E33A4E" w14:textId="77777777" w:rsidR="00507EB5" w:rsidRDefault="00507EB5" w:rsidP="00F23389">
      <w:pPr>
        <w:jc w:val="both"/>
        <w:rPr>
          <w:rFonts w:ascii="Times New Roman" w:hAnsi="Times New Roman" w:cs="Times New Roman"/>
          <w:sz w:val="28"/>
          <w:szCs w:val="28"/>
        </w:rPr>
      </w:pPr>
    </w:p>
    <w:p w14:paraId="7F5BA28E" w14:textId="77777777" w:rsidR="00507EB5" w:rsidRDefault="00507EB5" w:rsidP="00F23389">
      <w:pPr>
        <w:jc w:val="both"/>
        <w:rPr>
          <w:rFonts w:ascii="Times New Roman" w:hAnsi="Times New Roman" w:cs="Times New Roman"/>
          <w:sz w:val="28"/>
          <w:szCs w:val="28"/>
        </w:rPr>
      </w:pPr>
    </w:p>
    <w:p w14:paraId="10B51422" w14:textId="2B0A784B" w:rsidR="00507EB5" w:rsidRPr="00D87D7F" w:rsidRDefault="00954FD4" w:rsidP="00F23389">
      <w:pPr>
        <w:jc w:val="both"/>
        <w:rPr>
          <w:rFonts w:ascii="Times New Roman" w:hAnsi="Times New Roman" w:cs="Times New Roman"/>
          <w:sz w:val="28"/>
          <w:szCs w:val="28"/>
        </w:rPr>
      </w:pPr>
      <w:r w:rsidRPr="00D87D7F">
        <w:rPr>
          <w:rFonts w:ascii="Times New Roman" w:hAnsi="Times New Roman" w:cs="Times New Roman"/>
          <w:sz w:val="28"/>
          <w:szCs w:val="28"/>
        </w:rPr>
        <w:t>Examples: BYOD → ISO A.6.2 + NIST Protect + ITIL Incident Management → Mandatory MDM + MFA.</w:t>
      </w:r>
    </w:p>
    <w:p w14:paraId="14AC06D7" w14:textId="59E7CB13" w:rsidR="00F23389" w:rsidRPr="00D87D7F" w:rsidRDefault="00F23389" w:rsidP="00F23389">
      <w:pPr>
        <w:jc w:val="both"/>
        <w:rPr>
          <w:rFonts w:ascii="Times New Roman" w:hAnsi="Times New Roman" w:cs="Times New Roman"/>
          <w:b/>
          <w:bCs/>
          <w:sz w:val="32"/>
          <w:szCs w:val="32"/>
        </w:rPr>
      </w:pPr>
      <w:r w:rsidRPr="00D87D7F">
        <w:rPr>
          <w:rFonts w:ascii="Times New Roman" w:hAnsi="Times New Roman" w:cs="Times New Roman"/>
          <w:b/>
          <w:bCs/>
          <w:sz w:val="32"/>
          <w:szCs w:val="32"/>
        </w:rPr>
        <w:t>3.4 Protection Mechanisms</w:t>
      </w:r>
    </w:p>
    <w:p w14:paraId="7B02EB23" w14:textId="77777777" w:rsidR="00AA0294" w:rsidRPr="00D87D7F" w:rsidRDefault="00AA0294" w:rsidP="00F23389">
      <w:pPr>
        <w:jc w:val="both"/>
        <w:rPr>
          <w:rFonts w:ascii="Times New Roman" w:hAnsi="Times New Roman" w:cs="Times New Roman"/>
          <w:sz w:val="28"/>
          <w:szCs w:val="28"/>
        </w:rPr>
      </w:pPr>
      <w:r w:rsidRPr="00D87D7F">
        <w:rPr>
          <w:rFonts w:ascii="Times New Roman" w:hAnsi="Times New Roman" w:cs="Times New Roman"/>
          <w:sz w:val="28"/>
          <w:szCs w:val="28"/>
        </w:rPr>
        <w:t>The security controls to be implemented would be Multi-Factor Authentication (MFA), End-to-End Encryption, Advanced Firewall Solutions, IDS/IPS systems, DLP and SIEM tools. All these security controls would be consistent with the Technological Controls (A.8) in ISO 27001:2022 as well as the NIST Protect function. In addition, other security controls that have been included for implementation would be Configuration Management (A.8.9) and Secure Coding (A.8.28).</w:t>
      </w:r>
    </w:p>
    <w:p w14:paraId="762CCC1C" w14:textId="3A0395D3" w:rsidR="00F23389" w:rsidRPr="00D87D7F" w:rsidRDefault="00F23389" w:rsidP="00F23389">
      <w:pPr>
        <w:jc w:val="both"/>
        <w:rPr>
          <w:rFonts w:ascii="Times New Roman" w:hAnsi="Times New Roman" w:cs="Times New Roman"/>
          <w:b/>
          <w:bCs/>
          <w:sz w:val="32"/>
          <w:szCs w:val="32"/>
        </w:rPr>
      </w:pPr>
      <w:r w:rsidRPr="00D87D7F">
        <w:rPr>
          <w:rFonts w:ascii="Times New Roman" w:hAnsi="Times New Roman" w:cs="Times New Roman"/>
          <w:b/>
          <w:bCs/>
          <w:sz w:val="32"/>
          <w:szCs w:val="32"/>
        </w:rPr>
        <w:t>3.5 BYOD Security</w:t>
      </w:r>
    </w:p>
    <w:p w14:paraId="73AC5B41" w14:textId="77777777" w:rsidR="00AA0294" w:rsidRDefault="00AA0294" w:rsidP="00F23389">
      <w:pPr>
        <w:jc w:val="both"/>
        <w:rPr>
          <w:rFonts w:ascii="Times New Roman" w:hAnsi="Times New Roman" w:cs="Times New Roman"/>
          <w:sz w:val="28"/>
          <w:szCs w:val="28"/>
        </w:rPr>
      </w:pPr>
      <w:r w:rsidRPr="00D87D7F">
        <w:rPr>
          <w:rFonts w:ascii="Times New Roman" w:hAnsi="Times New Roman" w:cs="Times New Roman"/>
          <w:sz w:val="28"/>
          <w:szCs w:val="28"/>
        </w:rPr>
        <w:t>MDM or EMM will be used in order to manage BYOD. Some of the features that will be employed in this regard include Full Device Encryption, Remote Wiping, Geofencing, and Biometric Authentication with Strong Passcode/PIN, alongside containerization, which will help to keep personal and corporate information separated from one another. It is consistent with ISO A.6.2, NIST Protect, and has been proven to work effectively against BYOD threats.</w:t>
      </w:r>
    </w:p>
    <w:p w14:paraId="1019BE10" w14:textId="77777777" w:rsidR="00E93857" w:rsidRDefault="00E93857" w:rsidP="00F23389">
      <w:pPr>
        <w:jc w:val="both"/>
        <w:rPr>
          <w:rFonts w:ascii="Times New Roman" w:hAnsi="Times New Roman" w:cs="Times New Roman"/>
          <w:sz w:val="28"/>
          <w:szCs w:val="28"/>
        </w:rPr>
      </w:pPr>
    </w:p>
    <w:p w14:paraId="1302DFDD" w14:textId="77777777" w:rsidR="00E93857" w:rsidRPr="00D87D7F" w:rsidRDefault="00E93857" w:rsidP="00F23389">
      <w:pPr>
        <w:jc w:val="both"/>
        <w:rPr>
          <w:rFonts w:ascii="Times New Roman" w:hAnsi="Times New Roman" w:cs="Times New Roman"/>
          <w:sz w:val="28"/>
          <w:szCs w:val="28"/>
        </w:rPr>
      </w:pPr>
    </w:p>
    <w:p w14:paraId="3CCB91EC" w14:textId="5FB66778" w:rsidR="00F23389" w:rsidRPr="00D87D7F" w:rsidRDefault="00F23389" w:rsidP="00F23389">
      <w:pPr>
        <w:jc w:val="both"/>
        <w:rPr>
          <w:rFonts w:ascii="Times New Roman" w:hAnsi="Times New Roman" w:cs="Times New Roman"/>
          <w:b/>
          <w:bCs/>
          <w:noProof/>
          <w:sz w:val="32"/>
          <w:szCs w:val="32"/>
        </w:rPr>
      </w:pPr>
      <w:r w:rsidRPr="00D87D7F">
        <w:rPr>
          <w:rFonts w:ascii="Times New Roman" w:hAnsi="Times New Roman" w:cs="Times New Roman"/>
          <w:b/>
          <w:bCs/>
          <w:noProof/>
          <w:sz w:val="32"/>
          <w:szCs w:val="32"/>
        </w:rPr>
        <w:lastRenderedPageBreak/>
        <w:t>3.6 Compliance (GDPR)</w:t>
      </w:r>
    </w:p>
    <w:p w14:paraId="18B9414B" w14:textId="77777777" w:rsidR="00AA0294" w:rsidRPr="00D87D7F" w:rsidRDefault="00AA0294" w:rsidP="00F23389">
      <w:pPr>
        <w:jc w:val="both"/>
        <w:rPr>
          <w:rFonts w:ascii="Times New Roman" w:hAnsi="Times New Roman" w:cs="Times New Roman"/>
          <w:noProof/>
          <w:sz w:val="28"/>
          <w:szCs w:val="28"/>
        </w:rPr>
      </w:pPr>
      <w:r w:rsidRPr="00D87D7F">
        <w:rPr>
          <w:rFonts w:ascii="Times New Roman" w:hAnsi="Times New Roman" w:cs="Times New Roman"/>
          <w:noProof/>
          <w:sz w:val="28"/>
          <w:szCs w:val="28"/>
        </w:rPr>
        <w:t>DPIA (Data Protection Impact Assessment) will become compulsory. Reporting of the breach of data will have to be done within 72 hours. Additionally, the principle of privacy by design and default will be enforced. It is in compliance with A.18.1 of ISO 27001:2022 and will help in maintaining compliance by the FSB.</w:t>
      </w:r>
    </w:p>
    <w:p w14:paraId="4BACA7AE" w14:textId="63E664E3" w:rsidR="00F23389" w:rsidRPr="00D87D7F" w:rsidRDefault="00F23389" w:rsidP="00F23389">
      <w:pPr>
        <w:jc w:val="both"/>
        <w:rPr>
          <w:rFonts w:ascii="Times New Roman" w:hAnsi="Times New Roman" w:cs="Times New Roman"/>
          <w:b/>
          <w:bCs/>
          <w:noProof/>
          <w:sz w:val="32"/>
          <w:szCs w:val="32"/>
        </w:rPr>
      </w:pPr>
      <w:r w:rsidRPr="00D87D7F">
        <w:rPr>
          <w:rFonts w:ascii="Times New Roman" w:hAnsi="Times New Roman" w:cs="Times New Roman"/>
          <w:b/>
          <w:bCs/>
          <w:noProof/>
          <w:sz w:val="32"/>
          <w:szCs w:val="32"/>
        </w:rPr>
        <w:t>3.7 Contingency Planning</w:t>
      </w:r>
    </w:p>
    <w:p w14:paraId="027B7498" w14:textId="6452E238" w:rsidR="00AA0294" w:rsidRPr="00D87D7F" w:rsidRDefault="00AA0294" w:rsidP="00F23389">
      <w:pPr>
        <w:jc w:val="both"/>
        <w:rPr>
          <w:rFonts w:ascii="Times New Roman" w:hAnsi="Times New Roman" w:cs="Times New Roman"/>
          <w:noProof/>
          <w:sz w:val="28"/>
          <w:szCs w:val="28"/>
        </w:rPr>
      </w:pPr>
      <w:r w:rsidRPr="00D87D7F">
        <w:rPr>
          <w:rFonts w:ascii="Times New Roman" w:hAnsi="Times New Roman" w:cs="Times New Roman"/>
          <w:noProof/>
          <w:sz w:val="28"/>
          <w:szCs w:val="28"/>
        </w:rPr>
        <w:t>The formulation of the BCP and DRP is planned. The objective time for recovery and point recovery objectives would be made explicit through such plans. Such plans would be tested twice every year through the use of the NIST Recover function and ITIL 4 Service Continuity Management process.</w:t>
      </w:r>
    </w:p>
    <w:p w14:paraId="300D1266" w14:textId="7BFBFF4E" w:rsidR="00F23389" w:rsidRPr="00D87D7F" w:rsidRDefault="00F23389" w:rsidP="00F23389">
      <w:pPr>
        <w:jc w:val="both"/>
        <w:rPr>
          <w:rFonts w:ascii="Times New Roman" w:hAnsi="Times New Roman" w:cs="Times New Roman"/>
          <w:b/>
          <w:bCs/>
          <w:noProof/>
          <w:sz w:val="32"/>
          <w:szCs w:val="32"/>
        </w:rPr>
      </w:pPr>
      <w:r w:rsidRPr="00D87D7F">
        <w:rPr>
          <w:rFonts w:ascii="Times New Roman" w:hAnsi="Times New Roman" w:cs="Times New Roman"/>
          <w:b/>
          <w:bCs/>
          <w:noProof/>
          <w:sz w:val="32"/>
          <w:szCs w:val="32"/>
        </w:rPr>
        <w:t>3.8 Service Level Agreements (SLA)</w:t>
      </w:r>
    </w:p>
    <w:p w14:paraId="694A858A" w14:textId="32C92962" w:rsidR="00FF489E" w:rsidRPr="000024CC" w:rsidRDefault="00AA0294" w:rsidP="00F23389">
      <w:pPr>
        <w:jc w:val="both"/>
        <w:rPr>
          <w:rFonts w:ascii="Times New Roman" w:hAnsi="Times New Roman" w:cs="Times New Roman"/>
          <w:noProof/>
          <w:sz w:val="28"/>
          <w:szCs w:val="28"/>
        </w:rPr>
      </w:pPr>
      <w:r w:rsidRPr="00D87D7F">
        <w:rPr>
          <w:rFonts w:ascii="Times New Roman" w:hAnsi="Times New Roman" w:cs="Times New Roman"/>
          <w:noProof/>
          <w:sz w:val="28"/>
          <w:szCs w:val="28"/>
        </w:rPr>
        <w:t>SLAs with cloud services providers and third parties will feature stringent security terms. They will define clearly the Incident Response Timescales, Audit Rights, Penalty Terms, and Data Security Obligations. The best practices of ITIL 4 Supplier Management and Service Level Management will be employed.</w:t>
      </w:r>
      <w:r w:rsidR="00DC64F7">
        <w:rPr>
          <w:rFonts w:ascii="Times New Roman" w:hAnsi="Times New Roman" w:cs="Times New Roman"/>
          <w:noProof/>
          <w:sz w:val="36"/>
          <w:szCs w:val="36"/>
        </w:rPr>
        <w:t xml:space="preserve"> </w:t>
      </w:r>
    </w:p>
    <w:tbl>
      <w:tblPr>
        <w:tblStyle w:val="TableGrid"/>
        <w:tblW w:w="11340" w:type="dxa"/>
        <w:tblInd w:w="-1139" w:type="dxa"/>
        <w:tblLook w:val="04A0" w:firstRow="1" w:lastRow="0" w:firstColumn="1" w:lastColumn="0" w:noHBand="0" w:noVBand="1"/>
      </w:tblPr>
      <w:tblGrid>
        <w:gridCol w:w="1016"/>
        <w:gridCol w:w="1914"/>
        <w:gridCol w:w="2184"/>
        <w:gridCol w:w="1852"/>
        <w:gridCol w:w="2672"/>
        <w:gridCol w:w="1702"/>
      </w:tblGrid>
      <w:tr w:rsidR="00DC64F7" w14:paraId="70DA1218" w14:textId="77777777" w:rsidTr="004F1EEF">
        <w:tc>
          <w:tcPr>
            <w:tcW w:w="1016" w:type="dxa"/>
            <w:shd w:val="clear" w:color="auto" w:fill="D0CECE" w:themeFill="background2" w:themeFillShade="E6"/>
          </w:tcPr>
          <w:p w14:paraId="18CCA6D0" w14:textId="58D3C98E" w:rsidR="00DC64F7" w:rsidRDefault="00DC64F7" w:rsidP="00DC64F7">
            <w:pPr>
              <w:tabs>
                <w:tab w:val="left" w:pos="2976"/>
              </w:tabs>
              <w:jc w:val="both"/>
              <w:rPr>
                <w:rFonts w:ascii="Times New Roman" w:hAnsi="Times New Roman" w:cs="Times New Roman"/>
                <w:noProof/>
                <w:sz w:val="36"/>
                <w:szCs w:val="36"/>
              </w:rPr>
            </w:pPr>
            <w:r w:rsidRPr="00D87D7F">
              <w:rPr>
                <w:rFonts w:ascii="Times New Roman" w:hAnsi="Times New Roman" w:cs="Times New Roman"/>
                <w:b/>
                <w:bCs/>
                <w:noProof/>
                <w:sz w:val="32"/>
                <w:szCs w:val="32"/>
              </w:rPr>
              <w:t>Phase</w:t>
            </w:r>
          </w:p>
        </w:tc>
        <w:tc>
          <w:tcPr>
            <w:tcW w:w="1914" w:type="dxa"/>
            <w:shd w:val="clear" w:color="auto" w:fill="D0CECE" w:themeFill="background2" w:themeFillShade="E6"/>
          </w:tcPr>
          <w:p w14:paraId="7E283700" w14:textId="091CBECF" w:rsidR="00DC64F7" w:rsidRDefault="00DC64F7" w:rsidP="00DC64F7">
            <w:pPr>
              <w:tabs>
                <w:tab w:val="left" w:pos="2976"/>
              </w:tabs>
              <w:jc w:val="both"/>
              <w:rPr>
                <w:rFonts w:ascii="Times New Roman" w:hAnsi="Times New Roman" w:cs="Times New Roman"/>
                <w:noProof/>
                <w:sz w:val="36"/>
                <w:szCs w:val="36"/>
              </w:rPr>
            </w:pPr>
            <w:r w:rsidRPr="00D87D7F">
              <w:rPr>
                <w:rFonts w:ascii="Times New Roman" w:hAnsi="Times New Roman" w:cs="Times New Roman"/>
                <w:b/>
                <w:bCs/>
                <w:noProof/>
                <w:sz w:val="32"/>
                <w:szCs w:val="32"/>
              </w:rPr>
              <w:t>Time Period</w:t>
            </w:r>
          </w:p>
        </w:tc>
        <w:tc>
          <w:tcPr>
            <w:tcW w:w="2184" w:type="dxa"/>
            <w:shd w:val="clear" w:color="auto" w:fill="D0CECE" w:themeFill="background2" w:themeFillShade="E6"/>
          </w:tcPr>
          <w:p w14:paraId="67D2F91A" w14:textId="153C312F" w:rsidR="00DC64F7" w:rsidRDefault="00DC64F7" w:rsidP="00DC64F7">
            <w:pPr>
              <w:tabs>
                <w:tab w:val="left" w:pos="2976"/>
              </w:tabs>
              <w:jc w:val="both"/>
              <w:rPr>
                <w:rFonts w:ascii="Times New Roman" w:hAnsi="Times New Roman" w:cs="Times New Roman"/>
                <w:noProof/>
                <w:sz w:val="36"/>
                <w:szCs w:val="36"/>
              </w:rPr>
            </w:pPr>
            <w:r w:rsidRPr="00D87D7F">
              <w:rPr>
                <w:rFonts w:ascii="Times New Roman" w:hAnsi="Times New Roman" w:cs="Times New Roman"/>
                <w:b/>
                <w:bCs/>
                <w:noProof/>
                <w:sz w:val="32"/>
                <w:szCs w:val="32"/>
              </w:rPr>
              <w:t>Key Activities</w:t>
            </w:r>
          </w:p>
        </w:tc>
        <w:tc>
          <w:tcPr>
            <w:tcW w:w="1852" w:type="dxa"/>
            <w:shd w:val="clear" w:color="auto" w:fill="D0CECE" w:themeFill="background2" w:themeFillShade="E6"/>
          </w:tcPr>
          <w:p w14:paraId="23AB4F43" w14:textId="49835DE4" w:rsidR="00DC64F7" w:rsidRDefault="00DC64F7" w:rsidP="00DC64F7">
            <w:pPr>
              <w:tabs>
                <w:tab w:val="left" w:pos="2976"/>
              </w:tabs>
              <w:jc w:val="both"/>
              <w:rPr>
                <w:rFonts w:ascii="Times New Roman" w:hAnsi="Times New Roman" w:cs="Times New Roman"/>
                <w:noProof/>
                <w:sz w:val="36"/>
                <w:szCs w:val="36"/>
              </w:rPr>
            </w:pPr>
            <w:r w:rsidRPr="00D87D7F">
              <w:rPr>
                <w:rFonts w:ascii="Times New Roman" w:hAnsi="Times New Roman" w:cs="Times New Roman"/>
                <w:b/>
                <w:bCs/>
                <w:noProof/>
                <w:sz w:val="32"/>
                <w:szCs w:val="32"/>
              </w:rPr>
              <w:t>Responsible</w:t>
            </w:r>
          </w:p>
        </w:tc>
        <w:tc>
          <w:tcPr>
            <w:tcW w:w="2672" w:type="dxa"/>
            <w:shd w:val="clear" w:color="auto" w:fill="D0CECE" w:themeFill="background2" w:themeFillShade="E6"/>
            <w:vAlign w:val="center"/>
          </w:tcPr>
          <w:p w14:paraId="7E0C77A1" w14:textId="12C49877" w:rsidR="00DC64F7" w:rsidRDefault="00DC64F7" w:rsidP="00DC64F7">
            <w:pPr>
              <w:tabs>
                <w:tab w:val="left" w:pos="2976"/>
              </w:tabs>
              <w:jc w:val="both"/>
              <w:rPr>
                <w:rFonts w:ascii="Times New Roman" w:hAnsi="Times New Roman" w:cs="Times New Roman"/>
                <w:noProof/>
                <w:sz w:val="36"/>
                <w:szCs w:val="36"/>
              </w:rPr>
            </w:pPr>
            <w:r w:rsidRPr="00D87D7F">
              <w:rPr>
                <w:rFonts w:ascii="Times New Roman" w:hAnsi="Times New Roman" w:cs="Times New Roman"/>
                <w:b/>
                <w:bCs/>
                <w:noProof/>
                <w:sz w:val="32"/>
                <w:szCs w:val="32"/>
              </w:rPr>
              <w:t>Key Performance Indicators (KPIs)</w:t>
            </w:r>
          </w:p>
        </w:tc>
        <w:tc>
          <w:tcPr>
            <w:tcW w:w="1702" w:type="dxa"/>
            <w:shd w:val="clear" w:color="auto" w:fill="D0CECE" w:themeFill="background2" w:themeFillShade="E6"/>
          </w:tcPr>
          <w:p w14:paraId="3F5667D4" w14:textId="4641EE95" w:rsidR="00DC64F7" w:rsidRDefault="00DC64F7" w:rsidP="00DC64F7">
            <w:pPr>
              <w:tabs>
                <w:tab w:val="left" w:pos="2976"/>
              </w:tabs>
              <w:jc w:val="both"/>
              <w:rPr>
                <w:rFonts w:ascii="Times New Roman" w:hAnsi="Times New Roman" w:cs="Times New Roman"/>
                <w:noProof/>
                <w:sz w:val="36"/>
                <w:szCs w:val="36"/>
              </w:rPr>
            </w:pPr>
            <w:r w:rsidRPr="00D87D7F">
              <w:rPr>
                <w:rFonts w:ascii="Times New Roman" w:hAnsi="Times New Roman" w:cs="Times New Roman"/>
                <w:b/>
                <w:bCs/>
                <w:noProof/>
                <w:sz w:val="32"/>
                <w:szCs w:val="32"/>
              </w:rPr>
              <w:t>Status</w:t>
            </w:r>
          </w:p>
        </w:tc>
      </w:tr>
      <w:tr w:rsidR="000024CC" w14:paraId="5972340F" w14:textId="77777777" w:rsidTr="000024CC">
        <w:tc>
          <w:tcPr>
            <w:tcW w:w="1016" w:type="dxa"/>
          </w:tcPr>
          <w:p w14:paraId="096617FD" w14:textId="0BDE22F2" w:rsidR="000024CC" w:rsidRPr="00D87D7F" w:rsidRDefault="000024CC" w:rsidP="00DC64F7">
            <w:pPr>
              <w:tabs>
                <w:tab w:val="left" w:pos="2976"/>
              </w:tabs>
              <w:jc w:val="center"/>
              <w:rPr>
                <w:rFonts w:ascii="Times New Roman" w:hAnsi="Times New Roman" w:cs="Times New Roman"/>
                <w:noProof/>
                <w:sz w:val="28"/>
                <w:szCs w:val="28"/>
              </w:rPr>
            </w:pPr>
            <w:r w:rsidRPr="00DC64F7">
              <w:rPr>
                <w:rFonts w:ascii="Times New Roman" w:hAnsi="Times New Roman" w:cs="Times New Roman"/>
                <w:noProof/>
                <w:sz w:val="28"/>
                <w:szCs w:val="28"/>
              </w:rPr>
              <w:t>1</w:t>
            </w:r>
          </w:p>
        </w:tc>
        <w:tc>
          <w:tcPr>
            <w:tcW w:w="1914" w:type="dxa"/>
          </w:tcPr>
          <w:p w14:paraId="2CB2ED73" w14:textId="1270E9B0" w:rsidR="000024CC" w:rsidRPr="00D87D7F" w:rsidRDefault="000024CC" w:rsidP="00DC64F7">
            <w:pPr>
              <w:tabs>
                <w:tab w:val="left" w:pos="2976"/>
              </w:tabs>
              <w:jc w:val="center"/>
              <w:rPr>
                <w:rFonts w:ascii="Times New Roman" w:hAnsi="Times New Roman" w:cs="Times New Roman"/>
                <w:noProof/>
                <w:sz w:val="28"/>
                <w:szCs w:val="28"/>
              </w:rPr>
            </w:pPr>
            <w:r w:rsidRPr="00D87D7F">
              <w:rPr>
                <w:rFonts w:ascii="Times New Roman" w:hAnsi="Times New Roman" w:cs="Times New Roman"/>
                <w:noProof/>
                <w:sz w:val="28"/>
                <w:szCs w:val="28"/>
              </w:rPr>
              <w:t xml:space="preserve">Months </w:t>
            </w:r>
            <w:r>
              <w:rPr>
                <w:rFonts w:ascii="Times New Roman" w:hAnsi="Times New Roman" w:cs="Times New Roman"/>
                <w:noProof/>
                <w:sz w:val="28"/>
                <w:szCs w:val="28"/>
              </w:rPr>
              <w:t>1</w:t>
            </w:r>
            <w:r w:rsidRPr="00D87D7F">
              <w:rPr>
                <w:rFonts w:ascii="Times New Roman" w:hAnsi="Times New Roman" w:cs="Times New Roman"/>
                <w:noProof/>
                <w:sz w:val="28"/>
                <w:szCs w:val="28"/>
              </w:rPr>
              <w:t>–</w:t>
            </w:r>
            <w:r>
              <w:rPr>
                <w:rFonts w:ascii="Times New Roman" w:hAnsi="Times New Roman" w:cs="Times New Roman"/>
                <w:noProof/>
                <w:sz w:val="28"/>
                <w:szCs w:val="28"/>
              </w:rPr>
              <w:t>6</w:t>
            </w:r>
          </w:p>
        </w:tc>
        <w:tc>
          <w:tcPr>
            <w:tcW w:w="2184" w:type="dxa"/>
          </w:tcPr>
          <w:p w14:paraId="674C1284" w14:textId="35CC2B87" w:rsidR="000024CC" w:rsidRPr="00D87D7F" w:rsidRDefault="000024CC" w:rsidP="00DC64F7">
            <w:pPr>
              <w:tabs>
                <w:tab w:val="left" w:pos="2976"/>
              </w:tabs>
              <w:jc w:val="center"/>
              <w:rPr>
                <w:rFonts w:ascii="Times New Roman" w:hAnsi="Times New Roman" w:cs="Times New Roman"/>
                <w:noProof/>
                <w:sz w:val="28"/>
                <w:szCs w:val="28"/>
              </w:rPr>
            </w:pPr>
            <w:r w:rsidRPr="00D87D7F">
              <w:rPr>
                <w:rFonts w:ascii="Times New Roman" w:hAnsi="Times New Roman" w:cs="Times New Roman"/>
                <w:noProof/>
                <w:sz w:val="28"/>
                <w:szCs w:val="28"/>
              </w:rPr>
              <w:t>Gap analysis, policy development, CISO appointment, risk register creation</w:t>
            </w:r>
          </w:p>
        </w:tc>
        <w:tc>
          <w:tcPr>
            <w:tcW w:w="1852" w:type="dxa"/>
          </w:tcPr>
          <w:p w14:paraId="6C6F4591" w14:textId="6C1D9587" w:rsidR="000024CC" w:rsidRPr="00D87D7F" w:rsidRDefault="000024CC" w:rsidP="00DC64F7">
            <w:pPr>
              <w:tabs>
                <w:tab w:val="left" w:pos="2976"/>
              </w:tabs>
              <w:jc w:val="center"/>
              <w:rPr>
                <w:rFonts w:ascii="Times New Roman" w:hAnsi="Times New Roman" w:cs="Times New Roman"/>
                <w:noProof/>
                <w:sz w:val="28"/>
                <w:szCs w:val="28"/>
              </w:rPr>
            </w:pPr>
            <w:r w:rsidRPr="00D87D7F">
              <w:rPr>
                <w:rFonts w:ascii="Times New Roman" w:hAnsi="Times New Roman" w:cs="Times New Roman"/>
                <w:noProof/>
                <w:sz w:val="28"/>
                <w:szCs w:val="28"/>
              </w:rPr>
              <w:t>CISO + Senior Management</w:t>
            </w:r>
          </w:p>
        </w:tc>
        <w:tc>
          <w:tcPr>
            <w:tcW w:w="2672" w:type="dxa"/>
          </w:tcPr>
          <w:p w14:paraId="03CCAFEF" w14:textId="44F05401" w:rsidR="000024CC" w:rsidRPr="00D87D7F" w:rsidRDefault="000024CC" w:rsidP="00DC64F7">
            <w:pPr>
              <w:tabs>
                <w:tab w:val="left" w:pos="2976"/>
              </w:tabs>
              <w:jc w:val="center"/>
              <w:rPr>
                <w:rFonts w:ascii="Times New Roman" w:hAnsi="Times New Roman" w:cs="Times New Roman"/>
                <w:noProof/>
                <w:sz w:val="28"/>
                <w:szCs w:val="28"/>
              </w:rPr>
            </w:pPr>
            <w:r w:rsidRPr="00D87D7F">
              <w:rPr>
                <w:rFonts w:ascii="Times New Roman" w:hAnsi="Times New Roman" w:cs="Times New Roman"/>
                <w:noProof/>
                <w:sz w:val="28"/>
                <w:szCs w:val="28"/>
              </w:rPr>
              <w:t>CISO + Senior Management</w:t>
            </w:r>
          </w:p>
        </w:tc>
        <w:tc>
          <w:tcPr>
            <w:tcW w:w="1702" w:type="dxa"/>
          </w:tcPr>
          <w:p w14:paraId="5E8618CC" w14:textId="23109ABE" w:rsidR="000024CC" w:rsidRPr="00D87D7F" w:rsidRDefault="000024CC" w:rsidP="00DC64F7">
            <w:pPr>
              <w:tabs>
                <w:tab w:val="left" w:pos="2976"/>
              </w:tabs>
              <w:jc w:val="center"/>
              <w:rPr>
                <w:rFonts w:ascii="Times New Roman" w:hAnsi="Times New Roman" w:cs="Times New Roman"/>
                <w:noProof/>
                <w:sz w:val="28"/>
                <w:szCs w:val="28"/>
              </w:rPr>
            </w:pPr>
            <w:r w:rsidRPr="00D87D7F">
              <w:rPr>
                <w:rFonts w:ascii="Times New Roman" w:hAnsi="Times New Roman" w:cs="Times New Roman"/>
                <w:noProof/>
                <w:sz w:val="28"/>
                <w:szCs w:val="28"/>
              </w:rPr>
              <w:t>Planned</w:t>
            </w:r>
          </w:p>
        </w:tc>
      </w:tr>
      <w:tr w:rsidR="00DC64F7" w14:paraId="707D0EE0" w14:textId="77777777" w:rsidTr="000024CC">
        <w:tc>
          <w:tcPr>
            <w:tcW w:w="1016" w:type="dxa"/>
          </w:tcPr>
          <w:p w14:paraId="18909732" w14:textId="7FA2289D"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2</w:t>
            </w:r>
          </w:p>
        </w:tc>
        <w:tc>
          <w:tcPr>
            <w:tcW w:w="1914" w:type="dxa"/>
          </w:tcPr>
          <w:p w14:paraId="7E050BF6" w14:textId="5FDE1BDA"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Months 7–12</w:t>
            </w:r>
          </w:p>
        </w:tc>
        <w:tc>
          <w:tcPr>
            <w:tcW w:w="2184" w:type="dxa"/>
          </w:tcPr>
          <w:p w14:paraId="22A8E26B" w14:textId="2665134B"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Technical controls rollout (MDM, MFA, encryption, SIEM), staff training, cloud SLA updates</w:t>
            </w:r>
          </w:p>
        </w:tc>
        <w:tc>
          <w:tcPr>
            <w:tcW w:w="1852" w:type="dxa"/>
          </w:tcPr>
          <w:p w14:paraId="4402D4B3" w14:textId="6ABF5EE0"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IT &amp; Security Team</w:t>
            </w:r>
          </w:p>
        </w:tc>
        <w:tc>
          <w:tcPr>
            <w:tcW w:w="2672" w:type="dxa"/>
          </w:tcPr>
          <w:p w14:paraId="3BA6A8DA" w14:textId="2CAB7A29"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90% staff trained, MDM deployed on all BYOD devices</w:t>
            </w:r>
          </w:p>
        </w:tc>
        <w:tc>
          <w:tcPr>
            <w:tcW w:w="1702" w:type="dxa"/>
          </w:tcPr>
          <w:p w14:paraId="03A8742A" w14:textId="1B07666B"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Planned</w:t>
            </w:r>
          </w:p>
        </w:tc>
      </w:tr>
      <w:tr w:rsidR="00DC64F7" w14:paraId="41184D1D" w14:textId="77777777" w:rsidTr="000024CC">
        <w:tc>
          <w:tcPr>
            <w:tcW w:w="1016" w:type="dxa"/>
          </w:tcPr>
          <w:p w14:paraId="08B09A3E" w14:textId="47E2A6B8"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3</w:t>
            </w:r>
          </w:p>
        </w:tc>
        <w:tc>
          <w:tcPr>
            <w:tcW w:w="1914" w:type="dxa"/>
          </w:tcPr>
          <w:p w14:paraId="7A1A0187" w14:textId="3561090F"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Months 13–18</w:t>
            </w:r>
          </w:p>
        </w:tc>
        <w:tc>
          <w:tcPr>
            <w:tcW w:w="2184" w:type="dxa"/>
          </w:tcPr>
          <w:p w14:paraId="52B9A369" w14:textId="385BC0ED"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Testing, internal audits, ISO 27001 certification preparation</w:t>
            </w:r>
          </w:p>
        </w:tc>
        <w:tc>
          <w:tcPr>
            <w:tcW w:w="1852" w:type="dxa"/>
          </w:tcPr>
          <w:p w14:paraId="36BEC74A" w14:textId="557880FB"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All Teams</w:t>
            </w:r>
          </w:p>
        </w:tc>
        <w:tc>
          <w:tcPr>
            <w:tcW w:w="2672" w:type="dxa"/>
          </w:tcPr>
          <w:p w14:paraId="4FF03B0C" w14:textId="4F31013C"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Zero critical audit findings, ISO readiness achieved</w:t>
            </w:r>
          </w:p>
        </w:tc>
        <w:tc>
          <w:tcPr>
            <w:tcW w:w="1702" w:type="dxa"/>
          </w:tcPr>
          <w:p w14:paraId="4E161B0B" w14:textId="085BB586" w:rsidR="00DC64F7" w:rsidRDefault="00DC64F7" w:rsidP="00DC64F7">
            <w:pPr>
              <w:tabs>
                <w:tab w:val="left" w:pos="2976"/>
              </w:tabs>
              <w:jc w:val="center"/>
              <w:rPr>
                <w:rFonts w:ascii="Times New Roman" w:hAnsi="Times New Roman" w:cs="Times New Roman"/>
                <w:noProof/>
                <w:sz w:val="36"/>
                <w:szCs w:val="36"/>
              </w:rPr>
            </w:pPr>
            <w:r w:rsidRPr="00D87D7F">
              <w:rPr>
                <w:rFonts w:ascii="Times New Roman" w:hAnsi="Times New Roman" w:cs="Times New Roman"/>
                <w:noProof/>
                <w:sz w:val="28"/>
                <w:szCs w:val="28"/>
              </w:rPr>
              <w:t>Planned</w:t>
            </w:r>
          </w:p>
        </w:tc>
      </w:tr>
    </w:tbl>
    <w:p w14:paraId="0C33EB3C" w14:textId="65299F91" w:rsidR="00FF489E" w:rsidRPr="00EA7E1F" w:rsidRDefault="00FF489E" w:rsidP="00EA7E1F">
      <w:pPr>
        <w:tabs>
          <w:tab w:val="left" w:pos="2976"/>
        </w:tabs>
        <w:jc w:val="both"/>
        <w:rPr>
          <w:rFonts w:ascii="Times New Roman" w:hAnsi="Times New Roman" w:cs="Times New Roman"/>
          <w:sz w:val="36"/>
          <w:szCs w:val="36"/>
        </w:rPr>
      </w:pPr>
      <w:r w:rsidRPr="00D87D7F">
        <w:rPr>
          <w:rFonts w:ascii="Times New Roman" w:hAnsi="Times New Roman" w:cs="Times New Roman"/>
          <w:b/>
          <w:bCs/>
          <w:sz w:val="32"/>
          <w:szCs w:val="32"/>
        </w:rPr>
        <w:lastRenderedPageBreak/>
        <w:t>4. Critical Discussion: Importance of Updating Regulations and Standards</w:t>
      </w:r>
    </w:p>
    <w:p w14:paraId="281A11C9" w14:textId="77777777" w:rsidR="00247F6D" w:rsidRPr="00D87D7F" w:rsidRDefault="00247F6D" w:rsidP="00247F6D">
      <w:pPr>
        <w:jc w:val="both"/>
        <w:rPr>
          <w:rFonts w:ascii="Times New Roman" w:hAnsi="Times New Roman" w:cs="Times New Roman"/>
          <w:sz w:val="28"/>
          <w:szCs w:val="28"/>
        </w:rPr>
      </w:pPr>
      <w:r w:rsidRPr="00D87D7F">
        <w:rPr>
          <w:rFonts w:ascii="Times New Roman" w:hAnsi="Times New Roman" w:cs="Times New Roman"/>
          <w:sz w:val="28"/>
          <w:szCs w:val="28"/>
        </w:rPr>
        <w:t>In this modern age where we rely heavily on technology, cybersecurity has assumed great significance for everyone. Due to the quick development and progress of technology, there is a fast change taking place with regard to cyber threats too. New techniques keep getting discovered by hackers that they can use against any loopholes in the system. It is imperative therefore that the regulations and standards of cybersecurity should be updated now and then.</w:t>
      </w:r>
    </w:p>
    <w:p w14:paraId="0B290B56" w14:textId="77777777" w:rsidR="00247F6D" w:rsidRPr="00D87D7F" w:rsidRDefault="00247F6D" w:rsidP="00247F6D">
      <w:pPr>
        <w:jc w:val="both"/>
        <w:rPr>
          <w:rFonts w:ascii="Times New Roman" w:hAnsi="Times New Roman" w:cs="Times New Roman"/>
          <w:sz w:val="28"/>
          <w:szCs w:val="28"/>
        </w:rPr>
      </w:pPr>
      <w:r w:rsidRPr="00D87D7F">
        <w:rPr>
          <w:rFonts w:ascii="Times New Roman" w:hAnsi="Times New Roman" w:cs="Times New Roman"/>
          <w:sz w:val="28"/>
          <w:szCs w:val="28"/>
        </w:rPr>
        <w:t>There is a need for revisions in cybersecurity laws due to the evolving nature of the threats posed by cybercrime. Methods and strategies that were once considered secure a few years back are inadequate when dealing with threats such as ransomware attacks, phishing attacks, zero-day attacks, and attacks based on artificial intelligence. The methods used to carry out cybercrimes continue to become more complex.</w:t>
      </w:r>
    </w:p>
    <w:p w14:paraId="40A4A860" w14:textId="77777777" w:rsidR="00247F6D" w:rsidRPr="00D87D7F" w:rsidRDefault="00247F6D" w:rsidP="00247F6D">
      <w:pPr>
        <w:jc w:val="both"/>
        <w:rPr>
          <w:rFonts w:ascii="Times New Roman" w:hAnsi="Times New Roman" w:cs="Times New Roman"/>
          <w:sz w:val="28"/>
          <w:szCs w:val="28"/>
        </w:rPr>
      </w:pPr>
      <w:r w:rsidRPr="00D87D7F">
        <w:rPr>
          <w:rFonts w:ascii="Times New Roman" w:hAnsi="Times New Roman" w:cs="Times New Roman"/>
          <w:sz w:val="28"/>
          <w:szCs w:val="28"/>
        </w:rPr>
        <w:t>The next crucial point to be considered is the growing dependence on technology infrastructure. In today’s world, people in general and organizations use digital platforms for communication, financial transactions, medical procedures, teaching and learning, etc. Hence, there are more chances that crimes can be committed in cyberspace. The previous regulations are not sufficient to govern modern technologies like cloud computing, IoT and blockchain.</w:t>
      </w:r>
    </w:p>
    <w:p w14:paraId="07DC4551" w14:textId="77777777" w:rsidR="00247F6D" w:rsidRPr="00247F6D" w:rsidRDefault="00247F6D" w:rsidP="00247F6D">
      <w:pPr>
        <w:jc w:val="both"/>
        <w:rPr>
          <w:rFonts w:ascii="Times New Roman" w:hAnsi="Times New Roman" w:cs="Times New Roman"/>
          <w:sz w:val="36"/>
          <w:szCs w:val="36"/>
        </w:rPr>
      </w:pPr>
      <w:r w:rsidRPr="00D87D7F">
        <w:rPr>
          <w:rFonts w:ascii="Times New Roman" w:hAnsi="Times New Roman" w:cs="Times New Roman"/>
          <w:sz w:val="28"/>
          <w:szCs w:val="28"/>
        </w:rPr>
        <w:t>Privacy of data is another major concern that reflects the necessity of up-to-date regulations. At present, there is an enormous volume of information being gathered and kept, which poses risks of data breaches. The new regulations provide strict measures for securing data and make companies responsible for any violation. In case of any breach of the regulation, companies will be fined.</w:t>
      </w:r>
    </w:p>
    <w:p w14:paraId="285BF11F" w14:textId="77777777" w:rsidR="00247F6D" w:rsidRPr="00D87D7F" w:rsidRDefault="00247F6D" w:rsidP="00247F6D">
      <w:pPr>
        <w:jc w:val="both"/>
        <w:rPr>
          <w:rFonts w:ascii="Times New Roman" w:hAnsi="Times New Roman" w:cs="Times New Roman"/>
          <w:sz w:val="28"/>
          <w:szCs w:val="28"/>
        </w:rPr>
      </w:pPr>
      <w:r w:rsidRPr="00D87D7F">
        <w:rPr>
          <w:rFonts w:ascii="Times New Roman" w:hAnsi="Times New Roman" w:cs="Times New Roman"/>
          <w:sz w:val="28"/>
          <w:szCs w:val="28"/>
        </w:rPr>
        <w:t>In addition, new regulations ensure international cooperation and equality because attacks on cyberspace do not originate from only one nation; hence, it becomes important for countries to cooperate to combat such crimes. New standards facilitate global cooperation in policy-making as well.</w:t>
      </w:r>
    </w:p>
    <w:p w14:paraId="6A3DEAAE" w14:textId="77777777" w:rsidR="00247F6D" w:rsidRPr="00D87D7F" w:rsidRDefault="00247F6D" w:rsidP="00247F6D">
      <w:pPr>
        <w:jc w:val="both"/>
        <w:rPr>
          <w:rFonts w:ascii="Times New Roman" w:hAnsi="Times New Roman" w:cs="Times New Roman"/>
          <w:sz w:val="28"/>
          <w:szCs w:val="28"/>
        </w:rPr>
      </w:pPr>
      <w:r w:rsidRPr="00D87D7F">
        <w:rPr>
          <w:rFonts w:ascii="Times New Roman" w:hAnsi="Times New Roman" w:cs="Times New Roman"/>
          <w:sz w:val="28"/>
          <w:szCs w:val="28"/>
        </w:rPr>
        <w:t>On the other hand, adherence to the new rules also improves consumer trust in the company because when they know that their data is safe, they feel comfortable using their services. In case the company does not adhere to the new laws, it will incur losses and even face legal action.</w:t>
      </w:r>
    </w:p>
    <w:p w14:paraId="64610CCB" w14:textId="77777777" w:rsidR="00247F6D" w:rsidRPr="00D87D7F" w:rsidRDefault="00247F6D" w:rsidP="00247F6D">
      <w:pPr>
        <w:jc w:val="both"/>
        <w:rPr>
          <w:rFonts w:ascii="Times New Roman" w:hAnsi="Times New Roman" w:cs="Times New Roman"/>
          <w:noProof/>
          <w:sz w:val="28"/>
          <w:szCs w:val="28"/>
        </w:rPr>
      </w:pPr>
      <w:r w:rsidRPr="00D87D7F">
        <w:rPr>
          <w:rFonts w:ascii="Times New Roman" w:hAnsi="Times New Roman" w:cs="Times New Roman"/>
          <w:noProof/>
          <w:sz w:val="28"/>
          <w:szCs w:val="28"/>
        </w:rPr>
        <w:lastRenderedPageBreak/>
        <w:t>But there are some obstacles when updating regulations. Small companies cannot comply with new regulations because they do not have enough financial capacity. Sometimes, regulations are too slow in terms of technology. But despite the above mentioned obstacles, it is crucial to update regulations.</w:t>
      </w:r>
    </w:p>
    <w:p w14:paraId="7A34C40D" w14:textId="77777777" w:rsidR="00247F6D" w:rsidRPr="00D87D7F" w:rsidRDefault="00247F6D" w:rsidP="00247F6D">
      <w:pPr>
        <w:jc w:val="both"/>
        <w:rPr>
          <w:rFonts w:ascii="Times New Roman" w:hAnsi="Times New Roman" w:cs="Times New Roman"/>
          <w:noProof/>
          <w:sz w:val="28"/>
          <w:szCs w:val="28"/>
        </w:rPr>
      </w:pPr>
      <w:r w:rsidRPr="00D87D7F">
        <w:rPr>
          <w:rFonts w:ascii="Times New Roman" w:hAnsi="Times New Roman" w:cs="Times New Roman"/>
          <w:noProof/>
          <w:sz w:val="28"/>
          <w:szCs w:val="28"/>
        </w:rPr>
        <w:t>Taking an offensive approach and constant identification of the risks is essential. It is necessary to cooperate with professionals of the IT sector. In addition, conducting training seminars for companies that would make integration of the new rules easy is necessary.</w:t>
      </w:r>
    </w:p>
    <w:p w14:paraId="55520DAC" w14:textId="77777777" w:rsidR="00247F6D" w:rsidRPr="00D87D7F" w:rsidRDefault="00247F6D" w:rsidP="00247F6D">
      <w:pPr>
        <w:jc w:val="both"/>
        <w:rPr>
          <w:rFonts w:ascii="Times New Roman" w:hAnsi="Times New Roman" w:cs="Times New Roman"/>
          <w:noProof/>
          <w:sz w:val="28"/>
          <w:szCs w:val="28"/>
        </w:rPr>
      </w:pPr>
      <w:r w:rsidRPr="00D87D7F">
        <w:rPr>
          <w:rFonts w:ascii="Times New Roman" w:hAnsi="Times New Roman" w:cs="Times New Roman"/>
          <w:noProof/>
          <w:sz w:val="28"/>
          <w:szCs w:val="28"/>
        </w:rPr>
        <w:t>Conclusion</w:t>
      </w:r>
    </w:p>
    <w:p w14:paraId="6D398E96" w14:textId="47E36F81" w:rsidR="00FF489E" w:rsidRPr="00247F6D" w:rsidRDefault="00247F6D" w:rsidP="00247F6D">
      <w:pPr>
        <w:jc w:val="both"/>
        <w:rPr>
          <w:rFonts w:ascii="Times New Roman" w:hAnsi="Times New Roman" w:cs="Times New Roman"/>
          <w:noProof/>
          <w:sz w:val="36"/>
          <w:szCs w:val="36"/>
        </w:rPr>
      </w:pPr>
      <w:r w:rsidRPr="00D87D7F">
        <w:rPr>
          <w:rFonts w:ascii="Times New Roman" w:hAnsi="Times New Roman" w:cs="Times New Roman"/>
          <w:noProof/>
          <w:sz w:val="28"/>
          <w:szCs w:val="28"/>
        </w:rPr>
        <w:t>The need for updating the cyber security standards and regulations cannot be stressed enough. These are necessary if protection from ever-evolving dangers is needed. Updates to the rules ensure data protection, increased international collaboration, and instill confidence in the masses. If done efficiently, the future of digital security can be ensured.</w:t>
      </w:r>
    </w:p>
    <w:p w14:paraId="6A75ADB5" w14:textId="77777777" w:rsidR="00FF489E" w:rsidRPr="00247F6D" w:rsidRDefault="00FF489E" w:rsidP="00FF489E">
      <w:pPr>
        <w:jc w:val="both"/>
        <w:rPr>
          <w:rFonts w:ascii="Times New Roman" w:hAnsi="Times New Roman" w:cs="Times New Roman"/>
          <w:noProof/>
          <w:sz w:val="36"/>
          <w:szCs w:val="36"/>
        </w:rPr>
      </w:pPr>
    </w:p>
    <w:p w14:paraId="72B137E5" w14:textId="77777777" w:rsidR="00FF489E" w:rsidRPr="00247F6D" w:rsidRDefault="00FF489E" w:rsidP="00FF489E">
      <w:pPr>
        <w:jc w:val="both"/>
        <w:rPr>
          <w:rFonts w:ascii="Times New Roman" w:hAnsi="Times New Roman" w:cs="Times New Roman"/>
          <w:sz w:val="36"/>
          <w:szCs w:val="36"/>
        </w:rPr>
      </w:pPr>
    </w:p>
    <w:p w14:paraId="6C3FB9F4" w14:textId="77777777" w:rsidR="00FF489E" w:rsidRPr="00247F6D" w:rsidRDefault="00FF489E" w:rsidP="00FF489E">
      <w:pPr>
        <w:jc w:val="both"/>
        <w:rPr>
          <w:rFonts w:ascii="Times New Roman" w:hAnsi="Times New Roman" w:cs="Times New Roman"/>
          <w:sz w:val="36"/>
          <w:szCs w:val="36"/>
        </w:rPr>
      </w:pPr>
    </w:p>
    <w:p w14:paraId="638896B3" w14:textId="77777777" w:rsidR="00FF489E" w:rsidRDefault="00FF489E" w:rsidP="00FF489E">
      <w:pPr>
        <w:jc w:val="both"/>
        <w:rPr>
          <w:rFonts w:ascii="Times New Roman" w:hAnsi="Times New Roman" w:cs="Times New Roman"/>
          <w:b/>
          <w:bCs/>
          <w:sz w:val="36"/>
          <w:szCs w:val="36"/>
        </w:rPr>
      </w:pPr>
    </w:p>
    <w:p w14:paraId="3DDC54E3" w14:textId="77777777" w:rsidR="00D87D7F" w:rsidRDefault="00D87D7F" w:rsidP="00FF489E">
      <w:pPr>
        <w:jc w:val="both"/>
        <w:rPr>
          <w:rFonts w:ascii="Times New Roman" w:hAnsi="Times New Roman" w:cs="Times New Roman"/>
          <w:b/>
          <w:bCs/>
          <w:sz w:val="36"/>
          <w:szCs w:val="36"/>
        </w:rPr>
      </w:pPr>
    </w:p>
    <w:p w14:paraId="56E74996" w14:textId="77777777" w:rsidR="00D87D7F" w:rsidRDefault="00D87D7F" w:rsidP="00FF489E">
      <w:pPr>
        <w:jc w:val="both"/>
        <w:rPr>
          <w:rFonts w:ascii="Times New Roman" w:hAnsi="Times New Roman" w:cs="Times New Roman"/>
          <w:b/>
          <w:bCs/>
          <w:sz w:val="36"/>
          <w:szCs w:val="36"/>
        </w:rPr>
      </w:pPr>
    </w:p>
    <w:p w14:paraId="2A6E31D6" w14:textId="77777777" w:rsidR="00D87D7F" w:rsidRDefault="00D87D7F" w:rsidP="00FF489E">
      <w:pPr>
        <w:jc w:val="both"/>
        <w:rPr>
          <w:rFonts w:ascii="Times New Roman" w:hAnsi="Times New Roman" w:cs="Times New Roman"/>
          <w:b/>
          <w:bCs/>
          <w:sz w:val="36"/>
          <w:szCs w:val="36"/>
        </w:rPr>
      </w:pPr>
    </w:p>
    <w:p w14:paraId="5AD7E50A" w14:textId="77777777" w:rsidR="00D87D7F" w:rsidRDefault="00D87D7F" w:rsidP="00FF489E">
      <w:pPr>
        <w:jc w:val="both"/>
        <w:rPr>
          <w:rFonts w:ascii="Times New Roman" w:hAnsi="Times New Roman" w:cs="Times New Roman"/>
          <w:b/>
          <w:bCs/>
          <w:sz w:val="36"/>
          <w:szCs w:val="36"/>
        </w:rPr>
      </w:pPr>
    </w:p>
    <w:p w14:paraId="27D65F50" w14:textId="77777777" w:rsidR="00D87D7F" w:rsidRDefault="00D87D7F" w:rsidP="00FF489E">
      <w:pPr>
        <w:jc w:val="both"/>
        <w:rPr>
          <w:rFonts w:ascii="Times New Roman" w:hAnsi="Times New Roman" w:cs="Times New Roman"/>
          <w:b/>
          <w:bCs/>
          <w:sz w:val="36"/>
          <w:szCs w:val="36"/>
        </w:rPr>
      </w:pPr>
    </w:p>
    <w:p w14:paraId="0EAF0D21" w14:textId="77777777" w:rsidR="00D87D7F" w:rsidRDefault="00D87D7F" w:rsidP="00FF489E">
      <w:pPr>
        <w:jc w:val="both"/>
        <w:rPr>
          <w:rFonts w:ascii="Times New Roman" w:hAnsi="Times New Roman" w:cs="Times New Roman"/>
          <w:b/>
          <w:bCs/>
          <w:sz w:val="36"/>
          <w:szCs w:val="36"/>
        </w:rPr>
      </w:pPr>
    </w:p>
    <w:p w14:paraId="0682C7BC" w14:textId="77777777" w:rsidR="00D87D7F" w:rsidRDefault="00D87D7F" w:rsidP="00FF489E">
      <w:pPr>
        <w:jc w:val="both"/>
        <w:rPr>
          <w:rFonts w:ascii="Times New Roman" w:hAnsi="Times New Roman" w:cs="Times New Roman"/>
          <w:b/>
          <w:bCs/>
          <w:sz w:val="36"/>
          <w:szCs w:val="36"/>
        </w:rPr>
      </w:pPr>
    </w:p>
    <w:p w14:paraId="2AF653C7" w14:textId="77777777" w:rsidR="00D87D7F" w:rsidRDefault="00D87D7F" w:rsidP="00FF489E">
      <w:pPr>
        <w:jc w:val="both"/>
        <w:rPr>
          <w:rFonts w:ascii="Times New Roman" w:hAnsi="Times New Roman" w:cs="Times New Roman"/>
          <w:b/>
          <w:bCs/>
          <w:sz w:val="36"/>
          <w:szCs w:val="36"/>
        </w:rPr>
      </w:pPr>
    </w:p>
    <w:p w14:paraId="5152E1D6" w14:textId="77777777" w:rsidR="00D87D7F" w:rsidRPr="00247F6D" w:rsidRDefault="00D87D7F" w:rsidP="00FF489E">
      <w:pPr>
        <w:jc w:val="both"/>
        <w:rPr>
          <w:rFonts w:ascii="Times New Roman" w:hAnsi="Times New Roman" w:cs="Times New Roman"/>
          <w:b/>
          <w:bCs/>
          <w:sz w:val="36"/>
          <w:szCs w:val="36"/>
        </w:rPr>
      </w:pPr>
    </w:p>
    <w:p w14:paraId="473A48DC" w14:textId="1151595E" w:rsidR="00FF489E" w:rsidRPr="003E5F02" w:rsidRDefault="00FF489E" w:rsidP="00FF489E">
      <w:pPr>
        <w:jc w:val="both"/>
        <w:rPr>
          <w:rFonts w:ascii="Times New Roman" w:hAnsi="Times New Roman" w:cs="Times New Roman"/>
          <w:b/>
          <w:bCs/>
          <w:noProof/>
          <w:sz w:val="32"/>
          <w:szCs w:val="32"/>
        </w:rPr>
      </w:pPr>
      <w:r w:rsidRPr="003E5F02">
        <w:rPr>
          <w:rFonts w:ascii="Times New Roman" w:hAnsi="Times New Roman" w:cs="Times New Roman"/>
          <w:b/>
          <w:bCs/>
          <w:noProof/>
          <w:sz w:val="32"/>
          <w:szCs w:val="32"/>
        </w:rPr>
        <w:lastRenderedPageBreak/>
        <w:t>5. Conclusion</w:t>
      </w:r>
    </w:p>
    <w:p w14:paraId="43F0F0C7" w14:textId="2A068DBF" w:rsidR="00581B59" w:rsidRPr="003E5F02" w:rsidRDefault="006A40EB" w:rsidP="00FF489E">
      <w:pPr>
        <w:jc w:val="both"/>
        <w:rPr>
          <w:rFonts w:ascii="Times New Roman" w:hAnsi="Times New Roman" w:cs="Times New Roman"/>
          <w:noProof/>
          <w:sz w:val="28"/>
          <w:szCs w:val="28"/>
        </w:rPr>
      </w:pPr>
      <w:r w:rsidRPr="003E5F02">
        <w:rPr>
          <w:rFonts w:ascii="Times New Roman" w:hAnsi="Times New Roman" w:cs="Times New Roman"/>
          <w:noProof/>
          <w:sz w:val="28"/>
          <w:szCs w:val="28"/>
        </w:rPr>
        <w:t>This report proposes a practical and effective hybrid framework — the “FSB SecureBank Governance Model” — for FinSure Bank (FSB) based on a detailed study and comparative analysis of three major security frameworks, namely ITIL 4, ISO/IEC 27001:2022 and NIST Cybersecurity Framework 2.0. This model fully addresses the FSB’s current fragmented security, governance and compliance arrangements.</w:t>
      </w:r>
    </w:p>
    <w:p w14:paraId="518B450E" w14:textId="0876088A" w:rsidR="006A40EB" w:rsidRPr="003E5F02" w:rsidRDefault="006A40EB" w:rsidP="00FF489E">
      <w:pPr>
        <w:jc w:val="both"/>
        <w:rPr>
          <w:rFonts w:ascii="Times New Roman" w:hAnsi="Times New Roman" w:cs="Times New Roman"/>
          <w:noProof/>
          <w:sz w:val="28"/>
          <w:szCs w:val="28"/>
        </w:rPr>
      </w:pPr>
      <w:r w:rsidRPr="003E5F02">
        <w:rPr>
          <w:rFonts w:ascii="Times New Roman" w:hAnsi="Times New Roman" w:cs="Times New Roman"/>
          <w:noProof/>
          <w:sz w:val="28"/>
          <w:szCs w:val="28"/>
        </w:rPr>
        <w:t>The FSB is a digital-only bank that requires an extensive network based on clouds, and has a high level of BYOD and third-party cooperation. In such a situation, any cyber attack may be highly hazardous. It is intended to merge the strengths of all the three models and make use of that to develop the FSB SecureBank Governance Model, which will help enhance governance, develop good security policies, improve risk management and security control measures, tackle BYOD security, ensure compliance with GDPR standards, enhance contingency plans, and many other areas.</w:t>
      </w:r>
    </w:p>
    <w:p w14:paraId="168D0053" w14:textId="73AEA6C8" w:rsidR="006A40EB" w:rsidRPr="003E5F02" w:rsidRDefault="006A40EB" w:rsidP="00FF489E">
      <w:pPr>
        <w:jc w:val="both"/>
        <w:rPr>
          <w:rFonts w:ascii="Times New Roman" w:hAnsi="Times New Roman" w:cs="Times New Roman"/>
          <w:noProof/>
          <w:sz w:val="28"/>
          <w:szCs w:val="28"/>
        </w:rPr>
      </w:pPr>
      <w:r w:rsidRPr="003E5F02">
        <w:rPr>
          <w:rFonts w:ascii="Times New Roman" w:hAnsi="Times New Roman" w:cs="Times New Roman"/>
          <w:noProof/>
          <w:sz w:val="28"/>
          <w:szCs w:val="28"/>
        </w:rPr>
        <w:t>The adoption of such an integrated model will allow the FSB to have an effective governance structure that will be able to secure important financial and personal data from any potential leaks or cyberattacks. Such a model will decrease the chances of data breaches, cyberattacks, internal security breaches, and non-compliance. Moreover, the 18 months of implementation phases will simplify its adoption process.</w:t>
      </w:r>
    </w:p>
    <w:p w14:paraId="279BC406" w14:textId="58C4F237" w:rsidR="006A40EB" w:rsidRPr="003E5F02" w:rsidRDefault="006A40EB" w:rsidP="00FF489E">
      <w:pPr>
        <w:jc w:val="both"/>
        <w:rPr>
          <w:rFonts w:ascii="Times New Roman" w:hAnsi="Times New Roman" w:cs="Times New Roman"/>
          <w:noProof/>
          <w:sz w:val="28"/>
          <w:szCs w:val="28"/>
        </w:rPr>
      </w:pPr>
      <w:r w:rsidRPr="003E5F02">
        <w:rPr>
          <w:rFonts w:ascii="Times New Roman" w:hAnsi="Times New Roman" w:cs="Times New Roman"/>
          <w:noProof/>
          <w:sz w:val="28"/>
          <w:szCs w:val="28"/>
        </w:rPr>
        <w:t>Furthermore, the report stresses that it is essential to ensure that these guidelines and regulations are updated from time to time, taking into consideration the constantly evolving threat scenario in the cyber domain. It is only by ensuring that these improvements continue rather than relying on the initial implementation that the FSB can establish itself as a secure and compliant digital bank in the future.</w:t>
      </w:r>
    </w:p>
    <w:p w14:paraId="7D10BEF1" w14:textId="17E06BD9" w:rsidR="006A40EB" w:rsidRPr="003E5F02" w:rsidRDefault="006A40EB" w:rsidP="00FF489E">
      <w:pPr>
        <w:jc w:val="both"/>
        <w:rPr>
          <w:rFonts w:ascii="Times New Roman" w:hAnsi="Times New Roman" w:cs="Times New Roman"/>
          <w:noProof/>
          <w:sz w:val="28"/>
          <w:szCs w:val="28"/>
        </w:rPr>
      </w:pPr>
      <w:r w:rsidRPr="003E5F02">
        <w:rPr>
          <w:rFonts w:ascii="Times New Roman" w:hAnsi="Times New Roman" w:cs="Times New Roman"/>
          <w:noProof/>
          <w:sz w:val="28"/>
          <w:szCs w:val="28"/>
        </w:rPr>
        <w:t>The implementation of such a secure governance model in the bank will enable it to not only safeguard its sensitive data but also boost the confidence of its customers, ensuring full compliance with all relevant regulations. This can further allow the organization to attain a competitive edge within the digital banking domain and ensure sustainable growth.</w:t>
      </w:r>
    </w:p>
    <w:p w14:paraId="7816B4AE" w14:textId="77777777" w:rsidR="006A40EB" w:rsidRPr="003E5F02" w:rsidRDefault="006A40EB" w:rsidP="00FF489E">
      <w:pPr>
        <w:jc w:val="both"/>
        <w:rPr>
          <w:rFonts w:ascii="Times New Roman" w:hAnsi="Times New Roman" w:cs="Times New Roman"/>
          <w:noProof/>
          <w:sz w:val="36"/>
          <w:szCs w:val="36"/>
        </w:rPr>
      </w:pPr>
    </w:p>
    <w:p w14:paraId="63E11BCB" w14:textId="77777777" w:rsidR="00EA7E1F" w:rsidRDefault="00EA7E1F" w:rsidP="00524BC9">
      <w:pPr>
        <w:jc w:val="both"/>
        <w:rPr>
          <w:rFonts w:ascii="Times New Roman" w:hAnsi="Times New Roman" w:cs="Times New Roman"/>
          <w:sz w:val="36"/>
          <w:szCs w:val="36"/>
        </w:rPr>
      </w:pPr>
    </w:p>
    <w:p w14:paraId="6B7E2055" w14:textId="08DB65E8" w:rsidR="00524BC9" w:rsidRPr="00D87D7F" w:rsidRDefault="00524BC9" w:rsidP="00524BC9">
      <w:pPr>
        <w:jc w:val="both"/>
        <w:rPr>
          <w:rFonts w:ascii="Times New Roman" w:hAnsi="Times New Roman" w:cs="Times New Roman"/>
          <w:b/>
          <w:bCs/>
          <w:noProof/>
          <w:sz w:val="32"/>
          <w:szCs w:val="32"/>
        </w:rPr>
      </w:pPr>
      <w:r w:rsidRPr="00D87D7F">
        <w:rPr>
          <w:rFonts w:ascii="Times New Roman" w:hAnsi="Times New Roman" w:cs="Times New Roman"/>
          <w:b/>
          <w:bCs/>
          <w:noProof/>
          <w:sz w:val="32"/>
          <w:szCs w:val="32"/>
        </w:rPr>
        <w:t>6. IEEE References</w:t>
      </w:r>
    </w:p>
    <w:p w14:paraId="5F90427C" w14:textId="7F4DECB0"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 xml:space="preserve">[1] AXELOS, </w:t>
      </w:r>
      <w:r w:rsidRPr="00D87D7F">
        <w:rPr>
          <w:rFonts w:ascii="Times New Roman" w:hAnsi="Times New Roman" w:cs="Times New Roman"/>
          <w:i/>
          <w:iCs/>
          <w:noProof/>
          <w:sz w:val="28"/>
          <w:szCs w:val="28"/>
        </w:rPr>
        <w:t>ITIL Foundation: ITIL 4 Edition</w:t>
      </w:r>
      <w:r w:rsidRPr="00D87D7F">
        <w:rPr>
          <w:rFonts w:ascii="Times New Roman" w:hAnsi="Times New Roman" w:cs="Times New Roman"/>
          <w:noProof/>
          <w:sz w:val="28"/>
          <w:szCs w:val="28"/>
        </w:rPr>
        <w:t>. London, U.K.: TSO, 2019.</w:t>
      </w:r>
    </w:p>
    <w:p w14:paraId="3C537D6B" w14:textId="77777777"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 xml:space="preserve">[2] International Organization for Standardization, </w:t>
      </w:r>
      <w:r w:rsidRPr="00D87D7F">
        <w:rPr>
          <w:rFonts w:ascii="Times New Roman" w:hAnsi="Times New Roman" w:cs="Times New Roman"/>
          <w:i/>
          <w:iCs/>
          <w:noProof/>
          <w:sz w:val="28"/>
          <w:szCs w:val="28"/>
        </w:rPr>
        <w:t>ISO/IEC 27001:2022 Information Security Management Systems – Requirements</w:t>
      </w:r>
      <w:r w:rsidRPr="00D87D7F">
        <w:rPr>
          <w:rFonts w:ascii="Times New Roman" w:hAnsi="Times New Roman" w:cs="Times New Roman"/>
          <w:noProof/>
          <w:sz w:val="28"/>
          <w:szCs w:val="28"/>
        </w:rPr>
        <w:t>. Geneva, Switzerland: ISO, 2022.</w:t>
      </w:r>
    </w:p>
    <w:p w14:paraId="69FF3AB3" w14:textId="77777777"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 xml:space="preserve">[3] National Institute of Standards and Technology, </w:t>
      </w:r>
      <w:r w:rsidRPr="00D87D7F">
        <w:rPr>
          <w:rFonts w:ascii="Times New Roman" w:hAnsi="Times New Roman" w:cs="Times New Roman"/>
          <w:i/>
          <w:iCs/>
          <w:noProof/>
          <w:sz w:val="28"/>
          <w:szCs w:val="28"/>
        </w:rPr>
        <w:t>Cybersecurity Framework 2.0</w:t>
      </w:r>
      <w:r w:rsidRPr="00D87D7F">
        <w:rPr>
          <w:rFonts w:ascii="Times New Roman" w:hAnsi="Times New Roman" w:cs="Times New Roman"/>
          <w:noProof/>
          <w:sz w:val="28"/>
          <w:szCs w:val="28"/>
        </w:rPr>
        <w:t>, Gaithersburg, MD, USA, Feb. 2024.</w:t>
      </w:r>
    </w:p>
    <w:p w14:paraId="7F7BD424" w14:textId="77777777"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[4] European Union, “General Data Protection Regulation (GDPR),” Regulation (EU) 2016/679, May 2016.</w:t>
      </w:r>
    </w:p>
    <w:p w14:paraId="5DA6C846" w14:textId="30DE8AEB" w:rsidR="00524BC9" w:rsidRPr="00D87D7F" w:rsidRDefault="006723D2"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 xml:space="preserve"> </w:t>
      </w:r>
      <w:r w:rsidR="00524BC9" w:rsidRPr="00D87D7F">
        <w:rPr>
          <w:rFonts w:ascii="Times New Roman" w:hAnsi="Times New Roman" w:cs="Times New Roman"/>
          <w:noProof/>
          <w:sz w:val="28"/>
          <w:szCs w:val="28"/>
        </w:rPr>
        <w:t>[</w:t>
      </w:r>
      <w:r>
        <w:rPr>
          <w:rFonts w:ascii="Times New Roman" w:hAnsi="Times New Roman" w:cs="Times New Roman"/>
          <w:noProof/>
          <w:sz w:val="28"/>
          <w:szCs w:val="28"/>
        </w:rPr>
        <w:t>5</w:t>
      </w:r>
      <w:r w:rsidR="00524BC9" w:rsidRPr="00D87D7F">
        <w:rPr>
          <w:rFonts w:ascii="Times New Roman" w:hAnsi="Times New Roman" w:cs="Times New Roman"/>
          <w:noProof/>
          <w:sz w:val="28"/>
          <w:szCs w:val="28"/>
        </w:rPr>
        <w:t xml:space="preserve">] ISACA, </w:t>
      </w:r>
      <w:r w:rsidR="00524BC9" w:rsidRPr="00D87D7F">
        <w:rPr>
          <w:rFonts w:ascii="Times New Roman" w:hAnsi="Times New Roman" w:cs="Times New Roman"/>
          <w:i/>
          <w:iCs/>
          <w:noProof/>
          <w:sz w:val="28"/>
          <w:szCs w:val="28"/>
        </w:rPr>
        <w:t>COBIT 2019 Framework: Governance and Management Objectives</w:t>
      </w:r>
      <w:r w:rsidR="00524BC9" w:rsidRPr="00D87D7F">
        <w:rPr>
          <w:rFonts w:ascii="Times New Roman" w:hAnsi="Times New Roman" w:cs="Times New Roman"/>
          <w:noProof/>
          <w:sz w:val="28"/>
          <w:szCs w:val="28"/>
        </w:rPr>
        <w:t>. Schaumburg, IL, USA: ISACA, 2019.</w:t>
      </w:r>
    </w:p>
    <w:p w14:paraId="625E1F43" w14:textId="3C408C39"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w:t>
      </w:r>
      <w:r w:rsidR="006723D2">
        <w:rPr>
          <w:rFonts w:ascii="Times New Roman" w:hAnsi="Times New Roman" w:cs="Times New Roman"/>
          <w:noProof/>
          <w:sz w:val="28"/>
          <w:szCs w:val="28"/>
        </w:rPr>
        <w:t>6</w:t>
      </w:r>
      <w:r w:rsidRPr="00D87D7F">
        <w:rPr>
          <w:rFonts w:ascii="Times New Roman" w:hAnsi="Times New Roman" w:cs="Times New Roman"/>
          <w:noProof/>
          <w:sz w:val="28"/>
          <w:szCs w:val="28"/>
        </w:rPr>
        <w:t xml:space="preserve">] Cloud Security Alliance, </w:t>
      </w:r>
      <w:r w:rsidRPr="00D87D7F">
        <w:rPr>
          <w:rFonts w:ascii="Times New Roman" w:hAnsi="Times New Roman" w:cs="Times New Roman"/>
          <w:i/>
          <w:iCs/>
          <w:noProof/>
          <w:sz w:val="28"/>
          <w:szCs w:val="28"/>
        </w:rPr>
        <w:t>Security Guidance for Critical Areas of Focus in Cloud Computing v4.0</w:t>
      </w:r>
      <w:r w:rsidRPr="00D87D7F">
        <w:rPr>
          <w:rFonts w:ascii="Times New Roman" w:hAnsi="Times New Roman" w:cs="Times New Roman"/>
          <w:noProof/>
          <w:sz w:val="28"/>
          <w:szCs w:val="28"/>
        </w:rPr>
        <w:t xml:space="preserve">, 2021. [Online]. Available: </w:t>
      </w:r>
      <w:hyperlink r:id="rId11" w:tgtFrame="_blank" w:history="1">
        <w:r w:rsidRPr="00D87D7F">
          <w:rPr>
            <w:rStyle w:val="Hyperlink"/>
            <w:rFonts w:ascii="Times New Roman" w:hAnsi="Times New Roman" w:cs="Times New Roman"/>
            <w:noProof/>
            <w:sz w:val="28"/>
            <w:szCs w:val="28"/>
          </w:rPr>
          <w:t>https://cloudsecurityalliance.org</w:t>
        </w:r>
      </w:hyperlink>
      <w:r w:rsidRPr="00D87D7F">
        <w:rPr>
          <w:rFonts w:ascii="Times New Roman" w:hAnsi="Times New Roman" w:cs="Times New Roman"/>
          <w:noProof/>
          <w:sz w:val="28"/>
          <w:szCs w:val="28"/>
        </w:rPr>
        <w:t xml:space="preserve"> (accessed Apr. 5, 2026).</w:t>
      </w:r>
    </w:p>
    <w:p w14:paraId="3667344E" w14:textId="09E2BFDC" w:rsidR="006B4D56"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w:t>
      </w:r>
      <w:r w:rsidR="006723D2">
        <w:rPr>
          <w:rFonts w:ascii="Times New Roman" w:hAnsi="Times New Roman" w:cs="Times New Roman"/>
          <w:noProof/>
          <w:sz w:val="28"/>
          <w:szCs w:val="28"/>
        </w:rPr>
        <w:t>7</w:t>
      </w:r>
      <w:r w:rsidRPr="00D87D7F">
        <w:rPr>
          <w:rFonts w:ascii="Times New Roman" w:hAnsi="Times New Roman" w:cs="Times New Roman"/>
          <w:noProof/>
          <w:sz w:val="28"/>
          <w:szCs w:val="28"/>
        </w:rPr>
        <w:t xml:space="preserve">] European Union Agency for Cybersecurity (ENISA), </w:t>
      </w:r>
      <w:r w:rsidRPr="00D87D7F">
        <w:rPr>
          <w:rFonts w:ascii="Times New Roman" w:hAnsi="Times New Roman" w:cs="Times New Roman"/>
          <w:i/>
          <w:iCs/>
          <w:noProof/>
          <w:sz w:val="28"/>
          <w:szCs w:val="28"/>
        </w:rPr>
        <w:t>Guidelines on Security Measures for Cloud Services</w:t>
      </w:r>
      <w:r w:rsidRPr="00D87D7F">
        <w:rPr>
          <w:rFonts w:ascii="Times New Roman" w:hAnsi="Times New Roman" w:cs="Times New Roman"/>
          <w:noProof/>
          <w:sz w:val="28"/>
          <w:szCs w:val="28"/>
        </w:rPr>
        <w:t xml:space="preserve">, 2022. [Online]. Available: </w:t>
      </w:r>
      <w:hyperlink r:id="rId12" w:tgtFrame="_blank" w:history="1">
        <w:r w:rsidRPr="00D87D7F">
          <w:rPr>
            <w:rStyle w:val="Hyperlink"/>
            <w:rFonts w:ascii="Times New Roman" w:hAnsi="Times New Roman" w:cs="Times New Roman"/>
            <w:noProof/>
            <w:sz w:val="28"/>
            <w:szCs w:val="28"/>
          </w:rPr>
          <w:t>https://www.enisa.europa.eu</w:t>
        </w:r>
      </w:hyperlink>
      <w:r w:rsidRPr="00D87D7F">
        <w:rPr>
          <w:rFonts w:ascii="Times New Roman" w:hAnsi="Times New Roman" w:cs="Times New Roman"/>
          <w:noProof/>
          <w:sz w:val="28"/>
          <w:szCs w:val="28"/>
        </w:rPr>
        <w:t xml:space="preserve"> (accessed Apr. 5, 2026).</w:t>
      </w:r>
    </w:p>
    <w:p w14:paraId="34058A5D" w14:textId="6FC69234"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w:t>
      </w:r>
      <w:r w:rsidR="006723D2">
        <w:rPr>
          <w:rFonts w:ascii="Times New Roman" w:hAnsi="Times New Roman" w:cs="Times New Roman"/>
          <w:noProof/>
          <w:sz w:val="28"/>
          <w:szCs w:val="28"/>
        </w:rPr>
        <w:t>8</w:t>
      </w:r>
      <w:r w:rsidRPr="00D87D7F">
        <w:rPr>
          <w:rFonts w:ascii="Times New Roman" w:hAnsi="Times New Roman" w:cs="Times New Roman"/>
          <w:noProof/>
          <w:sz w:val="28"/>
          <w:szCs w:val="28"/>
        </w:rPr>
        <w:t xml:space="preserve">] Information Commissioner’s Office, </w:t>
      </w:r>
      <w:r w:rsidRPr="00D87D7F">
        <w:rPr>
          <w:rFonts w:ascii="Times New Roman" w:hAnsi="Times New Roman" w:cs="Times New Roman"/>
          <w:i/>
          <w:iCs/>
          <w:noProof/>
          <w:sz w:val="28"/>
          <w:szCs w:val="28"/>
        </w:rPr>
        <w:t>Guide to the General Data Protection Regulation (GDPR)</w:t>
      </w:r>
      <w:r w:rsidRPr="00D87D7F">
        <w:rPr>
          <w:rFonts w:ascii="Times New Roman" w:hAnsi="Times New Roman" w:cs="Times New Roman"/>
          <w:noProof/>
          <w:sz w:val="28"/>
          <w:szCs w:val="28"/>
        </w:rPr>
        <w:t xml:space="preserve">, 2023. [Online]. Available: </w:t>
      </w:r>
      <w:hyperlink r:id="rId13" w:tgtFrame="_blank" w:history="1">
        <w:r w:rsidRPr="00D87D7F">
          <w:rPr>
            <w:rStyle w:val="Hyperlink"/>
            <w:rFonts w:ascii="Times New Roman" w:hAnsi="Times New Roman" w:cs="Times New Roman"/>
            <w:noProof/>
            <w:sz w:val="28"/>
            <w:szCs w:val="28"/>
          </w:rPr>
          <w:t>https://ico.org.uk</w:t>
        </w:r>
      </w:hyperlink>
      <w:r w:rsidRPr="00D87D7F">
        <w:rPr>
          <w:rFonts w:ascii="Times New Roman" w:hAnsi="Times New Roman" w:cs="Times New Roman"/>
          <w:noProof/>
          <w:sz w:val="28"/>
          <w:szCs w:val="28"/>
        </w:rPr>
        <w:t xml:space="preserve"> (accessed Apr. 5, 2026).</w:t>
      </w:r>
    </w:p>
    <w:p w14:paraId="5399E687" w14:textId="79CB84EC"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w:t>
      </w:r>
      <w:r w:rsidR="006723D2">
        <w:rPr>
          <w:rFonts w:ascii="Times New Roman" w:hAnsi="Times New Roman" w:cs="Times New Roman"/>
          <w:noProof/>
          <w:sz w:val="28"/>
          <w:szCs w:val="28"/>
        </w:rPr>
        <w:t>9</w:t>
      </w:r>
      <w:r w:rsidRPr="00D87D7F">
        <w:rPr>
          <w:rFonts w:ascii="Times New Roman" w:hAnsi="Times New Roman" w:cs="Times New Roman"/>
          <w:noProof/>
          <w:sz w:val="28"/>
          <w:szCs w:val="28"/>
        </w:rPr>
        <w:t xml:space="preserve">] SANS Institute, </w:t>
      </w:r>
      <w:r w:rsidRPr="00D87D7F">
        <w:rPr>
          <w:rFonts w:ascii="Times New Roman" w:hAnsi="Times New Roman" w:cs="Times New Roman"/>
          <w:i/>
          <w:iCs/>
          <w:noProof/>
          <w:sz w:val="28"/>
          <w:szCs w:val="28"/>
        </w:rPr>
        <w:t>Critical Security Controls for Effective Cyber Defense, v8</w:t>
      </w:r>
      <w:r w:rsidRPr="00D87D7F">
        <w:rPr>
          <w:rFonts w:ascii="Times New Roman" w:hAnsi="Times New Roman" w:cs="Times New Roman"/>
          <w:noProof/>
          <w:sz w:val="28"/>
          <w:szCs w:val="28"/>
        </w:rPr>
        <w:t xml:space="preserve">, 2022. [Online]. Available: </w:t>
      </w:r>
      <w:hyperlink r:id="rId14" w:tgtFrame="_blank" w:history="1">
        <w:r w:rsidRPr="00D87D7F">
          <w:rPr>
            <w:rStyle w:val="Hyperlink"/>
            <w:rFonts w:ascii="Times New Roman" w:hAnsi="Times New Roman" w:cs="Times New Roman"/>
            <w:noProof/>
            <w:sz w:val="28"/>
            <w:szCs w:val="28"/>
          </w:rPr>
          <w:t>https://www.sans.org</w:t>
        </w:r>
      </w:hyperlink>
      <w:r w:rsidRPr="00D87D7F">
        <w:rPr>
          <w:rFonts w:ascii="Times New Roman" w:hAnsi="Times New Roman" w:cs="Times New Roman"/>
          <w:noProof/>
          <w:sz w:val="28"/>
          <w:szCs w:val="28"/>
        </w:rPr>
        <w:t xml:space="preserve"> (accessed Apr. 5, 2026).</w:t>
      </w:r>
    </w:p>
    <w:p w14:paraId="3E4F8CEF" w14:textId="0581C4F1" w:rsidR="00524BC9" w:rsidRPr="00D87D7F" w:rsidRDefault="006723D2"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 xml:space="preserve"> </w:t>
      </w:r>
      <w:r w:rsidR="00524BC9" w:rsidRPr="00D87D7F">
        <w:rPr>
          <w:rFonts w:ascii="Times New Roman" w:hAnsi="Times New Roman" w:cs="Times New Roman"/>
          <w:noProof/>
          <w:sz w:val="28"/>
          <w:szCs w:val="28"/>
        </w:rPr>
        <w:t>[1</w:t>
      </w:r>
      <w:r>
        <w:rPr>
          <w:rFonts w:ascii="Times New Roman" w:hAnsi="Times New Roman" w:cs="Times New Roman"/>
          <w:noProof/>
          <w:sz w:val="28"/>
          <w:szCs w:val="28"/>
        </w:rPr>
        <w:t>0</w:t>
      </w:r>
      <w:r w:rsidR="00524BC9" w:rsidRPr="00D87D7F">
        <w:rPr>
          <w:rFonts w:ascii="Times New Roman" w:hAnsi="Times New Roman" w:cs="Times New Roman"/>
          <w:noProof/>
          <w:sz w:val="28"/>
          <w:szCs w:val="28"/>
        </w:rPr>
        <w:t xml:space="preserve">] IBM Security, </w:t>
      </w:r>
      <w:r w:rsidR="00524BC9" w:rsidRPr="00D87D7F">
        <w:rPr>
          <w:rFonts w:ascii="Times New Roman" w:hAnsi="Times New Roman" w:cs="Times New Roman"/>
          <w:i/>
          <w:iCs/>
          <w:noProof/>
          <w:sz w:val="28"/>
          <w:szCs w:val="28"/>
        </w:rPr>
        <w:t>Cost of a Data Breach Report 2023</w:t>
      </w:r>
      <w:r w:rsidR="00524BC9" w:rsidRPr="00D87D7F">
        <w:rPr>
          <w:rFonts w:ascii="Times New Roman" w:hAnsi="Times New Roman" w:cs="Times New Roman"/>
          <w:noProof/>
          <w:sz w:val="28"/>
          <w:szCs w:val="28"/>
        </w:rPr>
        <w:t>, Armonk, NY, USA, 2023.</w:t>
      </w:r>
    </w:p>
    <w:p w14:paraId="0CDE87F1" w14:textId="154767A9"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[1</w:t>
      </w:r>
      <w:r w:rsidR="006723D2">
        <w:rPr>
          <w:rFonts w:ascii="Times New Roman" w:hAnsi="Times New Roman" w:cs="Times New Roman"/>
          <w:noProof/>
          <w:sz w:val="28"/>
          <w:szCs w:val="28"/>
        </w:rPr>
        <w:t>1</w:t>
      </w:r>
      <w:r w:rsidRPr="00D87D7F">
        <w:rPr>
          <w:rFonts w:ascii="Times New Roman" w:hAnsi="Times New Roman" w:cs="Times New Roman"/>
          <w:noProof/>
          <w:sz w:val="28"/>
          <w:szCs w:val="28"/>
        </w:rPr>
        <w:t xml:space="preserve">] Microsoft, </w:t>
      </w:r>
      <w:r w:rsidRPr="00D87D7F">
        <w:rPr>
          <w:rFonts w:ascii="Times New Roman" w:hAnsi="Times New Roman" w:cs="Times New Roman"/>
          <w:i/>
          <w:iCs/>
          <w:noProof/>
          <w:sz w:val="28"/>
          <w:szCs w:val="28"/>
        </w:rPr>
        <w:t>Microsoft Digital Defense Report 2023</w:t>
      </w:r>
      <w:r w:rsidRPr="00D87D7F">
        <w:rPr>
          <w:rFonts w:ascii="Times New Roman" w:hAnsi="Times New Roman" w:cs="Times New Roman"/>
          <w:noProof/>
          <w:sz w:val="28"/>
          <w:szCs w:val="28"/>
        </w:rPr>
        <w:t>, Redmond, WA, USA, 2023.</w:t>
      </w:r>
    </w:p>
    <w:p w14:paraId="5011D73B" w14:textId="16403B0B"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[1</w:t>
      </w:r>
      <w:r w:rsidR="006723D2">
        <w:rPr>
          <w:rFonts w:ascii="Times New Roman" w:hAnsi="Times New Roman" w:cs="Times New Roman"/>
          <w:noProof/>
          <w:sz w:val="28"/>
          <w:szCs w:val="28"/>
        </w:rPr>
        <w:t>2</w:t>
      </w:r>
      <w:r w:rsidRPr="00D87D7F">
        <w:rPr>
          <w:rFonts w:ascii="Times New Roman" w:hAnsi="Times New Roman" w:cs="Times New Roman"/>
          <w:noProof/>
          <w:sz w:val="28"/>
          <w:szCs w:val="28"/>
        </w:rPr>
        <w:t xml:space="preserve">] PwC, </w:t>
      </w:r>
      <w:r w:rsidRPr="00D87D7F">
        <w:rPr>
          <w:rFonts w:ascii="Times New Roman" w:hAnsi="Times New Roman" w:cs="Times New Roman"/>
          <w:i/>
          <w:iCs/>
          <w:noProof/>
          <w:sz w:val="28"/>
          <w:szCs w:val="28"/>
        </w:rPr>
        <w:t>Global Digital Trust Insights Survey 2023</w:t>
      </w:r>
      <w:r w:rsidRPr="00D87D7F">
        <w:rPr>
          <w:rFonts w:ascii="Times New Roman" w:hAnsi="Times New Roman" w:cs="Times New Roman"/>
          <w:noProof/>
          <w:sz w:val="28"/>
          <w:szCs w:val="28"/>
        </w:rPr>
        <w:t>, London, U.K., 2023.</w:t>
      </w:r>
    </w:p>
    <w:p w14:paraId="577AD27E" w14:textId="78AE2574"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[1</w:t>
      </w:r>
      <w:r w:rsidR="006723D2">
        <w:rPr>
          <w:rFonts w:ascii="Times New Roman" w:hAnsi="Times New Roman" w:cs="Times New Roman"/>
          <w:noProof/>
          <w:sz w:val="28"/>
          <w:szCs w:val="28"/>
        </w:rPr>
        <w:t>3</w:t>
      </w:r>
      <w:r w:rsidRPr="00D87D7F">
        <w:rPr>
          <w:rFonts w:ascii="Times New Roman" w:hAnsi="Times New Roman" w:cs="Times New Roman"/>
          <w:noProof/>
          <w:sz w:val="28"/>
          <w:szCs w:val="28"/>
        </w:rPr>
        <w:t xml:space="preserve">] KPMG, </w:t>
      </w:r>
      <w:r w:rsidRPr="00D87D7F">
        <w:rPr>
          <w:rFonts w:ascii="Times New Roman" w:hAnsi="Times New Roman" w:cs="Times New Roman"/>
          <w:i/>
          <w:iCs/>
          <w:noProof/>
          <w:sz w:val="28"/>
          <w:szCs w:val="28"/>
        </w:rPr>
        <w:t>Cyber Security Considerations in Financial Services</w:t>
      </w:r>
      <w:r w:rsidRPr="00D87D7F">
        <w:rPr>
          <w:rFonts w:ascii="Times New Roman" w:hAnsi="Times New Roman" w:cs="Times New Roman"/>
          <w:noProof/>
          <w:sz w:val="28"/>
          <w:szCs w:val="28"/>
        </w:rPr>
        <w:t xml:space="preserve">, 2022. [Online]. Available: </w:t>
      </w:r>
      <w:hyperlink r:id="rId15" w:tgtFrame="_blank" w:history="1">
        <w:r w:rsidRPr="00D87D7F">
          <w:rPr>
            <w:rStyle w:val="Hyperlink"/>
            <w:rFonts w:ascii="Times New Roman" w:hAnsi="Times New Roman" w:cs="Times New Roman"/>
            <w:noProof/>
            <w:sz w:val="28"/>
            <w:szCs w:val="28"/>
          </w:rPr>
          <w:t>https://kpmg.com</w:t>
        </w:r>
      </w:hyperlink>
      <w:r w:rsidRPr="00D87D7F">
        <w:rPr>
          <w:rFonts w:ascii="Times New Roman" w:hAnsi="Times New Roman" w:cs="Times New Roman"/>
          <w:noProof/>
          <w:sz w:val="28"/>
          <w:szCs w:val="28"/>
        </w:rPr>
        <w:t xml:space="preserve"> (accessed Apr. 5, 2026).</w:t>
      </w:r>
    </w:p>
    <w:p w14:paraId="351CF2C3" w14:textId="659BDEA0" w:rsidR="00524BC9" w:rsidRPr="00D87D7F" w:rsidRDefault="006723D2"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lastRenderedPageBreak/>
        <w:t xml:space="preserve"> </w:t>
      </w:r>
      <w:r w:rsidR="00524BC9" w:rsidRPr="00D87D7F">
        <w:rPr>
          <w:rFonts w:ascii="Times New Roman" w:hAnsi="Times New Roman" w:cs="Times New Roman"/>
          <w:noProof/>
          <w:sz w:val="28"/>
          <w:szCs w:val="28"/>
        </w:rPr>
        <w:t>[1</w:t>
      </w:r>
      <w:r>
        <w:rPr>
          <w:rFonts w:ascii="Times New Roman" w:hAnsi="Times New Roman" w:cs="Times New Roman"/>
          <w:noProof/>
          <w:sz w:val="28"/>
          <w:szCs w:val="28"/>
        </w:rPr>
        <w:t>4</w:t>
      </w:r>
      <w:r w:rsidR="00524BC9" w:rsidRPr="00D87D7F">
        <w:rPr>
          <w:rFonts w:ascii="Times New Roman" w:hAnsi="Times New Roman" w:cs="Times New Roman"/>
          <w:noProof/>
          <w:sz w:val="28"/>
          <w:szCs w:val="28"/>
        </w:rPr>
        <w:t xml:space="preserve">] F. Kitsios, E. Chatzidimitriou, and M. Kamariotou, “The ISO/IEC 27001 Information Security Management Standard: How to Extract Value from Data in the IT Sector,” </w:t>
      </w:r>
      <w:r w:rsidR="00524BC9" w:rsidRPr="00D87D7F">
        <w:rPr>
          <w:rFonts w:ascii="Times New Roman" w:hAnsi="Times New Roman" w:cs="Times New Roman"/>
          <w:i/>
          <w:iCs/>
          <w:noProof/>
          <w:sz w:val="28"/>
          <w:szCs w:val="28"/>
        </w:rPr>
        <w:t>Sustainability</w:t>
      </w:r>
      <w:r w:rsidR="00524BC9" w:rsidRPr="00D87D7F">
        <w:rPr>
          <w:rFonts w:ascii="Times New Roman" w:hAnsi="Times New Roman" w:cs="Times New Roman"/>
          <w:noProof/>
          <w:sz w:val="28"/>
          <w:szCs w:val="28"/>
        </w:rPr>
        <w:t>, vol. 15, no. 7, p. 5828, 2023, doi: 10.3390/su15075828.</w:t>
      </w:r>
    </w:p>
    <w:p w14:paraId="3299E9CC" w14:textId="4A024AEF" w:rsidR="00524BC9" w:rsidRPr="00D87D7F" w:rsidRDefault="00524BC9" w:rsidP="00524BC9">
      <w:pPr>
        <w:jc w:val="both"/>
        <w:rPr>
          <w:rFonts w:ascii="Times New Roman" w:hAnsi="Times New Roman" w:cs="Times New Roman"/>
          <w:noProof/>
          <w:sz w:val="28"/>
          <w:szCs w:val="28"/>
        </w:rPr>
      </w:pPr>
      <w:r w:rsidRPr="00D87D7F">
        <w:rPr>
          <w:rFonts w:ascii="Times New Roman" w:hAnsi="Times New Roman" w:cs="Times New Roman"/>
          <w:noProof/>
          <w:sz w:val="28"/>
          <w:szCs w:val="28"/>
        </w:rPr>
        <w:t>[1</w:t>
      </w:r>
      <w:r w:rsidR="00DC1FEF">
        <w:rPr>
          <w:rFonts w:ascii="Times New Roman" w:hAnsi="Times New Roman" w:cs="Times New Roman"/>
          <w:noProof/>
          <w:sz w:val="28"/>
          <w:szCs w:val="28"/>
        </w:rPr>
        <w:t>5</w:t>
      </w:r>
      <w:r w:rsidRPr="00D87D7F">
        <w:rPr>
          <w:rFonts w:ascii="Times New Roman" w:hAnsi="Times New Roman" w:cs="Times New Roman"/>
          <w:noProof/>
          <w:sz w:val="28"/>
          <w:szCs w:val="28"/>
        </w:rPr>
        <w:t xml:space="preserve">] A. Almarzooqi and A. Alshamsi, “Information Security Governance in the Banking Sector: A Systematic Literature Review,” </w:t>
      </w:r>
      <w:r w:rsidRPr="00D87D7F">
        <w:rPr>
          <w:rFonts w:ascii="Times New Roman" w:hAnsi="Times New Roman" w:cs="Times New Roman"/>
          <w:i/>
          <w:iCs/>
          <w:noProof/>
          <w:sz w:val="28"/>
          <w:szCs w:val="28"/>
        </w:rPr>
        <w:t>IEEE Access</w:t>
      </w:r>
      <w:r w:rsidRPr="00D87D7F">
        <w:rPr>
          <w:rFonts w:ascii="Times New Roman" w:hAnsi="Times New Roman" w:cs="Times New Roman"/>
          <w:noProof/>
          <w:sz w:val="28"/>
          <w:szCs w:val="28"/>
        </w:rPr>
        <w:t>, vol. 11, pp. 45678–45692, 2023, doi: 10.1109/ACCESS.2023.3278901.</w:t>
      </w:r>
    </w:p>
    <w:p w14:paraId="65B5427F" w14:textId="16DE0C73" w:rsidR="00FF489E" w:rsidRPr="00247F6D" w:rsidRDefault="00FF489E" w:rsidP="00524BC9">
      <w:pPr>
        <w:jc w:val="both"/>
        <w:rPr>
          <w:rFonts w:ascii="Times New Roman" w:hAnsi="Times New Roman" w:cs="Times New Roman"/>
          <w:sz w:val="36"/>
          <w:szCs w:val="36"/>
        </w:rPr>
      </w:pPr>
    </w:p>
    <w:sectPr w:rsidR="00FF489E" w:rsidRPr="00247F6D" w:rsidSect="002701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ptos">
    <w:altName w:val="Calibri"/>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383802"/>
    <w:multiLevelType w:val="hybridMultilevel"/>
    <w:tmpl w:val="B1FEE71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31D57E84"/>
    <w:multiLevelType w:val="multilevel"/>
    <w:tmpl w:val="135C202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15:restartNumberingAfterBreak="0">
    <w:nsid w:val="7AAC5BAB"/>
    <w:multiLevelType w:val="hybridMultilevel"/>
    <w:tmpl w:val="A33CB188"/>
    <w:lvl w:ilvl="0" w:tplc="11E4D638">
      <w:start w:val="1"/>
      <w:numFmt w:val="decimal"/>
      <w:lvlText w:val="%1."/>
      <w:lvlJc w:val="left"/>
      <w:pPr>
        <w:ind w:left="756" w:hanging="396"/>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91E"/>
    <w:rsid w:val="000024CC"/>
    <w:rsid w:val="000A72B4"/>
    <w:rsid w:val="00206F8E"/>
    <w:rsid w:val="002332C1"/>
    <w:rsid w:val="0023691E"/>
    <w:rsid w:val="00247F6D"/>
    <w:rsid w:val="002533CD"/>
    <w:rsid w:val="002701CF"/>
    <w:rsid w:val="00271802"/>
    <w:rsid w:val="002A42CD"/>
    <w:rsid w:val="002C557C"/>
    <w:rsid w:val="00303FE0"/>
    <w:rsid w:val="00322217"/>
    <w:rsid w:val="003C2604"/>
    <w:rsid w:val="003E5F02"/>
    <w:rsid w:val="004321B1"/>
    <w:rsid w:val="004609C2"/>
    <w:rsid w:val="00487453"/>
    <w:rsid w:val="004F1EEF"/>
    <w:rsid w:val="00507EB5"/>
    <w:rsid w:val="00511EF1"/>
    <w:rsid w:val="00514557"/>
    <w:rsid w:val="00524BC9"/>
    <w:rsid w:val="00581B59"/>
    <w:rsid w:val="006723D2"/>
    <w:rsid w:val="006A40EB"/>
    <w:rsid w:val="006B4D56"/>
    <w:rsid w:val="006B6423"/>
    <w:rsid w:val="00746C39"/>
    <w:rsid w:val="00756DF4"/>
    <w:rsid w:val="00762873"/>
    <w:rsid w:val="00790207"/>
    <w:rsid w:val="007F395D"/>
    <w:rsid w:val="00876FE7"/>
    <w:rsid w:val="00911C1C"/>
    <w:rsid w:val="009363DC"/>
    <w:rsid w:val="00936B70"/>
    <w:rsid w:val="00954FD4"/>
    <w:rsid w:val="009E08CB"/>
    <w:rsid w:val="00A10615"/>
    <w:rsid w:val="00A31678"/>
    <w:rsid w:val="00A55AD8"/>
    <w:rsid w:val="00AA0294"/>
    <w:rsid w:val="00B04079"/>
    <w:rsid w:val="00BD7C1A"/>
    <w:rsid w:val="00CA3C6C"/>
    <w:rsid w:val="00D76F6D"/>
    <w:rsid w:val="00D87D7F"/>
    <w:rsid w:val="00DC1FEF"/>
    <w:rsid w:val="00DC64F7"/>
    <w:rsid w:val="00DE7164"/>
    <w:rsid w:val="00E030DA"/>
    <w:rsid w:val="00E93857"/>
    <w:rsid w:val="00EA7E1F"/>
    <w:rsid w:val="00F23389"/>
    <w:rsid w:val="00FD0FDB"/>
    <w:rsid w:val="00FF48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5E6F8"/>
  <w15:chartTrackingRefBased/>
  <w15:docId w15:val="{67D4D2BF-36AA-48C8-A7E6-41764082B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91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3691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69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69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69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69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69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69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69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9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369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369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69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69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69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69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69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691E"/>
    <w:rPr>
      <w:rFonts w:eastAsiaTheme="majorEastAsia" w:cstheme="majorBidi"/>
      <w:color w:val="272727" w:themeColor="text1" w:themeTint="D8"/>
    </w:rPr>
  </w:style>
  <w:style w:type="paragraph" w:styleId="Title">
    <w:name w:val="Title"/>
    <w:basedOn w:val="Normal"/>
    <w:next w:val="Normal"/>
    <w:link w:val="TitleChar"/>
    <w:uiPriority w:val="10"/>
    <w:qFormat/>
    <w:rsid w:val="002369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9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69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69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691E"/>
    <w:pPr>
      <w:spacing w:before="160"/>
      <w:jc w:val="center"/>
    </w:pPr>
    <w:rPr>
      <w:i/>
      <w:iCs/>
      <w:color w:val="404040" w:themeColor="text1" w:themeTint="BF"/>
    </w:rPr>
  </w:style>
  <w:style w:type="character" w:customStyle="1" w:styleId="QuoteChar">
    <w:name w:val="Quote Char"/>
    <w:basedOn w:val="DefaultParagraphFont"/>
    <w:link w:val="Quote"/>
    <w:uiPriority w:val="29"/>
    <w:rsid w:val="0023691E"/>
    <w:rPr>
      <w:i/>
      <w:iCs/>
      <w:color w:val="404040" w:themeColor="text1" w:themeTint="BF"/>
    </w:rPr>
  </w:style>
  <w:style w:type="paragraph" w:styleId="ListParagraph">
    <w:name w:val="List Paragraph"/>
    <w:basedOn w:val="Normal"/>
    <w:uiPriority w:val="34"/>
    <w:qFormat/>
    <w:rsid w:val="0023691E"/>
    <w:pPr>
      <w:ind w:left="720"/>
      <w:contextualSpacing/>
    </w:pPr>
  </w:style>
  <w:style w:type="character" w:styleId="IntenseEmphasis">
    <w:name w:val="Intense Emphasis"/>
    <w:basedOn w:val="DefaultParagraphFont"/>
    <w:uiPriority w:val="21"/>
    <w:qFormat/>
    <w:rsid w:val="0023691E"/>
    <w:rPr>
      <w:i/>
      <w:iCs/>
      <w:color w:val="2F5496" w:themeColor="accent1" w:themeShade="BF"/>
    </w:rPr>
  </w:style>
  <w:style w:type="paragraph" w:styleId="IntenseQuote">
    <w:name w:val="Intense Quote"/>
    <w:basedOn w:val="Normal"/>
    <w:next w:val="Normal"/>
    <w:link w:val="IntenseQuoteChar"/>
    <w:uiPriority w:val="30"/>
    <w:qFormat/>
    <w:rsid w:val="002369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691E"/>
    <w:rPr>
      <w:i/>
      <w:iCs/>
      <w:color w:val="2F5496" w:themeColor="accent1" w:themeShade="BF"/>
    </w:rPr>
  </w:style>
  <w:style w:type="character" w:styleId="IntenseReference">
    <w:name w:val="Intense Reference"/>
    <w:basedOn w:val="DefaultParagraphFont"/>
    <w:uiPriority w:val="32"/>
    <w:qFormat/>
    <w:rsid w:val="0023691E"/>
    <w:rPr>
      <w:b/>
      <w:bCs/>
      <w:smallCaps/>
      <w:color w:val="2F5496" w:themeColor="accent1" w:themeShade="BF"/>
      <w:spacing w:val="5"/>
    </w:rPr>
  </w:style>
  <w:style w:type="paragraph" w:styleId="NormalWeb">
    <w:name w:val="Normal (Web)"/>
    <w:basedOn w:val="Normal"/>
    <w:uiPriority w:val="99"/>
    <w:semiHidden/>
    <w:unhideWhenUsed/>
    <w:rsid w:val="00876FE7"/>
    <w:rPr>
      <w:rFonts w:ascii="Times New Roman" w:hAnsi="Times New Roman" w:cs="Times New Roman"/>
    </w:rPr>
  </w:style>
  <w:style w:type="character" w:styleId="Hyperlink">
    <w:name w:val="Hyperlink"/>
    <w:basedOn w:val="DefaultParagraphFont"/>
    <w:uiPriority w:val="99"/>
    <w:unhideWhenUsed/>
    <w:rsid w:val="00524BC9"/>
    <w:rPr>
      <w:color w:val="0563C1" w:themeColor="hyperlink"/>
      <w:u w:val="single"/>
    </w:rPr>
  </w:style>
  <w:style w:type="character" w:styleId="UnresolvedMention">
    <w:name w:val="Unresolved Mention"/>
    <w:basedOn w:val="DefaultParagraphFont"/>
    <w:uiPriority w:val="99"/>
    <w:semiHidden/>
    <w:unhideWhenUsed/>
    <w:rsid w:val="00524BC9"/>
    <w:rPr>
      <w:color w:val="605E5C"/>
      <w:shd w:val="clear" w:color="auto" w:fill="E1DFDD"/>
    </w:rPr>
  </w:style>
  <w:style w:type="table" w:styleId="TableGrid">
    <w:name w:val="Table Grid"/>
    <w:basedOn w:val="TableNormal"/>
    <w:uiPriority w:val="39"/>
    <w:rsid w:val="006B4D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ico.org.uk"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enisa.europa.eu"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loudsecurityalliance.org" TargetMode="External"/><Relationship Id="rId5" Type="http://schemas.openxmlformats.org/officeDocument/2006/relationships/webSettings" Target="webSettings.xml"/><Relationship Id="rId15" Type="http://schemas.openxmlformats.org/officeDocument/2006/relationships/hyperlink" Target="https://kpmg.com"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san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4EC20-EF1F-4A0C-8A4C-F29E11624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17</Pages>
  <Words>3171</Words>
  <Characters>18076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Kunjan Dudhat</dc:creator>
  <cp:keywords/>
  <dc:description/>
  <cp:lastModifiedBy>HP</cp:lastModifiedBy>
  <cp:revision>81</cp:revision>
  <dcterms:created xsi:type="dcterms:W3CDTF">2026-04-05T04:45:00Z</dcterms:created>
  <dcterms:modified xsi:type="dcterms:W3CDTF">2026-04-28T19:07:00Z</dcterms:modified>
</cp:coreProperties>
</file>