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3D3D0" w14:textId="77777777" w:rsidR="00FF0888" w:rsidRPr="00FF0888" w:rsidRDefault="00FF0888" w:rsidP="00FF0888">
      <w:pPr>
        <w:pStyle w:val="Header"/>
        <w:jc w:val="center"/>
        <w:rPr>
          <w:rFonts w:ascii="Arial" w:hAnsi="Arial" w:cs="Arial"/>
          <w:sz w:val="28"/>
          <w:szCs w:val="28"/>
        </w:rPr>
      </w:pPr>
      <w:r w:rsidRPr="00FF0888">
        <w:rPr>
          <w:rFonts w:ascii="Arial" w:hAnsi="Arial" w:cs="Arial"/>
          <w:b/>
          <w:bCs/>
          <w:sz w:val="28"/>
          <w:szCs w:val="28"/>
        </w:rPr>
        <w:t xml:space="preserve">Student Name: </w:t>
      </w:r>
      <w:r w:rsidRPr="00FF0888">
        <w:rPr>
          <w:rFonts w:ascii="Arial" w:hAnsi="Arial" w:cs="Arial"/>
          <w:sz w:val="28"/>
          <w:szCs w:val="28"/>
        </w:rPr>
        <w:t>Joyce Gibson Missa</w:t>
      </w:r>
    </w:p>
    <w:p w14:paraId="14F1C342" w14:textId="77777777" w:rsidR="00FF0888" w:rsidRPr="00FF0888" w:rsidRDefault="00FF0888" w:rsidP="00FF0888">
      <w:pPr>
        <w:pStyle w:val="Header"/>
        <w:jc w:val="center"/>
        <w:rPr>
          <w:rFonts w:ascii="Arial" w:hAnsi="Arial" w:cs="Arial"/>
          <w:sz w:val="28"/>
          <w:szCs w:val="28"/>
        </w:rPr>
      </w:pPr>
    </w:p>
    <w:p w14:paraId="19DC75A6" w14:textId="77777777" w:rsidR="00FF0888" w:rsidRPr="00FF0888" w:rsidRDefault="00FF0888" w:rsidP="00FF0888">
      <w:pPr>
        <w:pStyle w:val="Header"/>
        <w:jc w:val="center"/>
        <w:rPr>
          <w:rFonts w:ascii="Arial" w:hAnsi="Arial" w:cs="Arial"/>
          <w:sz w:val="28"/>
          <w:szCs w:val="28"/>
        </w:rPr>
      </w:pPr>
    </w:p>
    <w:p w14:paraId="399A1D66" w14:textId="77777777" w:rsidR="00FF0888" w:rsidRPr="00FF0888" w:rsidRDefault="00FF0888" w:rsidP="00FF0888">
      <w:pPr>
        <w:pStyle w:val="Header"/>
        <w:jc w:val="center"/>
        <w:rPr>
          <w:rFonts w:ascii="Arial" w:hAnsi="Arial" w:cs="Arial"/>
          <w:sz w:val="28"/>
          <w:szCs w:val="28"/>
        </w:rPr>
      </w:pPr>
      <w:r w:rsidRPr="00FF0888">
        <w:rPr>
          <w:rFonts w:ascii="Arial" w:hAnsi="Arial" w:cs="Arial"/>
          <w:sz w:val="28"/>
          <w:szCs w:val="28"/>
        </w:rPr>
        <w:t>Student ID 2419636</w:t>
      </w:r>
    </w:p>
    <w:p w14:paraId="68669F74" w14:textId="77777777" w:rsidR="00FF0888" w:rsidRPr="00FF0888" w:rsidRDefault="00FF0888" w:rsidP="00FF0888">
      <w:pPr>
        <w:pStyle w:val="Header"/>
        <w:jc w:val="center"/>
        <w:rPr>
          <w:rFonts w:ascii="Arial" w:hAnsi="Arial" w:cs="Arial"/>
          <w:sz w:val="28"/>
          <w:szCs w:val="28"/>
        </w:rPr>
      </w:pPr>
    </w:p>
    <w:p w14:paraId="44001755" w14:textId="77777777" w:rsidR="00FF0888" w:rsidRPr="00FF0888" w:rsidRDefault="00FF0888" w:rsidP="00FF0888">
      <w:pPr>
        <w:pStyle w:val="Header"/>
        <w:jc w:val="center"/>
        <w:rPr>
          <w:rFonts w:ascii="Arial" w:hAnsi="Arial" w:cs="Arial"/>
          <w:sz w:val="28"/>
          <w:szCs w:val="28"/>
        </w:rPr>
      </w:pPr>
    </w:p>
    <w:p w14:paraId="528BEAD3" w14:textId="77777777" w:rsidR="00FF0888" w:rsidRPr="00FF0888" w:rsidRDefault="00FF0888" w:rsidP="00FF0888">
      <w:pPr>
        <w:pStyle w:val="Header"/>
        <w:jc w:val="center"/>
        <w:rPr>
          <w:rFonts w:ascii="Arial" w:hAnsi="Arial" w:cs="Arial"/>
          <w:sz w:val="28"/>
          <w:szCs w:val="28"/>
        </w:rPr>
      </w:pPr>
      <w:r w:rsidRPr="00FF0888">
        <w:rPr>
          <w:rFonts w:ascii="Arial" w:hAnsi="Arial" w:cs="Arial"/>
          <w:b/>
          <w:bCs/>
          <w:sz w:val="28"/>
          <w:szCs w:val="28"/>
        </w:rPr>
        <w:t>Programme</w:t>
      </w:r>
      <w:r w:rsidRPr="00FF0888">
        <w:rPr>
          <w:rFonts w:ascii="Arial" w:hAnsi="Arial" w:cs="Arial"/>
          <w:sz w:val="28"/>
          <w:szCs w:val="28"/>
        </w:rPr>
        <w:t>: BSc Health and Social Care</w:t>
      </w:r>
    </w:p>
    <w:p w14:paraId="5CBC7D6A" w14:textId="77777777" w:rsidR="00FF0888" w:rsidRPr="00FF0888" w:rsidRDefault="00FF0888" w:rsidP="00FF0888">
      <w:pPr>
        <w:pStyle w:val="Header"/>
        <w:jc w:val="center"/>
        <w:rPr>
          <w:rFonts w:ascii="Arial" w:hAnsi="Arial" w:cs="Arial"/>
          <w:sz w:val="28"/>
          <w:szCs w:val="28"/>
        </w:rPr>
      </w:pPr>
    </w:p>
    <w:p w14:paraId="46242067" w14:textId="77777777" w:rsidR="00FF0888" w:rsidRPr="00FF0888" w:rsidRDefault="00FF0888" w:rsidP="00FF0888">
      <w:pPr>
        <w:pStyle w:val="Header"/>
        <w:jc w:val="center"/>
        <w:rPr>
          <w:rFonts w:ascii="Arial" w:hAnsi="Arial" w:cs="Arial"/>
          <w:sz w:val="28"/>
          <w:szCs w:val="28"/>
        </w:rPr>
      </w:pPr>
    </w:p>
    <w:p w14:paraId="72FBE189" w14:textId="18DADAD5" w:rsidR="00FF0888" w:rsidRPr="00FF0888" w:rsidRDefault="00FF0888" w:rsidP="00FF0888">
      <w:pPr>
        <w:pStyle w:val="Header"/>
        <w:jc w:val="center"/>
        <w:rPr>
          <w:rFonts w:ascii="Arial" w:hAnsi="Arial" w:cs="Arial"/>
          <w:sz w:val="28"/>
          <w:szCs w:val="28"/>
        </w:rPr>
      </w:pPr>
      <w:r w:rsidRPr="00FF0888">
        <w:rPr>
          <w:rFonts w:ascii="Arial" w:hAnsi="Arial" w:cs="Arial"/>
          <w:b/>
          <w:bCs/>
          <w:sz w:val="28"/>
          <w:szCs w:val="28"/>
        </w:rPr>
        <w:t xml:space="preserve">Assignment Title: </w:t>
      </w:r>
      <w:r w:rsidRPr="00FF0888">
        <w:rPr>
          <w:rFonts w:ascii="Arial" w:hAnsi="Arial" w:cs="Arial"/>
          <w:sz w:val="28"/>
          <w:szCs w:val="28"/>
        </w:rPr>
        <w:t xml:space="preserve">Component </w:t>
      </w:r>
      <w:r>
        <w:rPr>
          <w:rFonts w:ascii="Arial" w:hAnsi="Arial" w:cs="Arial"/>
          <w:sz w:val="28"/>
          <w:szCs w:val="28"/>
        </w:rPr>
        <w:t>2</w:t>
      </w:r>
      <w:r w:rsidRPr="00FF0888">
        <w:rPr>
          <w:rFonts w:ascii="Arial" w:hAnsi="Arial" w:cs="Arial"/>
          <w:sz w:val="28"/>
          <w:szCs w:val="28"/>
        </w:rPr>
        <w:t xml:space="preserve">: Written </w:t>
      </w:r>
    </w:p>
    <w:p w14:paraId="440847F8" w14:textId="739E7229" w:rsidR="00FF0888" w:rsidRPr="00FF0888" w:rsidRDefault="00FF0888" w:rsidP="00FF0888">
      <w:pPr>
        <w:pStyle w:val="Header"/>
        <w:jc w:val="center"/>
        <w:rPr>
          <w:rFonts w:ascii="Arial" w:hAnsi="Arial" w:cs="Arial"/>
          <w:sz w:val="28"/>
          <w:szCs w:val="28"/>
        </w:rPr>
      </w:pPr>
      <w:r w:rsidRPr="00FF0888">
        <w:rPr>
          <w:rFonts w:ascii="Arial" w:hAnsi="Arial" w:cs="Arial"/>
          <w:sz w:val="28"/>
          <w:szCs w:val="28"/>
        </w:rPr>
        <w:t>Assignment (Report)</w:t>
      </w:r>
    </w:p>
    <w:p w14:paraId="0CBDD109" w14:textId="77777777" w:rsidR="00FF0888" w:rsidRPr="00FF0888" w:rsidRDefault="00FF0888" w:rsidP="00FF0888">
      <w:pPr>
        <w:pStyle w:val="Header"/>
        <w:jc w:val="center"/>
        <w:rPr>
          <w:rFonts w:ascii="Arial" w:hAnsi="Arial" w:cs="Arial"/>
          <w:sz w:val="28"/>
          <w:szCs w:val="28"/>
        </w:rPr>
      </w:pPr>
    </w:p>
    <w:p w14:paraId="6908F4DF" w14:textId="0B5D6409" w:rsidR="00FF0888" w:rsidRPr="00FF0888" w:rsidRDefault="00FF0888" w:rsidP="00FF0888">
      <w:pPr>
        <w:pStyle w:val="Header"/>
        <w:jc w:val="center"/>
        <w:rPr>
          <w:rFonts w:ascii="Arial" w:hAnsi="Arial" w:cs="Arial"/>
          <w:sz w:val="28"/>
          <w:szCs w:val="28"/>
        </w:rPr>
      </w:pPr>
      <w:r w:rsidRPr="00FF0888">
        <w:rPr>
          <w:rFonts w:ascii="Arial" w:hAnsi="Arial" w:cs="Arial"/>
          <w:sz w:val="28"/>
          <w:szCs w:val="28"/>
        </w:rPr>
        <w:br/>
      </w:r>
      <w:r w:rsidRPr="00FF0888">
        <w:rPr>
          <w:rFonts w:ascii="Arial" w:hAnsi="Arial" w:cs="Arial"/>
          <w:b/>
          <w:bCs/>
          <w:sz w:val="28"/>
          <w:szCs w:val="28"/>
        </w:rPr>
        <w:t xml:space="preserve">Lecturer Name: </w:t>
      </w:r>
      <w:proofErr w:type="spellStart"/>
      <w:r>
        <w:rPr>
          <w:rFonts w:ascii="Arial" w:hAnsi="Arial" w:cs="Arial"/>
          <w:sz w:val="28"/>
          <w:szCs w:val="28"/>
        </w:rPr>
        <w:t>Tsiwani</w:t>
      </w:r>
      <w:proofErr w:type="spellEnd"/>
      <w:r>
        <w:rPr>
          <w:rFonts w:ascii="Arial" w:hAnsi="Arial" w:cs="Arial"/>
          <w:sz w:val="28"/>
          <w:szCs w:val="28"/>
        </w:rPr>
        <w:t xml:space="preserve"> Khumalo</w:t>
      </w:r>
    </w:p>
    <w:p w14:paraId="17A70E78" w14:textId="77777777" w:rsidR="00FF0888" w:rsidRPr="00FF0888" w:rsidRDefault="00FF0888" w:rsidP="00FF0888">
      <w:pPr>
        <w:pStyle w:val="Header"/>
        <w:jc w:val="center"/>
        <w:rPr>
          <w:rFonts w:ascii="Arial" w:hAnsi="Arial" w:cs="Arial"/>
          <w:sz w:val="28"/>
          <w:szCs w:val="28"/>
        </w:rPr>
      </w:pPr>
    </w:p>
    <w:p w14:paraId="7EE2C3F1" w14:textId="1B8FE0EE" w:rsidR="00FF0888" w:rsidRPr="00FF0888" w:rsidRDefault="00FF0888" w:rsidP="00FF0888">
      <w:pPr>
        <w:pStyle w:val="Header"/>
        <w:jc w:val="center"/>
        <w:rPr>
          <w:rFonts w:ascii="Arial" w:hAnsi="Arial" w:cs="Arial"/>
          <w:sz w:val="28"/>
          <w:szCs w:val="28"/>
        </w:rPr>
      </w:pPr>
      <w:r w:rsidRPr="00FF0888">
        <w:rPr>
          <w:rFonts w:ascii="Arial" w:hAnsi="Arial" w:cs="Arial"/>
          <w:sz w:val="28"/>
          <w:szCs w:val="28"/>
        </w:rPr>
        <w:br/>
      </w:r>
      <w:r w:rsidRPr="00FF0888">
        <w:rPr>
          <w:rFonts w:ascii="Arial" w:hAnsi="Arial" w:cs="Arial"/>
          <w:b/>
          <w:bCs/>
          <w:sz w:val="28"/>
          <w:szCs w:val="28"/>
        </w:rPr>
        <w:t xml:space="preserve">Module: </w:t>
      </w:r>
      <w:r>
        <w:rPr>
          <w:rFonts w:ascii="Arial" w:hAnsi="Arial" w:cs="Arial"/>
          <w:sz w:val="28"/>
          <w:szCs w:val="28"/>
        </w:rPr>
        <w:t>Principles of Health and Social Care Practice</w:t>
      </w:r>
    </w:p>
    <w:p w14:paraId="5C83F726" w14:textId="77777777" w:rsidR="00FF0888" w:rsidRPr="00FF0888" w:rsidRDefault="00FF0888" w:rsidP="00FF0888">
      <w:pPr>
        <w:pStyle w:val="Header"/>
        <w:jc w:val="center"/>
        <w:rPr>
          <w:rFonts w:ascii="Arial" w:hAnsi="Arial" w:cs="Arial"/>
          <w:sz w:val="28"/>
          <w:szCs w:val="28"/>
        </w:rPr>
      </w:pPr>
    </w:p>
    <w:p w14:paraId="4DAD5DB9" w14:textId="77777777" w:rsidR="00FF0888" w:rsidRPr="00FF0888" w:rsidRDefault="00FF0888" w:rsidP="00FF0888">
      <w:pPr>
        <w:pStyle w:val="Header"/>
        <w:jc w:val="center"/>
        <w:rPr>
          <w:rFonts w:ascii="Arial" w:hAnsi="Arial" w:cs="Arial"/>
          <w:sz w:val="28"/>
          <w:szCs w:val="28"/>
        </w:rPr>
      </w:pPr>
    </w:p>
    <w:p w14:paraId="0EF151C9" w14:textId="6515EB82" w:rsidR="00FF0888" w:rsidRPr="00FF0888" w:rsidRDefault="00FF0888" w:rsidP="00FF0888">
      <w:pPr>
        <w:pStyle w:val="Header"/>
        <w:jc w:val="center"/>
        <w:rPr>
          <w:rFonts w:ascii="Arial" w:hAnsi="Arial" w:cs="Arial"/>
          <w:sz w:val="28"/>
          <w:szCs w:val="28"/>
        </w:rPr>
      </w:pPr>
      <w:r w:rsidRPr="00FF0888">
        <w:rPr>
          <w:rFonts w:ascii="Arial" w:hAnsi="Arial" w:cs="Arial"/>
          <w:sz w:val="28"/>
          <w:szCs w:val="28"/>
        </w:rPr>
        <w:br/>
      </w:r>
      <w:r w:rsidRPr="00FF0888">
        <w:rPr>
          <w:rFonts w:ascii="Arial" w:hAnsi="Arial" w:cs="Arial"/>
          <w:b/>
          <w:bCs/>
          <w:sz w:val="28"/>
          <w:szCs w:val="28"/>
        </w:rPr>
        <w:t xml:space="preserve">Module Code: </w:t>
      </w:r>
      <w:r w:rsidRPr="00FF0888">
        <w:rPr>
          <w:rFonts w:ascii="Arial" w:hAnsi="Arial" w:cs="Arial"/>
          <w:sz w:val="28"/>
          <w:szCs w:val="28"/>
        </w:rPr>
        <w:t>BMHP50</w:t>
      </w:r>
      <w:r>
        <w:rPr>
          <w:rFonts w:ascii="Arial" w:hAnsi="Arial" w:cs="Arial"/>
          <w:sz w:val="28"/>
          <w:szCs w:val="28"/>
        </w:rPr>
        <w:t>16</w:t>
      </w:r>
    </w:p>
    <w:p w14:paraId="5ADB3BBF" w14:textId="77777777" w:rsidR="00FF0888" w:rsidRPr="00FF0888" w:rsidRDefault="00FF0888" w:rsidP="00FF0888">
      <w:pPr>
        <w:pStyle w:val="Header"/>
        <w:jc w:val="center"/>
        <w:rPr>
          <w:rFonts w:ascii="Arial" w:hAnsi="Arial" w:cs="Arial"/>
          <w:b/>
          <w:bCs/>
          <w:sz w:val="28"/>
          <w:szCs w:val="28"/>
        </w:rPr>
      </w:pPr>
    </w:p>
    <w:p w14:paraId="27900347" w14:textId="77777777" w:rsidR="00FF0888" w:rsidRPr="00FF0888" w:rsidRDefault="00FF0888" w:rsidP="00FF0888">
      <w:pPr>
        <w:pStyle w:val="Header"/>
        <w:jc w:val="center"/>
        <w:rPr>
          <w:rFonts w:ascii="Arial" w:hAnsi="Arial" w:cs="Arial"/>
          <w:b/>
          <w:bCs/>
          <w:sz w:val="28"/>
          <w:szCs w:val="28"/>
        </w:rPr>
      </w:pPr>
    </w:p>
    <w:p w14:paraId="5ADA7C0E" w14:textId="6953EADC" w:rsidR="00FF0888" w:rsidRPr="00FF0888" w:rsidRDefault="00FF0888" w:rsidP="00FF0888">
      <w:pPr>
        <w:pStyle w:val="Header"/>
        <w:jc w:val="center"/>
        <w:rPr>
          <w:rFonts w:ascii="Arial" w:hAnsi="Arial" w:cs="Arial"/>
          <w:sz w:val="28"/>
          <w:szCs w:val="28"/>
        </w:rPr>
      </w:pPr>
      <w:r w:rsidRPr="00FF0888">
        <w:rPr>
          <w:rFonts w:ascii="Arial" w:hAnsi="Arial" w:cs="Arial"/>
          <w:b/>
          <w:bCs/>
          <w:sz w:val="28"/>
          <w:szCs w:val="28"/>
        </w:rPr>
        <w:t xml:space="preserve">Submission deadline: </w:t>
      </w:r>
      <w:r w:rsidR="005B7095">
        <w:rPr>
          <w:rFonts w:ascii="Arial" w:hAnsi="Arial" w:cs="Arial"/>
          <w:sz w:val="28"/>
          <w:szCs w:val="28"/>
        </w:rPr>
        <w:t>Sunday 29</w:t>
      </w:r>
      <w:r w:rsidR="005B7095" w:rsidRPr="005B7095">
        <w:rPr>
          <w:rFonts w:ascii="Arial" w:hAnsi="Arial" w:cs="Arial"/>
          <w:sz w:val="28"/>
          <w:szCs w:val="28"/>
          <w:vertAlign w:val="superscript"/>
        </w:rPr>
        <w:t>th</w:t>
      </w:r>
      <w:r w:rsidR="005B7095">
        <w:rPr>
          <w:rFonts w:ascii="Arial" w:hAnsi="Arial" w:cs="Arial"/>
          <w:sz w:val="28"/>
          <w:szCs w:val="28"/>
        </w:rPr>
        <w:t xml:space="preserve"> March</w:t>
      </w:r>
    </w:p>
    <w:p w14:paraId="0AD606F2" w14:textId="77777777" w:rsidR="00FF0888" w:rsidRPr="00FF0888" w:rsidRDefault="00FF0888" w:rsidP="00FF0888">
      <w:pPr>
        <w:pStyle w:val="Header"/>
        <w:jc w:val="center"/>
        <w:rPr>
          <w:rFonts w:ascii="Arial" w:hAnsi="Arial" w:cs="Arial"/>
          <w:sz w:val="28"/>
          <w:szCs w:val="28"/>
        </w:rPr>
      </w:pPr>
      <w:r w:rsidRPr="00FF0888">
        <w:rPr>
          <w:rFonts w:ascii="Arial" w:hAnsi="Arial" w:cs="Arial"/>
          <w:sz w:val="28"/>
          <w:szCs w:val="28"/>
        </w:rPr>
        <w:t xml:space="preserve"> 2026</w:t>
      </w:r>
    </w:p>
    <w:p w14:paraId="4FD52DEE" w14:textId="77777777" w:rsidR="00FF0888" w:rsidRPr="00FF0888" w:rsidRDefault="00FF0888" w:rsidP="00FF0888">
      <w:pPr>
        <w:pStyle w:val="Header"/>
        <w:jc w:val="center"/>
        <w:rPr>
          <w:rFonts w:ascii="Arial" w:hAnsi="Arial" w:cs="Arial"/>
          <w:b/>
          <w:bCs/>
          <w:sz w:val="28"/>
          <w:szCs w:val="28"/>
        </w:rPr>
      </w:pPr>
    </w:p>
    <w:p w14:paraId="404FF042" w14:textId="77777777" w:rsidR="00FF0888" w:rsidRPr="00FF0888" w:rsidRDefault="00FF0888" w:rsidP="00FF0888">
      <w:pPr>
        <w:pStyle w:val="Header"/>
        <w:jc w:val="center"/>
        <w:rPr>
          <w:rFonts w:ascii="Arial" w:hAnsi="Arial" w:cs="Arial"/>
          <w:sz w:val="28"/>
          <w:szCs w:val="28"/>
        </w:rPr>
      </w:pPr>
      <w:r w:rsidRPr="00FF0888">
        <w:rPr>
          <w:rFonts w:ascii="Arial" w:hAnsi="Arial" w:cs="Arial"/>
          <w:b/>
          <w:bCs/>
          <w:sz w:val="28"/>
          <w:szCs w:val="28"/>
        </w:rPr>
        <w:t xml:space="preserve">Word count- </w:t>
      </w:r>
      <w:r w:rsidRPr="00FF0888">
        <w:rPr>
          <w:rFonts w:ascii="Arial" w:hAnsi="Arial" w:cs="Arial"/>
          <w:sz w:val="28"/>
          <w:szCs w:val="28"/>
        </w:rPr>
        <w:t>2000</w:t>
      </w:r>
    </w:p>
    <w:p w14:paraId="1965D2C7" w14:textId="77777777" w:rsidR="00FF0888" w:rsidRDefault="00FF0888" w:rsidP="00C01831"/>
    <w:p w14:paraId="18D68BE7" w14:textId="77777777" w:rsidR="00D81FA5" w:rsidRDefault="00D81FA5" w:rsidP="00D364C2">
      <w:pPr>
        <w:pStyle w:val="Header"/>
        <w:rPr>
          <w:rFonts w:ascii="Arial" w:hAnsi="Arial" w:cs="Arial"/>
          <w:sz w:val="28"/>
          <w:szCs w:val="28"/>
        </w:rPr>
      </w:pPr>
    </w:p>
    <w:p w14:paraId="1CB1F55D" w14:textId="77777777" w:rsidR="00D81FA5" w:rsidRDefault="00D81FA5" w:rsidP="00D364C2">
      <w:pPr>
        <w:pStyle w:val="Header"/>
        <w:rPr>
          <w:rFonts w:ascii="Arial" w:hAnsi="Arial" w:cs="Arial"/>
          <w:sz w:val="28"/>
          <w:szCs w:val="28"/>
        </w:rPr>
      </w:pPr>
    </w:p>
    <w:p w14:paraId="1F9E4CD6" w14:textId="77777777" w:rsidR="00D81FA5" w:rsidRDefault="00D81FA5" w:rsidP="00D364C2">
      <w:pPr>
        <w:pStyle w:val="Header"/>
        <w:rPr>
          <w:rFonts w:ascii="Arial" w:hAnsi="Arial" w:cs="Arial"/>
          <w:sz w:val="28"/>
          <w:szCs w:val="28"/>
        </w:rPr>
      </w:pPr>
    </w:p>
    <w:p w14:paraId="096EBFCE" w14:textId="77777777" w:rsidR="00D81FA5" w:rsidRDefault="00D81FA5" w:rsidP="00D364C2">
      <w:pPr>
        <w:pStyle w:val="Header"/>
        <w:rPr>
          <w:rFonts w:ascii="Arial" w:hAnsi="Arial" w:cs="Arial"/>
          <w:sz w:val="28"/>
          <w:szCs w:val="28"/>
        </w:rPr>
      </w:pPr>
    </w:p>
    <w:p w14:paraId="2024F1FE" w14:textId="77777777" w:rsidR="00D81FA5" w:rsidRDefault="00D81FA5" w:rsidP="00D364C2">
      <w:pPr>
        <w:pStyle w:val="Header"/>
        <w:rPr>
          <w:rFonts w:ascii="Arial" w:hAnsi="Arial" w:cs="Arial"/>
          <w:sz w:val="28"/>
          <w:szCs w:val="28"/>
        </w:rPr>
      </w:pPr>
    </w:p>
    <w:p w14:paraId="591894CC" w14:textId="77777777" w:rsidR="00D81FA5" w:rsidRDefault="00D81FA5" w:rsidP="00C1057D">
      <w:pPr>
        <w:pStyle w:val="Header"/>
        <w:spacing w:line="360" w:lineRule="auto"/>
        <w:rPr>
          <w:rFonts w:ascii="Arial" w:hAnsi="Arial" w:cs="Arial"/>
          <w:sz w:val="28"/>
          <w:szCs w:val="28"/>
        </w:rPr>
      </w:pPr>
    </w:p>
    <w:p w14:paraId="7465EC8C" w14:textId="77777777" w:rsidR="00D81FA5" w:rsidRDefault="00D81FA5" w:rsidP="00C1057D">
      <w:pPr>
        <w:pStyle w:val="Header"/>
        <w:spacing w:line="360" w:lineRule="auto"/>
        <w:rPr>
          <w:rFonts w:ascii="Arial" w:hAnsi="Arial" w:cs="Arial"/>
          <w:sz w:val="28"/>
          <w:szCs w:val="28"/>
        </w:rPr>
      </w:pPr>
    </w:p>
    <w:p w14:paraId="358D595C" w14:textId="77777777" w:rsidR="00D81FA5" w:rsidRDefault="00D81FA5" w:rsidP="00C1057D">
      <w:pPr>
        <w:pStyle w:val="Header"/>
        <w:spacing w:line="360" w:lineRule="auto"/>
        <w:rPr>
          <w:rFonts w:ascii="Arial" w:hAnsi="Arial" w:cs="Arial"/>
          <w:sz w:val="28"/>
          <w:szCs w:val="28"/>
        </w:rPr>
      </w:pPr>
    </w:p>
    <w:p w14:paraId="322DBBF9" w14:textId="77777777" w:rsidR="00D81FA5" w:rsidRDefault="00D81FA5" w:rsidP="00C1057D">
      <w:pPr>
        <w:pStyle w:val="Header"/>
        <w:spacing w:line="360" w:lineRule="auto"/>
        <w:rPr>
          <w:rFonts w:ascii="Arial" w:hAnsi="Arial" w:cs="Arial"/>
          <w:sz w:val="28"/>
          <w:szCs w:val="28"/>
        </w:rPr>
      </w:pPr>
    </w:p>
    <w:p w14:paraId="1D8F9E42" w14:textId="77777777" w:rsidR="00D81FA5" w:rsidRDefault="00D81FA5" w:rsidP="00C1057D">
      <w:pPr>
        <w:pStyle w:val="Header"/>
        <w:spacing w:line="360" w:lineRule="auto"/>
        <w:rPr>
          <w:rFonts w:ascii="Arial" w:hAnsi="Arial" w:cs="Arial"/>
          <w:sz w:val="28"/>
          <w:szCs w:val="28"/>
        </w:rPr>
      </w:pPr>
    </w:p>
    <w:p w14:paraId="6C233CF0" w14:textId="77777777" w:rsidR="00D81FA5" w:rsidRDefault="00D81FA5" w:rsidP="00C1057D">
      <w:pPr>
        <w:pStyle w:val="Header"/>
        <w:spacing w:line="360" w:lineRule="auto"/>
        <w:rPr>
          <w:rFonts w:ascii="Arial" w:hAnsi="Arial" w:cs="Arial"/>
          <w:sz w:val="28"/>
          <w:szCs w:val="28"/>
        </w:rPr>
      </w:pPr>
    </w:p>
    <w:p w14:paraId="70127EA9" w14:textId="77777777" w:rsidR="00D81FA5" w:rsidRDefault="00D81FA5" w:rsidP="00C1057D">
      <w:pPr>
        <w:pStyle w:val="Header"/>
        <w:spacing w:line="360" w:lineRule="auto"/>
        <w:rPr>
          <w:rFonts w:ascii="Arial" w:hAnsi="Arial" w:cs="Arial"/>
          <w:sz w:val="28"/>
          <w:szCs w:val="28"/>
        </w:rPr>
      </w:pPr>
    </w:p>
    <w:p w14:paraId="4E5786A3" w14:textId="77777777" w:rsidR="00D81FA5" w:rsidRDefault="00D81FA5" w:rsidP="00C1057D">
      <w:pPr>
        <w:pStyle w:val="Header"/>
        <w:spacing w:line="360" w:lineRule="auto"/>
        <w:rPr>
          <w:rFonts w:ascii="Arial" w:hAnsi="Arial" w:cs="Arial"/>
          <w:sz w:val="28"/>
          <w:szCs w:val="28"/>
        </w:rPr>
      </w:pPr>
    </w:p>
    <w:p w14:paraId="1DA6EAC8" w14:textId="77777777" w:rsidR="00D81FA5" w:rsidRDefault="00D81FA5" w:rsidP="00C1057D">
      <w:pPr>
        <w:pStyle w:val="Header"/>
        <w:spacing w:line="360" w:lineRule="auto"/>
        <w:rPr>
          <w:rFonts w:ascii="Arial" w:hAnsi="Arial" w:cs="Arial"/>
          <w:sz w:val="28"/>
          <w:szCs w:val="28"/>
        </w:rPr>
      </w:pPr>
    </w:p>
    <w:p w14:paraId="68E3B047" w14:textId="5E720D5B" w:rsidR="00EF3D4C" w:rsidRPr="00EF3D4C" w:rsidRDefault="00EF3D4C" w:rsidP="00C1057D">
      <w:pPr>
        <w:pStyle w:val="Header"/>
        <w:spacing w:line="360" w:lineRule="auto"/>
        <w:rPr>
          <w:rFonts w:ascii="Arial" w:hAnsi="Arial" w:cs="Arial"/>
          <w:b/>
          <w:bCs/>
          <w:sz w:val="28"/>
          <w:szCs w:val="28"/>
        </w:rPr>
      </w:pPr>
      <w:r w:rsidRPr="00EF3D4C">
        <w:rPr>
          <w:rFonts w:ascii="Arial" w:hAnsi="Arial" w:cs="Arial"/>
          <w:b/>
          <w:bCs/>
          <w:sz w:val="28"/>
          <w:szCs w:val="28"/>
        </w:rPr>
        <w:t>Abstract</w:t>
      </w:r>
    </w:p>
    <w:p w14:paraId="37D03966" w14:textId="77777777" w:rsidR="00EF3D4C" w:rsidRDefault="00EF3D4C" w:rsidP="00C1057D">
      <w:pPr>
        <w:pStyle w:val="Header"/>
        <w:spacing w:line="360" w:lineRule="auto"/>
        <w:rPr>
          <w:rFonts w:ascii="Arial" w:hAnsi="Arial" w:cs="Arial"/>
          <w:sz w:val="28"/>
          <w:szCs w:val="28"/>
        </w:rPr>
      </w:pPr>
    </w:p>
    <w:p w14:paraId="3835A2C3" w14:textId="77777777" w:rsidR="00701DA6" w:rsidRPr="00701DA6" w:rsidRDefault="00701DA6" w:rsidP="00765EF4">
      <w:pPr>
        <w:pStyle w:val="Header"/>
        <w:spacing w:line="360" w:lineRule="auto"/>
        <w:jc w:val="both"/>
        <w:rPr>
          <w:rFonts w:ascii="Arial" w:hAnsi="Arial" w:cs="Arial"/>
        </w:rPr>
      </w:pPr>
      <w:r w:rsidRPr="00701DA6">
        <w:rPr>
          <w:rFonts w:ascii="Arial" w:hAnsi="Arial" w:cs="Arial"/>
        </w:rPr>
        <w:t>Partnership working in health and social care means different people and organisations working together to provide the best support. This includes professionals, service users, families, and carers. Working together helps improve communication and information sharing, so everyone understands the individual’s needs and can create better care plans (Department of Health, 2012).</w:t>
      </w:r>
    </w:p>
    <w:p w14:paraId="7CB1EEC6" w14:textId="77777777" w:rsidR="00701DA6" w:rsidRPr="00701DA6" w:rsidRDefault="00701DA6" w:rsidP="00765EF4">
      <w:pPr>
        <w:pStyle w:val="Header"/>
        <w:spacing w:line="360" w:lineRule="auto"/>
        <w:jc w:val="both"/>
        <w:rPr>
          <w:rFonts w:ascii="Arial" w:hAnsi="Arial" w:cs="Arial"/>
        </w:rPr>
      </w:pPr>
      <w:r w:rsidRPr="00701DA6">
        <w:rPr>
          <w:rFonts w:ascii="Arial" w:hAnsi="Arial" w:cs="Arial"/>
        </w:rPr>
        <w:t>It also helps make care more consistent, especially when people move between services, such as from hospital to home (National Institute for Health and Care Excellence, 2016). Involving families and carers can give extra emotional and practical support.</w:t>
      </w:r>
    </w:p>
    <w:p w14:paraId="51221D43" w14:textId="77777777" w:rsidR="00701DA6" w:rsidRPr="00701DA6" w:rsidRDefault="00701DA6" w:rsidP="00765EF4">
      <w:pPr>
        <w:pStyle w:val="Header"/>
        <w:spacing w:line="360" w:lineRule="auto"/>
        <w:jc w:val="both"/>
        <w:rPr>
          <w:rFonts w:ascii="Arial" w:hAnsi="Arial" w:cs="Arial"/>
        </w:rPr>
      </w:pPr>
      <w:r w:rsidRPr="00701DA6">
        <w:rPr>
          <w:rFonts w:ascii="Arial" w:hAnsi="Arial" w:cs="Arial"/>
        </w:rPr>
        <w:t>Overall, partnership working leads to better outcomes, as care is more joined-up, person-centred, and supportive. This can improve people’s health, wellbeing, and satisfaction with the care they receive (World Health Organization, 2016).</w:t>
      </w:r>
    </w:p>
    <w:p w14:paraId="24C96C95" w14:textId="77777777" w:rsidR="00701DA6" w:rsidRPr="00701DA6" w:rsidRDefault="00701DA6" w:rsidP="00765EF4">
      <w:pPr>
        <w:pStyle w:val="Header"/>
        <w:jc w:val="both"/>
        <w:rPr>
          <w:rFonts w:ascii="Arial" w:hAnsi="Arial" w:cs="Arial"/>
          <w:vanish/>
          <w:sz w:val="28"/>
          <w:szCs w:val="28"/>
        </w:rPr>
      </w:pPr>
      <w:r w:rsidRPr="00701DA6">
        <w:rPr>
          <w:rFonts w:ascii="Arial" w:hAnsi="Arial" w:cs="Arial"/>
          <w:vanish/>
          <w:sz w:val="28"/>
          <w:szCs w:val="28"/>
        </w:rPr>
        <w:t>Top of Form</w:t>
      </w:r>
    </w:p>
    <w:p w14:paraId="5E57506A" w14:textId="77777777" w:rsidR="00701DA6" w:rsidRPr="00701DA6" w:rsidRDefault="00701DA6" w:rsidP="00765EF4">
      <w:pPr>
        <w:pStyle w:val="Header"/>
        <w:jc w:val="both"/>
        <w:rPr>
          <w:rFonts w:ascii="Arial" w:hAnsi="Arial" w:cs="Arial"/>
          <w:vanish/>
          <w:sz w:val="28"/>
          <w:szCs w:val="28"/>
        </w:rPr>
      </w:pPr>
      <w:r w:rsidRPr="00701DA6">
        <w:rPr>
          <w:rFonts w:ascii="Arial" w:hAnsi="Arial" w:cs="Arial"/>
          <w:vanish/>
          <w:sz w:val="28"/>
          <w:szCs w:val="28"/>
        </w:rPr>
        <w:t>Bottom of Form</w:t>
      </w:r>
    </w:p>
    <w:p w14:paraId="3161FEC5" w14:textId="77777777" w:rsidR="00EF3D4C" w:rsidRDefault="00EF3D4C" w:rsidP="00765EF4">
      <w:pPr>
        <w:pStyle w:val="Header"/>
        <w:jc w:val="both"/>
        <w:rPr>
          <w:rFonts w:ascii="Arial" w:hAnsi="Arial" w:cs="Arial"/>
          <w:sz w:val="28"/>
          <w:szCs w:val="28"/>
        </w:rPr>
      </w:pPr>
    </w:p>
    <w:p w14:paraId="6184D5CF" w14:textId="77777777" w:rsidR="00EF3D4C" w:rsidRDefault="00EF3D4C" w:rsidP="00765EF4">
      <w:pPr>
        <w:pStyle w:val="Header"/>
        <w:jc w:val="both"/>
        <w:rPr>
          <w:rFonts w:ascii="Arial" w:hAnsi="Arial" w:cs="Arial"/>
          <w:sz w:val="28"/>
          <w:szCs w:val="28"/>
        </w:rPr>
      </w:pPr>
    </w:p>
    <w:p w14:paraId="0CC9989B" w14:textId="77777777" w:rsidR="00EF3D4C" w:rsidRDefault="00EF3D4C" w:rsidP="00765EF4">
      <w:pPr>
        <w:pStyle w:val="Header"/>
        <w:jc w:val="both"/>
        <w:rPr>
          <w:rFonts w:ascii="Arial" w:hAnsi="Arial" w:cs="Arial"/>
          <w:sz w:val="28"/>
          <w:szCs w:val="28"/>
        </w:rPr>
      </w:pPr>
    </w:p>
    <w:p w14:paraId="169B2287" w14:textId="77777777" w:rsidR="00EF3D4C" w:rsidRDefault="00EF3D4C" w:rsidP="00765EF4">
      <w:pPr>
        <w:pStyle w:val="Header"/>
        <w:jc w:val="both"/>
        <w:rPr>
          <w:rFonts w:ascii="Arial" w:hAnsi="Arial" w:cs="Arial"/>
          <w:sz w:val="28"/>
          <w:szCs w:val="28"/>
        </w:rPr>
      </w:pPr>
    </w:p>
    <w:p w14:paraId="7FE58164" w14:textId="77777777" w:rsidR="00EF3D4C" w:rsidRDefault="00EF3D4C" w:rsidP="00D364C2">
      <w:pPr>
        <w:pStyle w:val="Header"/>
        <w:rPr>
          <w:rFonts w:ascii="Arial" w:hAnsi="Arial" w:cs="Arial"/>
          <w:sz w:val="28"/>
          <w:szCs w:val="28"/>
        </w:rPr>
      </w:pPr>
    </w:p>
    <w:p w14:paraId="3351888A" w14:textId="77777777" w:rsidR="00EF3D4C" w:rsidRDefault="00EF3D4C" w:rsidP="00D364C2">
      <w:pPr>
        <w:pStyle w:val="Header"/>
        <w:rPr>
          <w:rFonts w:ascii="Arial" w:hAnsi="Arial" w:cs="Arial"/>
          <w:sz w:val="28"/>
          <w:szCs w:val="28"/>
        </w:rPr>
      </w:pPr>
    </w:p>
    <w:p w14:paraId="648E185C" w14:textId="77777777" w:rsidR="00EF3D4C" w:rsidRDefault="00EF3D4C" w:rsidP="00D364C2">
      <w:pPr>
        <w:pStyle w:val="Header"/>
        <w:rPr>
          <w:rFonts w:ascii="Arial" w:hAnsi="Arial" w:cs="Arial"/>
          <w:sz w:val="28"/>
          <w:szCs w:val="28"/>
        </w:rPr>
      </w:pPr>
    </w:p>
    <w:p w14:paraId="2F1E9E65" w14:textId="77777777" w:rsidR="00EF3D4C" w:rsidRDefault="00EF3D4C" w:rsidP="00D364C2">
      <w:pPr>
        <w:pStyle w:val="Header"/>
        <w:rPr>
          <w:rFonts w:ascii="Arial" w:hAnsi="Arial" w:cs="Arial"/>
          <w:sz w:val="28"/>
          <w:szCs w:val="28"/>
        </w:rPr>
      </w:pPr>
    </w:p>
    <w:p w14:paraId="16F971DE" w14:textId="77777777" w:rsidR="00EF3D4C" w:rsidRDefault="00EF3D4C" w:rsidP="00D364C2">
      <w:pPr>
        <w:pStyle w:val="Header"/>
        <w:rPr>
          <w:rFonts w:ascii="Arial" w:hAnsi="Arial" w:cs="Arial"/>
          <w:sz w:val="28"/>
          <w:szCs w:val="28"/>
        </w:rPr>
      </w:pPr>
    </w:p>
    <w:p w14:paraId="4EA4D0C1" w14:textId="77777777" w:rsidR="00EF3D4C" w:rsidRDefault="00EF3D4C" w:rsidP="00D364C2">
      <w:pPr>
        <w:pStyle w:val="Header"/>
        <w:rPr>
          <w:rFonts w:ascii="Arial" w:hAnsi="Arial" w:cs="Arial"/>
          <w:sz w:val="28"/>
          <w:szCs w:val="28"/>
        </w:rPr>
      </w:pPr>
    </w:p>
    <w:p w14:paraId="49C1413E" w14:textId="77777777" w:rsidR="00EF3D4C" w:rsidRDefault="00EF3D4C" w:rsidP="00D364C2">
      <w:pPr>
        <w:pStyle w:val="Header"/>
        <w:rPr>
          <w:rFonts w:ascii="Arial" w:hAnsi="Arial" w:cs="Arial"/>
          <w:sz w:val="28"/>
          <w:szCs w:val="28"/>
        </w:rPr>
      </w:pPr>
    </w:p>
    <w:p w14:paraId="51C38C9C" w14:textId="77777777" w:rsidR="00EF3D4C" w:rsidRDefault="00EF3D4C" w:rsidP="00D364C2">
      <w:pPr>
        <w:pStyle w:val="Header"/>
        <w:rPr>
          <w:rFonts w:ascii="Arial" w:hAnsi="Arial" w:cs="Arial"/>
          <w:sz w:val="28"/>
          <w:szCs w:val="28"/>
        </w:rPr>
      </w:pPr>
    </w:p>
    <w:p w14:paraId="5DBBE666" w14:textId="77777777" w:rsidR="00EF3D4C" w:rsidRDefault="00EF3D4C" w:rsidP="00D364C2">
      <w:pPr>
        <w:pStyle w:val="Header"/>
        <w:rPr>
          <w:rFonts w:ascii="Arial" w:hAnsi="Arial" w:cs="Arial"/>
          <w:sz w:val="28"/>
          <w:szCs w:val="28"/>
        </w:rPr>
      </w:pPr>
    </w:p>
    <w:p w14:paraId="0C955532" w14:textId="77777777" w:rsidR="00EF3D4C" w:rsidRDefault="00EF3D4C" w:rsidP="00D364C2">
      <w:pPr>
        <w:pStyle w:val="Header"/>
        <w:rPr>
          <w:rFonts w:ascii="Arial" w:hAnsi="Arial" w:cs="Arial"/>
          <w:sz w:val="28"/>
          <w:szCs w:val="28"/>
        </w:rPr>
      </w:pPr>
    </w:p>
    <w:p w14:paraId="7C4EF46B" w14:textId="77777777" w:rsidR="00EF3D4C" w:rsidRDefault="00EF3D4C" w:rsidP="00D364C2">
      <w:pPr>
        <w:pStyle w:val="Header"/>
        <w:rPr>
          <w:rFonts w:ascii="Arial" w:hAnsi="Arial" w:cs="Arial"/>
          <w:sz w:val="28"/>
          <w:szCs w:val="28"/>
        </w:rPr>
      </w:pPr>
    </w:p>
    <w:p w14:paraId="35B730C5" w14:textId="77777777" w:rsidR="00EF3D4C" w:rsidRDefault="00EF3D4C" w:rsidP="00D364C2">
      <w:pPr>
        <w:pStyle w:val="Header"/>
        <w:rPr>
          <w:rFonts w:ascii="Arial" w:hAnsi="Arial" w:cs="Arial"/>
          <w:sz w:val="28"/>
          <w:szCs w:val="28"/>
        </w:rPr>
      </w:pPr>
    </w:p>
    <w:p w14:paraId="7BEE7C55" w14:textId="77777777" w:rsidR="00EF3D4C" w:rsidRDefault="00EF3D4C" w:rsidP="00D364C2">
      <w:pPr>
        <w:pStyle w:val="Header"/>
        <w:rPr>
          <w:rFonts w:ascii="Arial" w:hAnsi="Arial" w:cs="Arial"/>
          <w:sz w:val="28"/>
          <w:szCs w:val="28"/>
        </w:rPr>
      </w:pPr>
    </w:p>
    <w:p w14:paraId="2A067395" w14:textId="77777777" w:rsidR="00EF3D4C" w:rsidRDefault="00EF3D4C" w:rsidP="00D364C2">
      <w:pPr>
        <w:pStyle w:val="Header"/>
        <w:rPr>
          <w:rFonts w:ascii="Arial" w:hAnsi="Arial" w:cs="Arial"/>
          <w:sz w:val="28"/>
          <w:szCs w:val="28"/>
        </w:rPr>
      </w:pPr>
    </w:p>
    <w:p w14:paraId="3DD848B1" w14:textId="77777777" w:rsidR="00EF3D4C" w:rsidRDefault="00EF3D4C" w:rsidP="00D364C2">
      <w:pPr>
        <w:pStyle w:val="Header"/>
        <w:rPr>
          <w:rFonts w:ascii="Arial" w:hAnsi="Arial" w:cs="Arial"/>
          <w:sz w:val="28"/>
          <w:szCs w:val="28"/>
        </w:rPr>
      </w:pPr>
    </w:p>
    <w:p w14:paraId="41262674" w14:textId="77777777" w:rsidR="00EF3D4C" w:rsidRDefault="00EF3D4C" w:rsidP="00D364C2">
      <w:pPr>
        <w:pStyle w:val="Header"/>
        <w:rPr>
          <w:rFonts w:ascii="Arial" w:hAnsi="Arial" w:cs="Arial"/>
          <w:sz w:val="28"/>
          <w:szCs w:val="28"/>
        </w:rPr>
      </w:pPr>
    </w:p>
    <w:p w14:paraId="1CC0D60E" w14:textId="77777777" w:rsidR="00EF3D4C" w:rsidRDefault="00EF3D4C" w:rsidP="00D364C2">
      <w:pPr>
        <w:pStyle w:val="Header"/>
        <w:rPr>
          <w:rFonts w:ascii="Arial" w:hAnsi="Arial" w:cs="Arial"/>
          <w:sz w:val="28"/>
          <w:szCs w:val="28"/>
        </w:rPr>
      </w:pPr>
    </w:p>
    <w:p w14:paraId="7E25A186" w14:textId="77777777" w:rsidR="00116570" w:rsidRDefault="00116570" w:rsidP="00D364C2">
      <w:pPr>
        <w:pStyle w:val="Header"/>
        <w:rPr>
          <w:rFonts w:ascii="Arial" w:hAnsi="Arial" w:cs="Arial"/>
          <w:sz w:val="28"/>
          <w:szCs w:val="28"/>
        </w:rPr>
      </w:pPr>
    </w:p>
    <w:p w14:paraId="496BA55D" w14:textId="2DB11955" w:rsidR="00D364C2" w:rsidRDefault="00D364C2" w:rsidP="00D364C2">
      <w:pPr>
        <w:pStyle w:val="Header"/>
        <w:rPr>
          <w:rFonts w:ascii="Arial" w:hAnsi="Arial" w:cs="Arial"/>
          <w:sz w:val="28"/>
          <w:szCs w:val="28"/>
        </w:rPr>
      </w:pPr>
      <w:r w:rsidRPr="339C497A">
        <w:rPr>
          <w:rFonts w:ascii="Arial" w:hAnsi="Arial" w:cs="Arial"/>
          <w:sz w:val="28"/>
          <w:szCs w:val="28"/>
        </w:rPr>
        <w:lastRenderedPageBreak/>
        <w:t>Table of Contents</w:t>
      </w:r>
    </w:p>
    <w:p w14:paraId="3AEC1CF9" w14:textId="18507E15" w:rsidR="00FF0888" w:rsidRDefault="00FF0888" w:rsidP="009208A8">
      <w:pPr>
        <w:pStyle w:val="TOC1"/>
        <w:tabs>
          <w:tab w:val="right" w:leader="dot" w:pos="9015"/>
        </w:tabs>
      </w:pPr>
    </w:p>
    <w:p w14:paraId="4EBE3167" w14:textId="77777777" w:rsidR="00D81FA5" w:rsidRDefault="00D81FA5" w:rsidP="00C01831"/>
    <w:p w14:paraId="5D4B7602" w14:textId="53107325" w:rsidR="004E2D67" w:rsidRDefault="007D7699" w:rsidP="00507146">
      <w:r>
        <w:t>Introduction…………………………………………………………………………………………</w:t>
      </w:r>
      <w:r w:rsidR="00CB03D6">
        <w:t>4</w:t>
      </w:r>
    </w:p>
    <w:p w14:paraId="0CCC04AF" w14:textId="4C961E01" w:rsidR="007D7699" w:rsidRDefault="0043293D" w:rsidP="00507146">
      <w:r>
        <w:t>Define person centre care and identify the main benefits and limitations</w:t>
      </w:r>
      <w:r w:rsidR="007D7699">
        <w:t xml:space="preserve">…………………………………………………………………………………………… </w:t>
      </w:r>
      <w:r w:rsidR="000D57CB">
        <w:t>4</w:t>
      </w:r>
    </w:p>
    <w:p w14:paraId="09DC6BC5" w14:textId="36ED9240" w:rsidR="007D7699" w:rsidRDefault="0043293D" w:rsidP="007D7699">
      <w:r>
        <w:t xml:space="preserve">Critically examine </w:t>
      </w:r>
      <w:r w:rsidR="005F40C7">
        <w:t xml:space="preserve">a relevant theory </w:t>
      </w:r>
      <w:r w:rsidR="007D7699">
        <w:t xml:space="preserve">………………………………. </w:t>
      </w:r>
      <w:r w:rsidR="00257252">
        <w:t>5</w:t>
      </w:r>
    </w:p>
    <w:p w14:paraId="681F0EE6" w14:textId="0005658F" w:rsidR="007D7699" w:rsidRDefault="005F40C7" w:rsidP="007D7699">
      <w:r>
        <w:t>Analyse the fundamentals of health and social care</w:t>
      </w:r>
      <w:r w:rsidR="007D7699">
        <w:t xml:space="preserve">…………………………………………………  </w:t>
      </w:r>
      <w:r w:rsidR="00257252">
        <w:t>5</w:t>
      </w:r>
    </w:p>
    <w:p w14:paraId="0A8B7F73" w14:textId="7CCD3AFA" w:rsidR="007D7699" w:rsidRDefault="005F40C7" w:rsidP="007D7699">
      <w:r>
        <w:t>Explore the application of partnership working in a practical health and social care setting</w:t>
      </w:r>
      <w:r w:rsidR="007D7699">
        <w:t xml:space="preserve">… </w:t>
      </w:r>
      <w:r w:rsidR="00257252">
        <w:t>6</w:t>
      </w:r>
    </w:p>
    <w:p w14:paraId="7C076B53" w14:textId="49A341E5" w:rsidR="00E51F20" w:rsidRDefault="00E51F20" w:rsidP="007D7699">
      <w:r>
        <w:t>Discuss and examine relevant policy and legislation in relation to PCC and PW</w:t>
      </w:r>
      <w:r w:rsidR="007D7699">
        <w:t xml:space="preserve">………………………………………………………………………………………………… </w:t>
      </w:r>
      <w:r w:rsidR="00257252">
        <w:t>7</w:t>
      </w:r>
    </w:p>
    <w:p w14:paraId="1B638D87" w14:textId="77777777" w:rsidR="00507146" w:rsidRDefault="007D7699" w:rsidP="007D7699">
      <w:r>
        <w:t xml:space="preserve">Conclusion……………………………………………………………………………………………… </w:t>
      </w:r>
      <w:r w:rsidR="00257252">
        <w:t>8</w:t>
      </w:r>
    </w:p>
    <w:p w14:paraId="0A9CB9AA" w14:textId="748B3455" w:rsidR="007D7699" w:rsidRDefault="007D7699" w:rsidP="007D7699">
      <w:r>
        <w:t xml:space="preserve">Reference list…………………………………………………………………………………………… </w:t>
      </w:r>
      <w:r w:rsidR="00257252">
        <w:t>9</w:t>
      </w:r>
    </w:p>
    <w:p w14:paraId="312CD820" w14:textId="77777777" w:rsidR="00D81FA5" w:rsidRDefault="00D81FA5" w:rsidP="00C01831"/>
    <w:p w14:paraId="6F48A92D" w14:textId="77777777" w:rsidR="00D81FA5" w:rsidRDefault="00D81FA5" w:rsidP="00C01831"/>
    <w:p w14:paraId="77E4118A" w14:textId="77777777" w:rsidR="00D81FA5" w:rsidRDefault="00D81FA5" w:rsidP="00C01831"/>
    <w:p w14:paraId="2804A133" w14:textId="77777777" w:rsidR="00D81FA5" w:rsidRDefault="00D81FA5" w:rsidP="00C01831"/>
    <w:p w14:paraId="70364889" w14:textId="77777777" w:rsidR="00D81FA5" w:rsidRDefault="00D81FA5" w:rsidP="00C01831"/>
    <w:p w14:paraId="547EA8A8" w14:textId="77777777" w:rsidR="00D81FA5" w:rsidRDefault="00D81FA5" w:rsidP="00C01831"/>
    <w:p w14:paraId="4F92C4B7" w14:textId="77777777" w:rsidR="00D81FA5" w:rsidRDefault="00D81FA5" w:rsidP="00C01831"/>
    <w:p w14:paraId="064793DC" w14:textId="77777777" w:rsidR="00D81FA5" w:rsidRDefault="00D81FA5" w:rsidP="00C01831"/>
    <w:p w14:paraId="0EE69ECB" w14:textId="77777777" w:rsidR="00701DA6" w:rsidRDefault="00701DA6" w:rsidP="00C01831"/>
    <w:p w14:paraId="7AD8C976" w14:textId="77777777" w:rsidR="000E522B" w:rsidRDefault="000E522B" w:rsidP="00C01831">
      <w:pPr>
        <w:rPr>
          <w:rFonts w:ascii="Arial" w:hAnsi="Arial" w:cs="Arial"/>
          <w:b/>
          <w:bCs/>
        </w:rPr>
      </w:pPr>
    </w:p>
    <w:p w14:paraId="7C005A51" w14:textId="77777777" w:rsidR="000E522B" w:rsidRDefault="000E522B" w:rsidP="00C01831">
      <w:pPr>
        <w:rPr>
          <w:rFonts w:ascii="Arial" w:hAnsi="Arial" w:cs="Arial"/>
          <w:b/>
          <w:bCs/>
        </w:rPr>
      </w:pPr>
    </w:p>
    <w:p w14:paraId="70B60FE3" w14:textId="77777777" w:rsidR="000E522B" w:rsidRDefault="000E522B" w:rsidP="00C01831">
      <w:pPr>
        <w:rPr>
          <w:rFonts w:ascii="Arial" w:hAnsi="Arial" w:cs="Arial"/>
          <w:b/>
          <w:bCs/>
        </w:rPr>
      </w:pPr>
    </w:p>
    <w:p w14:paraId="0F5EC6DE" w14:textId="77777777" w:rsidR="000E522B" w:rsidRDefault="000E522B" w:rsidP="00C01831">
      <w:pPr>
        <w:rPr>
          <w:rFonts w:ascii="Arial" w:hAnsi="Arial" w:cs="Arial"/>
          <w:b/>
          <w:bCs/>
        </w:rPr>
      </w:pPr>
    </w:p>
    <w:p w14:paraId="12E9B741" w14:textId="77777777" w:rsidR="000E522B" w:rsidRDefault="000E522B" w:rsidP="00C01831">
      <w:pPr>
        <w:rPr>
          <w:rFonts w:ascii="Arial" w:hAnsi="Arial" w:cs="Arial"/>
          <w:b/>
          <w:bCs/>
        </w:rPr>
      </w:pPr>
    </w:p>
    <w:p w14:paraId="378A49A8" w14:textId="77777777" w:rsidR="000E522B" w:rsidRDefault="000E522B" w:rsidP="00C01831">
      <w:pPr>
        <w:rPr>
          <w:rFonts w:ascii="Arial" w:hAnsi="Arial" w:cs="Arial"/>
          <w:b/>
          <w:bCs/>
        </w:rPr>
      </w:pPr>
    </w:p>
    <w:p w14:paraId="43EE0321" w14:textId="77777777" w:rsidR="000E522B" w:rsidRDefault="000E522B" w:rsidP="00C01831">
      <w:pPr>
        <w:rPr>
          <w:rFonts w:ascii="Arial" w:hAnsi="Arial" w:cs="Arial"/>
          <w:b/>
          <w:bCs/>
        </w:rPr>
      </w:pPr>
    </w:p>
    <w:p w14:paraId="5E6FA11C" w14:textId="77777777" w:rsidR="000E522B" w:rsidRDefault="000E522B" w:rsidP="00C01831">
      <w:pPr>
        <w:rPr>
          <w:rFonts w:ascii="Arial" w:hAnsi="Arial" w:cs="Arial"/>
          <w:b/>
          <w:bCs/>
        </w:rPr>
      </w:pPr>
    </w:p>
    <w:p w14:paraId="2A297FFE" w14:textId="77777777" w:rsidR="000E522B" w:rsidRDefault="000E522B" w:rsidP="00C01831">
      <w:pPr>
        <w:rPr>
          <w:rFonts w:ascii="Arial" w:hAnsi="Arial" w:cs="Arial"/>
          <w:b/>
          <w:bCs/>
        </w:rPr>
      </w:pPr>
    </w:p>
    <w:p w14:paraId="3D8A558D" w14:textId="77777777" w:rsidR="000E522B" w:rsidRDefault="000E522B" w:rsidP="00C01831">
      <w:pPr>
        <w:rPr>
          <w:rFonts w:ascii="Arial" w:hAnsi="Arial" w:cs="Arial"/>
          <w:b/>
          <w:bCs/>
        </w:rPr>
      </w:pPr>
    </w:p>
    <w:p w14:paraId="34657E10" w14:textId="6E3D3796" w:rsidR="00FF0888" w:rsidRPr="00C22DF1" w:rsidRDefault="008C0403" w:rsidP="00C01831">
      <w:pPr>
        <w:rPr>
          <w:rFonts w:ascii="Arial" w:hAnsi="Arial" w:cs="Arial"/>
          <w:b/>
          <w:bCs/>
        </w:rPr>
      </w:pPr>
      <w:r w:rsidRPr="00C22DF1">
        <w:rPr>
          <w:rFonts w:ascii="Arial" w:hAnsi="Arial" w:cs="Arial"/>
          <w:b/>
          <w:bCs/>
        </w:rPr>
        <w:lastRenderedPageBreak/>
        <w:t>Introduction</w:t>
      </w:r>
    </w:p>
    <w:p w14:paraId="4B5FCD72" w14:textId="77777777" w:rsidR="00FF0888" w:rsidRDefault="00FF0888" w:rsidP="00C01831">
      <w:pPr>
        <w:rPr>
          <w:rFonts w:ascii="Arial" w:hAnsi="Arial" w:cs="Arial"/>
        </w:rPr>
      </w:pPr>
    </w:p>
    <w:p w14:paraId="7700106E" w14:textId="77777777" w:rsidR="001B02A3" w:rsidRDefault="00C01831" w:rsidP="00765EF4">
      <w:pPr>
        <w:spacing w:line="360" w:lineRule="auto"/>
        <w:jc w:val="both"/>
        <w:rPr>
          <w:rFonts w:ascii="Arial" w:hAnsi="Arial" w:cs="Arial"/>
        </w:rPr>
      </w:pPr>
      <w:r w:rsidRPr="00C01831">
        <w:rPr>
          <w:rFonts w:ascii="Arial" w:hAnsi="Arial" w:cs="Arial"/>
        </w:rPr>
        <w:t>Person-centred care and partnership working are fundamental principles within modern health and social care practice. They underpin high-quality service delivery by ensuring that individuals are treated with dignity, respect, and autonomy, while also promoting collaboration among professionals, service users, families, and wider support networks. This report evaluates the significance, strengths, and challenges of person-centred care and partnership working, drawing upon relevant theories, policies, and practical examples.</w:t>
      </w:r>
    </w:p>
    <w:p w14:paraId="6BF4C7F0" w14:textId="3525677E" w:rsidR="0063436C" w:rsidRDefault="0063436C" w:rsidP="00765EF4">
      <w:pPr>
        <w:spacing w:line="360" w:lineRule="auto"/>
        <w:jc w:val="both"/>
        <w:rPr>
          <w:rFonts w:ascii="Arial" w:hAnsi="Arial" w:cs="Arial"/>
        </w:rPr>
      </w:pPr>
      <w:r w:rsidRPr="00FF0888">
        <w:rPr>
          <w:rFonts w:ascii="Arial" w:hAnsi="Arial" w:cs="Arial"/>
          <w:lang w:val="en-US"/>
        </w:rPr>
        <w:t>I have chosen to explore the application of partnership working in the health and social care setting of a hospital. I have chosen to use this example as the hospital is built up of many different job roles and links to other healthcare professionals outside of the hospital. As inpatients and outpatients in a hospital may require you to have further care outside of the hospital through various other health care services.</w:t>
      </w:r>
    </w:p>
    <w:p w14:paraId="26B12223" w14:textId="07E35461" w:rsidR="00C22DF1" w:rsidRDefault="002D4D21" w:rsidP="00765EF4">
      <w:pPr>
        <w:spacing w:line="360" w:lineRule="auto"/>
        <w:jc w:val="both"/>
        <w:rPr>
          <w:rFonts w:ascii="Arial" w:hAnsi="Arial" w:cs="Arial"/>
          <w:b/>
          <w:bCs/>
        </w:rPr>
      </w:pPr>
      <w:r w:rsidRPr="002D4D21">
        <w:rPr>
          <w:rFonts w:ascii="Arial" w:hAnsi="Arial" w:cs="Arial"/>
          <w:b/>
          <w:bCs/>
        </w:rPr>
        <w:t>Main Body</w:t>
      </w:r>
    </w:p>
    <w:p w14:paraId="1FA6F857" w14:textId="16728969" w:rsidR="00426155" w:rsidRPr="00C01831" w:rsidRDefault="00426155" w:rsidP="00765EF4">
      <w:pPr>
        <w:spacing w:line="360" w:lineRule="auto"/>
        <w:jc w:val="both"/>
        <w:rPr>
          <w:rFonts w:ascii="Arial" w:hAnsi="Arial" w:cs="Arial"/>
          <w:b/>
          <w:bCs/>
        </w:rPr>
      </w:pPr>
      <w:r>
        <w:rPr>
          <w:rFonts w:ascii="Arial" w:hAnsi="Arial" w:cs="Arial"/>
          <w:b/>
          <w:bCs/>
        </w:rPr>
        <w:t>Definition of PCC</w:t>
      </w:r>
    </w:p>
    <w:p w14:paraId="028F094F" w14:textId="1993280B" w:rsidR="00B82287" w:rsidRPr="00B82287" w:rsidRDefault="00C01831" w:rsidP="00765EF4">
      <w:pPr>
        <w:spacing w:line="360" w:lineRule="auto"/>
        <w:jc w:val="both"/>
        <w:rPr>
          <w:rFonts w:ascii="Arial" w:hAnsi="Arial" w:cs="Arial"/>
        </w:rPr>
      </w:pPr>
      <w:r w:rsidRPr="00FF0888">
        <w:rPr>
          <w:rFonts w:ascii="Arial" w:hAnsi="Arial" w:cs="Arial"/>
        </w:rPr>
        <w:t>. </w:t>
      </w:r>
      <w:r w:rsidR="00B82287" w:rsidRPr="00B82287">
        <w:rPr>
          <w:rFonts w:ascii="Arial" w:hAnsi="Arial" w:cs="Arial"/>
        </w:rPr>
        <w:t>Person-centred care focuses on the care needs of an individual. It is a term used to describe care which is responsive to an individual’s personal circumstances, values, needs and preferences (National Institute for Health and Care Excellence, 2012). By adhering to person-centred care principles, staff are empowered to work flexibly within processes and systems to provide care that is tailored to the patient’s individual requirement</w:t>
      </w:r>
      <w:r w:rsidR="00706D69">
        <w:rPr>
          <w:rFonts w:ascii="Arial" w:hAnsi="Arial" w:cs="Arial"/>
        </w:rPr>
        <w:t>.</w:t>
      </w:r>
    </w:p>
    <w:p w14:paraId="33161112" w14:textId="429186EC" w:rsidR="000303CC" w:rsidRDefault="000303CC" w:rsidP="00765EF4">
      <w:pPr>
        <w:spacing w:line="360" w:lineRule="auto"/>
        <w:jc w:val="both"/>
        <w:rPr>
          <w:rFonts w:ascii="Arial" w:hAnsi="Arial" w:cs="Arial"/>
          <w:b/>
          <w:bCs/>
          <w:color w:val="000000" w:themeColor="text1"/>
        </w:rPr>
      </w:pPr>
      <w:r w:rsidRPr="000303CC">
        <w:rPr>
          <w:rFonts w:ascii="Arial" w:hAnsi="Arial" w:cs="Arial"/>
          <w:b/>
          <w:bCs/>
          <w:color w:val="000000" w:themeColor="text1"/>
        </w:rPr>
        <w:t>Advantages of PCC</w:t>
      </w:r>
    </w:p>
    <w:p w14:paraId="56142B4F" w14:textId="4376973F" w:rsidR="00F715FC" w:rsidRDefault="00F715FC" w:rsidP="00765EF4">
      <w:pPr>
        <w:spacing w:line="360" w:lineRule="auto"/>
        <w:jc w:val="both"/>
        <w:rPr>
          <w:rFonts w:ascii="Arial" w:hAnsi="Arial" w:cs="Arial"/>
        </w:rPr>
      </w:pPr>
      <w:r w:rsidRPr="00F715FC">
        <w:rPr>
          <w:rFonts w:ascii="Arial" w:hAnsi="Arial" w:cs="Arial"/>
        </w:rPr>
        <w:t>Another advantage is that person-centred care promotes equality and diversity (Department of Health, 2012). By tailoring care to individual needs, practitioners can address cultural, religious, and personal differences. This is particularly important in diverse societies. Additionally, legislation such as the Care Act 2014 in the UK supports person-centred approaches by emphasising wellbeing and individual rights (Care Act 2014, 2014).</w:t>
      </w:r>
    </w:p>
    <w:p w14:paraId="4C06D5E3" w14:textId="34AD9950" w:rsidR="003D3DFA" w:rsidRPr="00C01831" w:rsidRDefault="003D3DFA" w:rsidP="00765EF4">
      <w:pPr>
        <w:spacing w:line="360" w:lineRule="auto"/>
        <w:jc w:val="both"/>
        <w:rPr>
          <w:rFonts w:ascii="Arial" w:hAnsi="Arial" w:cs="Arial"/>
        </w:rPr>
      </w:pPr>
      <w:r w:rsidRPr="003D3DFA">
        <w:rPr>
          <w:rFonts w:ascii="Arial" w:hAnsi="Arial" w:cs="Arial"/>
        </w:rPr>
        <w:t>One of the primary strengths of person-centred care is its ability to improve outcomes for individuals (World Health Organization, 2016). When people are involved in decisions about their care, they are more likely to engage positively with services and adhere to treatment plans. For example, a patient with a serious illness who is consulted about their care preferences may feel more empowered, respected, and satisfied with the support they receive.</w:t>
      </w:r>
    </w:p>
    <w:p w14:paraId="12A0D048" w14:textId="77777777" w:rsidR="00385EE9" w:rsidRDefault="00385EE9" w:rsidP="00765EF4">
      <w:pPr>
        <w:spacing w:line="360" w:lineRule="auto"/>
        <w:jc w:val="both"/>
        <w:rPr>
          <w:rFonts w:ascii="Arial" w:hAnsi="Arial" w:cs="Arial"/>
          <w:b/>
          <w:bCs/>
          <w:color w:val="000000" w:themeColor="text1"/>
        </w:rPr>
      </w:pPr>
    </w:p>
    <w:p w14:paraId="7BCC31F7" w14:textId="77777777" w:rsidR="00385EE9" w:rsidRDefault="00385EE9" w:rsidP="00765EF4">
      <w:pPr>
        <w:spacing w:line="360" w:lineRule="auto"/>
        <w:jc w:val="both"/>
        <w:rPr>
          <w:rFonts w:ascii="Arial" w:hAnsi="Arial" w:cs="Arial"/>
          <w:b/>
          <w:bCs/>
          <w:color w:val="000000" w:themeColor="text1"/>
        </w:rPr>
      </w:pPr>
    </w:p>
    <w:p w14:paraId="59FB426A" w14:textId="3E631FEA" w:rsidR="000303CC" w:rsidRDefault="000303CC" w:rsidP="00765EF4">
      <w:pPr>
        <w:spacing w:line="360" w:lineRule="auto"/>
        <w:jc w:val="both"/>
        <w:rPr>
          <w:rFonts w:ascii="Arial" w:hAnsi="Arial" w:cs="Arial"/>
          <w:b/>
          <w:bCs/>
          <w:color w:val="000000" w:themeColor="text1"/>
        </w:rPr>
      </w:pPr>
      <w:r w:rsidRPr="000303CC">
        <w:rPr>
          <w:rFonts w:ascii="Arial" w:hAnsi="Arial" w:cs="Arial"/>
          <w:b/>
          <w:bCs/>
          <w:color w:val="000000" w:themeColor="text1"/>
        </w:rPr>
        <w:lastRenderedPageBreak/>
        <w:t>Limitations of PCC</w:t>
      </w:r>
    </w:p>
    <w:p w14:paraId="2D30946B" w14:textId="07CAF14D" w:rsidR="00524B0D" w:rsidRDefault="00257252" w:rsidP="00765EF4">
      <w:pPr>
        <w:spacing w:line="360" w:lineRule="auto"/>
        <w:jc w:val="both"/>
        <w:rPr>
          <w:rFonts w:ascii="Arial" w:hAnsi="Arial" w:cs="Arial"/>
        </w:rPr>
      </w:pPr>
      <w:r w:rsidRPr="00FF0888">
        <w:rPr>
          <w:rFonts w:ascii="Arial" w:hAnsi="Arial" w:cs="Arial"/>
        </w:rPr>
        <w:t>.</w:t>
      </w:r>
      <w:r w:rsidRPr="00524B0D">
        <w:rPr>
          <w:rFonts w:ascii="Arial" w:hAnsi="Arial" w:cs="Arial"/>
        </w:rPr>
        <w:t xml:space="preserve"> However</w:t>
      </w:r>
      <w:r w:rsidR="00524B0D" w:rsidRPr="00524B0D">
        <w:rPr>
          <w:rFonts w:ascii="Arial" w:hAnsi="Arial" w:cs="Arial"/>
        </w:rPr>
        <w:t>, despite its benefits, person-centred care presents several challenges. One limitation is the potential conflict between individual preferences and organisational issues, such as limited resources, time pressures, and staffing shortages (National Institute for Health and Care Excellence, 2012). For instance, healthcare professionals may struggle to provide fully personalised care when managing high caseloads. In addition, there may be situations where an individual’s choices can pose risks to their safety.</w:t>
      </w:r>
    </w:p>
    <w:p w14:paraId="76D76227" w14:textId="1CE14BBF" w:rsidR="000303CC" w:rsidRPr="000303CC" w:rsidRDefault="000303CC" w:rsidP="00765EF4">
      <w:pPr>
        <w:spacing w:line="360" w:lineRule="auto"/>
        <w:jc w:val="both"/>
        <w:rPr>
          <w:rFonts w:ascii="Arial" w:hAnsi="Arial" w:cs="Arial"/>
          <w:b/>
          <w:bCs/>
          <w:color w:val="EE0000"/>
        </w:rPr>
      </w:pPr>
      <w:r w:rsidRPr="000303CC">
        <w:rPr>
          <w:rFonts w:ascii="Arial" w:hAnsi="Arial" w:cs="Arial"/>
          <w:b/>
          <w:bCs/>
        </w:rPr>
        <w:t>Theoretical perspectives</w:t>
      </w:r>
    </w:p>
    <w:p w14:paraId="0DAB334A" w14:textId="77777777" w:rsidR="00D64A38" w:rsidRPr="00D64A38" w:rsidRDefault="00D64A38" w:rsidP="00765EF4">
      <w:pPr>
        <w:spacing w:line="360" w:lineRule="auto"/>
        <w:jc w:val="both"/>
        <w:rPr>
          <w:rFonts w:ascii="Arial" w:hAnsi="Arial" w:cs="Arial"/>
        </w:rPr>
      </w:pPr>
      <w:r w:rsidRPr="00D64A38">
        <w:rPr>
          <w:rFonts w:ascii="Arial" w:hAnsi="Arial" w:cs="Arial"/>
        </w:rPr>
        <w:t>One of the most influential theories is the humanistic theory developed by Carl Rogers, which promotes empathy, unconditional positive regard and genuineness in therapeutic relationships (Rogers, 1951). This theory is highly relevant when using person-centred care, as it encourages practitioners to view patients as individuals with unique experiences rather than focusing solely on their condition. In the context of breast cancer, this approach supports emotional wellbeing by enabling patients to express fears and participate in decisions about their treatment (Rogers, 1951).</w:t>
      </w:r>
    </w:p>
    <w:p w14:paraId="7BDB6789" w14:textId="77777777" w:rsidR="00D64A38" w:rsidRPr="00D64A38" w:rsidRDefault="00D64A38" w:rsidP="00765EF4">
      <w:pPr>
        <w:spacing w:line="360" w:lineRule="auto"/>
        <w:jc w:val="both"/>
        <w:rPr>
          <w:rFonts w:ascii="Arial" w:hAnsi="Arial" w:cs="Arial"/>
        </w:rPr>
      </w:pPr>
      <w:r w:rsidRPr="00D64A38">
        <w:rPr>
          <w:rFonts w:ascii="Arial" w:hAnsi="Arial" w:cs="Arial"/>
        </w:rPr>
        <w:t>However, despite its strengths, Rogers’ theory can be criticised for being idealistic, as time constraints and high patient workloads in clinical settings may limit the ability of healthcare professionals to consistently deliver deeply personalised care (Rogers, 1951). Similarly, Tom Kitwood’s theory of personhood reinforces the importance of maintaining dignity, identity and respect, highlighting that individuals should not be defined by their illness (</w:t>
      </w:r>
      <w:proofErr w:type="spellStart"/>
      <w:r w:rsidRPr="00D64A38">
        <w:rPr>
          <w:rFonts w:ascii="Arial" w:hAnsi="Arial" w:cs="Arial"/>
        </w:rPr>
        <w:t>Kitwood</w:t>
      </w:r>
      <w:proofErr w:type="spellEnd"/>
      <w:r w:rsidRPr="00D64A38">
        <w:rPr>
          <w:rFonts w:ascii="Arial" w:hAnsi="Arial" w:cs="Arial"/>
        </w:rPr>
        <w:t>, 1997). While this enhances holistic care, it may be difficult to implement fully due to resource limitations within healthcare systems (</w:t>
      </w:r>
      <w:proofErr w:type="spellStart"/>
      <w:r w:rsidRPr="00D64A38">
        <w:rPr>
          <w:rFonts w:ascii="Arial" w:hAnsi="Arial" w:cs="Arial"/>
        </w:rPr>
        <w:t>Kitwood</w:t>
      </w:r>
      <w:proofErr w:type="spellEnd"/>
      <w:r w:rsidRPr="00D64A38">
        <w:rPr>
          <w:rFonts w:ascii="Arial" w:hAnsi="Arial" w:cs="Arial"/>
        </w:rPr>
        <w:t>, 1997).</w:t>
      </w:r>
    </w:p>
    <w:p w14:paraId="2EEC0099" w14:textId="43B73155" w:rsidR="00813A60" w:rsidRDefault="00973FA5" w:rsidP="00765EF4">
      <w:pPr>
        <w:spacing w:line="360" w:lineRule="auto"/>
        <w:jc w:val="both"/>
        <w:rPr>
          <w:rFonts w:ascii="Arial" w:hAnsi="Arial" w:cs="Arial"/>
          <w:b/>
          <w:bCs/>
        </w:rPr>
      </w:pPr>
      <w:r w:rsidRPr="00973FA5">
        <w:rPr>
          <w:rFonts w:ascii="Arial" w:hAnsi="Arial" w:cs="Arial"/>
          <w:b/>
          <w:bCs/>
        </w:rPr>
        <w:t>Ethical fundamentals</w:t>
      </w:r>
    </w:p>
    <w:p w14:paraId="07E93A51" w14:textId="77777777" w:rsidR="00074090" w:rsidRDefault="00973FA5" w:rsidP="00765EF4">
      <w:pPr>
        <w:spacing w:line="360" w:lineRule="auto"/>
        <w:jc w:val="both"/>
        <w:rPr>
          <w:rFonts w:ascii="Arial" w:hAnsi="Arial" w:cs="Arial"/>
          <w:b/>
          <w:bCs/>
        </w:rPr>
      </w:pPr>
      <w:r w:rsidRPr="000856D1">
        <w:rPr>
          <w:rFonts w:ascii="Arial" w:hAnsi="Arial" w:cs="Arial"/>
        </w:rPr>
        <w:t xml:space="preserve">Define </w:t>
      </w:r>
      <w:r w:rsidR="00075E10" w:rsidRPr="000856D1">
        <w:rPr>
          <w:rFonts w:ascii="Arial" w:hAnsi="Arial" w:cs="Arial"/>
        </w:rPr>
        <w:t>ethics</w:t>
      </w:r>
      <w:r w:rsidR="00075E10" w:rsidRPr="000856D1">
        <w:rPr>
          <w:rFonts w:ascii="Times New Roman" w:eastAsia="Times New Roman" w:hAnsi="Times New Roman" w:cs="Times New Roman"/>
          <w:kern w:val="0"/>
          <w:sz w:val="24"/>
          <w:szCs w:val="24"/>
          <w:lang w:eastAsia="en-GB"/>
          <w14:ligatures w14:val="none"/>
        </w:rPr>
        <w:t xml:space="preserve"> </w:t>
      </w:r>
      <w:r w:rsidR="00075E10" w:rsidRPr="000856D1">
        <w:rPr>
          <w:rFonts w:ascii="Arial" w:hAnsi="Arial" w:cs="Arial"/>
        </w:rPr>
        <w:t>refers</w:t>
      </w:r>
      <w:r w:rsidR="003F2D8C" w:rsidRPr="000856D1">
        <w:rPr>
          <w:rFonts w:ascii="Arial" w:hAnsi="Arial" w:cs="Arial"/>
        </w:rPr>
        <w:t xml:space="preserve"> to the principles and values that guide what is considered right and wrong behaviour. It involves making moral decisions and acting in ways that are fair, honest, respectful, and responsible. In health and social care, ethics helps professionals decide how to treat individuals appropriately while respecting their rights, dignity, and wellbeing</w:t>
      </w:r>
      <w:r w:rsidR="003F2D8C" w:rsidRPr="000E1C33">
        <w:rPr>
          <w:rFonts w:ascii="Arial" w:hAnsi="Arial" w:cs="Arial"/>
          <w:b/>
          <w:bCs/>
        </w:rPr>
        <w:t>.</w:t>
      </w:r>
    </w:p>
    <w:p w14:paraId="75A8581D" w14:textId="668498DD" w:rsidR="00F2737C" w:rsidRPr="000015E4" w:rsidRDefault="00F2737C" w:rsidP="00765EF4">
      <w:pPr>
        <w:spacing w:line="360" w:lineRule="auto"/>
        <w:jc w:val="both"/>
        <w:rPr>
          <w:rFonts w:ascii="Arial" w:hAnsi="Arial" w:cs="Arial"/>
          <w:b/>
          <w:bCs/>
        </w:rPr>
      </w:pPr>
      <w:r w:rsidRPr="000015E4">
        <w:rPr>
          <w:rFonts w:ascii="Arial" w:hAnsi="Arial" w:cs="Arial"/>
          <w:b/>
          <w:bCs/>
        </w:rPr>
        <w:t>E</w:t>
      </w:r>
      <w:r w:rsidR="000015E4" w:rsidRPr="000015E4">
        <w:rPr>
          <w:rFonts w:ascii="Arial" w:hAnsi="Arial" w:cs="Arial"/>
          <w:b/>
          <w:bCs/>
        </w:rPr>
        <w:t xml:space="preserve">thical Fundamentals in Health and Social Care </w:t>
      </w:r>
    </w:p>
    <w:p w14:paraId="0D983404" w14:textId="1D961309" w:rsidR="001044B0" w:rsidRPr="000015E4" w:rsidRDefault="001044B0" w:rsidP="00765EF4">
      <w:pPr>
        <w:spacing w:line="360" w:lineRule="auto"/>
        <w:jc w:val="both"/>
        <w:rPr>
          <w:rFonts w:ascii="Arial" w:hAnsi="Arial" w:cs="Arial"/>
        </w:rPr>
      </w:pPr>
      <w:r w:rsidRPr="000015E4">
        <w:rPr>
          <w:rFonts w:ascii="Arial" w:hAnsi="Arial" w:cs="Arial"/>
        </w:rPr>
        <w:t>Ethical principles such as autonomy, beneficence, and non</w:t>
      </w:r>
      <w:r w:rsidRPr="000015E4">
        <w:rPr>
          <w:rFonts w:ascii="Arial" w:hAnsi="Arial" w:cs="Arial"/>
        </w:rPr>
        <w:noBreakHyphen/>
        <w:t>maleficence guide good practice in health and social care and link directly to person</w:t>
      </w:r>
      <w:r w:rsidRPr="000015E4">
        <w:rPr>
          <w:rFonts w:ascii="Arial" w:hAnsi="Arial" w:cs="Arial"/>
        </w:rPr>
        <w:noBreakHyphen/>
        <w:t>centred care (PCC). Autonomy means respecting a patient’s right to make their own decisions, which is essential in PCC because care should be based on the person’s preferences and values. Beneficence involves acting in the patient’s best interests, while non</w:t>
      </w:r>
      <w:r w:rsidRPr="000015E4">
        <w:rPr>
          <w:rFonts w:ascii="Arial" w:hAnsi="Arial" w:cs="Arial"/>
        </w:rPr>
        <w:noBreakHyphen/>
        <w:t xml:space="preserve">maleficence means avoiding harm; both support PCC </w:t>
      </w:r>
      <w:r w:rsidRPr="000015E4">
        <w:rPr>
          <w:rFonts w:ascii="Arial" w:hAnsi="Arial" w:cs="Arial"/>
        </w:rPr>
        <w:lastRenderedPageBreak/>
        <w:t>by ensuring care is safe, compassionate and tailored to individual needs. These principles often create dilemmas in hospital settings. For example, a patient may refuse a treatment that clinicians believe is beneficial, creating tension between autonomy and beneficence. In such cases, staff can resolve the dilemma by giving clear information, exploring concerns, and respecting the patient’s final decision. Another dilemma occurs when a patient with dementia becomes distressed during personal care; although staff may want to complete tasks quickly, beneficence and non</w:t>
      </w:r>
      <w:r w:rsidRPr="000015E4">
        <w:rPr>
          <w:rFonts w:ascii="Arial" w:hAnsi="Arial" w:cs="Arial"/>
        </w:rPr>
        <w:noBreakHyphen/>
        <w:t>maleficence require slowing down and adapting care to reduce distress. These principles provide a framework for resolving ethical challenges and ensuring PCC remains respectful and saf</w:t>
      </w:r>
      <w:r w:rsidR="00860CB4" w:rsidRPr="000015E4">
        <w:rPr>
          <w:rFonts w:ascii="Arial" w:hAnsi="Arial" w:cs="Arial"/>
        </w:rPr>
        <w:t>e.</w:t>
      </w:r>
    </w:p>
    <w:p w14:paraId="6EAFDB89" w14:textId="0DC29663" w:rsidR="000752D3" w:rsidRPr="00C01831" w:rsidRDefault="006E1E0D" w:rsidP="00765EF4">
      <w:pPr>
        <w:spacing w:line="360" w:lineRule="auto"/>
        <w:jc w:val="both"/>
        <w:rPr>
          <w:rFonts w:ascii="Arial" w:hAnsi="Arial" w:cs="Arial"/>
          <w:b/>
          <w:bCs/>
        </w:rPr>
      </w:pPr>
      <w:r w:rsidRPr="002527FC">
        <w:rPr>
          <w:rFonts w:ascii="Arial" w:hAnsi="Arial" w:cs="Arial"/>
          <w:b/>
          <w:bCs/>
        </w:rPr>
        <w:t xml:space="preserve">Evaluation </w:t>
      </w:r>
      <w:r w:rsidR="002527FC" w:rsidRPr="002527FC">
        <w:rPr>
          <w:rFonts w:ascii="Arial" w:hAnsi="Arial" w:cs="Arial"/>
          <w:b/>
          <w:bCs/>
        </w:rPr>
        <w:t>of Partnership working</w:t>
      </w:r>
    </w:p>
    <w:p w14:paraId="2B63AF0A" w14:textId="2C468C5F" w:rsidR="00037A16" w:rsidRPr="00C01831" w:rsidRDefault="00037A16" w:rsidP="00765EF4">
      <w:pPr>
        <w:spacing w:line="360" w:lineRule="auto"/>
        <w:jc w:val="both"/>
        <w:rPr>
          <w:rFonts w:ascii="Arial" w:hAnsi="Arial" w:cs="Arial"/>
        </w:rPr>
      </w:pPr>
      <w:r w:rsidRPr="00037A16">
        <w:rPr>
          <w:rFonts w:ascii="Arial" w:hAnsi="Arial" w:cs="Arial"/>
        </w:rPr>
        <w:t>Partnership working refers to the collaboration between a range of stakeholders involved in delivering care and support. This includes multidisciplinary teams, organisations, service users, families, and carers (Department of Health, 2012). Effective partnership working is essential for ensuring care is holistic, coordinated, and person-centred, particularly for individuals with complex or multiple needs. By sharing information, expertise, and responsibilities, professionals can work together to improve outcomes and provide more consistent and efficient support.</w:t>
      </w:r>
    </w:p>
    <w:p w14:paraId="129E5B24" w14:textId="053588DD" w:rsidR="002527FC" w:rsidRPr="002527FC" w:rsidRDefault="002527FC" w:rsidP="00765EF4">
      <w:pPr>
        <w:spacing w:line="360" w:lineRule="auto"/>
        <w:jc w:val="both"/>
        <w:rPr>
          <w:rFonts w:ascii="Arial" w:hAnsi="Arial" w:cs="Arial"/>
          <w:b/>
          <w:bCs/>
        </w:rPr>
      </w:pPr>
      <w:r w:rsidRPr="002527FC">
        <w:rPr>
          <w:rFonts w:ascii="Arial" w:hAnsi="Arial" w:cs="Arial"/>
          <w:b/>
          <w:bCs/>
        </w:rPr>
        <w:t xml:space="preserve">Advantages of Partnership working </w:t>
      </w:r>
    </w:p>
    <w:p w14:paraId="377C61B8" w14:textId="77777777" w:rsidR="00327CE4" w:rsidRPr="00327CE4" w:rsidRDefault="00327CE4" w:rsidP="00765EF4">
      <w:pPr>
        <w:spacing w:line="360" w:lineRule="auto"/>
        <w:jc w:val="both"/>
        <w:rPr>
          <w:rFonts w:ascii="Arial" w:hAnsi="Arial" w:cs="Arial"/>
        </w:rPr>
      </w:pPr>
      <w:r w:rsidRPr="00327CE4">
        <w:rPr>
          <w:rFonts w:ascii="Arial" w:hAnsi="Arial" w:cs="Arial"/>
        </w:rPr>
        <w:t>One key benefit of partnership working is improved communication and information sharing. When professionals from different areas work together, they can share expertise and insights, leading to more comprehensive care plans (Department of Health, 2012).</w:t>
      </w:r>
    </w:p>
    <w:p w14:paraId="39BDAB55" w14:textId="77777777" w:rsidR="00327CE4" w:rsidRPr="00327CE4" w:rsidRDefault="00327CE4" w:rsidP="00765EF4">
      <w:pPr>
        <w:spacing w:line="360" w:lineRule="auto"/>
        <w:jc w:val="both"/>
        <w:rPr>
          <w:rFonts w:ascii="Arial" w:hAnsi="Arial" w:cs="Arial"/>
        </w:rPr>
      </w:pPr>
      <w:r w:rsidRPr="00327CE4">
        <w:rPr>
          <w:rFonts w:ascii="Arial" w:hAnsi="Arial" w:cs="Arial"/>
        </w:rPr>
        <w:t>Partnership working also enhances continuity of care. By ensuring that all parties are informed and involved, individuals experience smoother transitions between services, such as from hospital to community care (National Institute for Health and Care Excellence, 2016). Furthermore, involving families and carers in the care process can provide additional emotional and practical support for the individual (National Institute for Health and Care Excellence, 2016).</w:t>
      </w:r>
    </w:p>
    <w:p w14:paraId="3C62AD67" w14:textId="77777777" w:rsidR="00327CE4" w:rsidRPr="00327CE4" w:rsidRDefault="00327CE4" w:rsidP="00765EF4">
      <w:pPr>
        <w:spacing w:line="360" w:lineRule="auto"/>
        <w:jc w:val="both"/>
        <w:rPr>
          <w:rFonts w:ascii="Arial" w:hAnsi="Arial" w:cs="Arial"/>
        </w:rPr>
      </w:pPr>
      <w:r w:rsidRPr="00327CE4">
        <w:rPr>
          <w:rFonts w:ascii="Arial" w:hAnsi="Arial" w:cs="Arial"/>
        </w:rPr>
        <w:t>Another advantage is improved patient outcomes. Integrated care allows for faster decision-making, continuity of care and better management of long-term conditions. Patients are also more likely to feel supported and involved in their care, enhancing satisfaction and wellbeing (World Health Organization, 2016).</w:t>
      </w:r>
    </w:p>
    <w:p w14:paraId="51BB3721" w14:textId="77777777" w:rsidR="00074090" w:rsidRDefault="00074090" w:rsidP="00765EF4">
      <w:pPr>
        <w:spacing w:line="360" w:lineRule="auto"/>
        <w:jc w:val="both"/>
        <w:rPr>
          <w:rFonts w:ascii="Arial" w:hAnsi="Arial" w:cs="Arial"/>
          <w:b/>
          <w:bCs/>
        </w:rPr>
      </w:pPr>
    </w:p>
    <w:p w14:paraId="0183E303" w14:textId="77777777" w:rsidR="00074090" w:rsidRDefault="00074090" w:rsidP="00765EF4">
      <w:pPr>
        <w:spacing w:line="360" w:lineRule="auto"/>
        <w:jc w:val="both"/>
        <w:rPr>
          <w:rFonts w:ascii="Arial" w:hAnsi="Arial" w:cs="Arial"/>
          <w:b/>
          <w:bCs/>
        </w:rPr>
      </w:pPr>
    </w:p>
    <w:p w14:paraId="4BC17AD8" w14:textId="5F5E79DB" w:rsidR="009D1612" w:rsidRPr="009D1612" w:rsidRDefault="002527FC" w:rsidP="00765EF4">
      <w:pPr>
        <w:spacing w:line="360" w:lineRule="auto"/>
        <w:jc w:val="both"/>
        <w:rPr>
          <w:rFonts w:ascii="Arial" w:hAnsi="Arial" w:cs="Arial"/>
          <w:b/>
          <w:bCs/>
        </w:rPr>
      </w:pPr>
      <w:r w:rsidRPr="002527FC">
        <w:rPr>
          <w:rFonts w:ascii="Arial" w:hAnsi="Arial" w:cs="Arial"/>
          <w:b/>
          <w:bCs/>
        </w:rPr>
        <w:lastRenderedPageBreak/>
        <w:t xml:space="preserve">Challenges of </w:t>
      </w:r>
      <w:r w:rsidR="005E2AE1" w:rsidRPr="002527FC">
        <w:rPr>
          <w:rFonts w:ascii="Arial" w:hAnsi="Arial" w:cs="Arial"/>
          <w:b/>
          <w:bCs/>
        </w:rPr>
        <w:t>Partnership</w:t>
      </w:r>
      <w:r w:rsidRPr="002527FC">
        <w:rPr>
          <w:rFonts w:ascii="Arial" w:hAnsi="Arial" w:cs="Arial"/>
          <w:b/>
          <w:bCs/>
        </w:rPr>
        <w:t xml:space="preserve"> working</w:t>
      </w:r>
    </w:p>
    <w:p w14:paraId="4AAB1F13" w14:textId="4D6E7AD8" w:rsidR="00ED21C2" w:rsidRPr="00C01831" w:rsidRDefault="00257252" w:rsidP="00765EF4">
      <w:pPr>
        <w:spacing w:line="360" w:lineRule="auto"/>
        <w:jc w:val="both"/>
        <w:rPr>
          <w:rFonts w:ascii="Arial" w:hAnsi="Arial" w:cs="Arial"/>
        </w:rPr>
      </w:pPr>
      <w:r w:rsidRPr="00C01831">
        <w:rPr>
          <w:rFonts w:ascii="Arial" w:hAnsi="Arial" w:cs="Arial"/>
        </w:rPr>
        <w:t>.</w:t>
      </w:r>
      <w:r w:rsidRPr="00ED21C2">
        <w:rPr>
          <w:rFonts w:ascii="Arial" w:hAnsi="Arial" w:cs="Arial"/>
        </w:rPr>
        <w:t xml:space="preserve"> Despite</w:t>
      </w:r>
      <w:r w:rsidR="00ED21C2" w:rsidRPr="00ED21C2">
        <w:rPr>
          <w:rFonts w:ascii="Arial" w:hAnsi="Arial" w:cs="Arial"/>
        </w:rPr>
        <w:t xml:space="preserve"> its benefits, partnership working presents several challenges. One major issue is communication barriers (World Health Organization, 2010). Miscommunication can lead to delays or errors in care delivery. There are also professional differences, including varying roles, responsibilities and approaches to care, which can result in conflict or lack of clarity and negatively impact patient care. The relationship between person-centred care and partnership working is closely interconnected. Effective partnership working supports person-centred care by enabling collaboration and shared decision-making. For example, involving a patient, their family, and a multidisciplinary team in care planning ensures that the individual’s preferences are respected while benefiting from professional expertise. Conversely, person-centred care provides a framework for partnership working by emphasising the importance of involving individuals as equal partners (National Institute for Health and Care Excellence, 2012). Successful implementation of both approaches requires strong leadership, clear communication, ongoing training, and systems that support collaboration and information sharing.</w:t>
      </w:r>
    </w:p>
    <w:p w14:paraId="6F1D4C7F" w14:textId="334B3D43" w:rsidR="0063436C" w:rsidRPr="0063436C" w:rsidRDefault="0063436C" w:rsidP="00765EF4">
      <w:pPr>
        <w:spacing w:line="360" w:lineRule="auto"/>
        <w:jc w:val="both"/>
        <w:rPr>
          <w:rFonts w:ascii="Arial" w:hAnsi="Arial" w:cs="Arial"/>
          <w:b/>
          <w:bCs/>
          <w:lang w:val="en-US"/>
        </w:rPr>
      </w:pPr>
      <w:r w:rsidRPr="0063436C">
        <w:rPr>
          <w:rFonts w:ascii="Arial" w:hAnsi="Arial" w:cs="Arial"/>
          <w:b/>
          <w:bCs/>
          <w:lang w:val="en-US"/>
        </w:rPr>
        <w:t xml:space="preserve">Policies and </w:t>
      </w:r>
      <w:r w:rsidR="009D1612" w:rsidRPr="0063436C">
        <w:rPr>
          <w:rFonts w:ascii="Arial" w:hAnsi="Arial" w:cs="Arial"/>
          <w:b/>
          <w:bCs/>
          <w:lang w:val="en-US"/>
        </w:rPr>
        <w:t>legislation</w:t>
      </w:r>
    </w:p>
    <w:p w14:paraId="5BCF774D" w14:textId="77777777" w:rsidR="0063436C" w:rsidRDefault="00FF0888" w:rsidP="00765EF4">
      <w:pPr>
        <w:spacing w:line="360" w:lineRule="auto"/>
        <w:jc w:val="both"/>
        <w:rPr>
          <w:rFonts w:ascii="Arial" w:hAnsi="Arial" w:cs="Arial"/>
          <w:lang w:val="en-US"/>
        </w:rPr>
      </w:pPr>
      <w:r w:rsidRPr="00FF0888">
        <w:rPr>
          <w:rFonts w:ascii="Arial" w:hAnsi="Arial" w:cs="Arial"/>
          <w:lang w:val="en-US"/>
        </w:rPr>
        <w:t xml:space="preserve">There are a few policies and legislations in relation to patient centered care and partnership working. Firstly, the Care Act 2014, its main aim of this act is to make sure that health and social care settings are patient centered and the care of the patient is the focus. This is shown by making sure that each patient under their care’s wellbeing needs is being met whether this is through just their care or liaising with other health care providers to ensure that they are receiving the best quality care to improve their health. </w:t>
      </w:r>
    </w:p>
    <w:p w14:paraId="57B55749" w14:textId="0D8E4BAD" w:rsidR="0063436C" w:rsidRDefault="00FF0888" w:rsidP="00765EF4">
      <w:pPr>
        <w:spacing w:line="360" w:lineRule="auto"/>
        <w:jc w:val="both"/>
        <w:rPr>
          <w:rFonts w:ascii="Arial" w:hAnsi="Arial" w:cs="Arial"/>
          <w:lang w:val="en-US"/>
        </w:rPr>
      </w:pPr>
      <w:r w:rsidRPr="00FF0888">
        <w:rPr>
          <w:rFonts w:ascii="Arial" w:hAnsi="Arial" w:cs="Arial"/>
          <w:lang w:val="en-US"/>
        </w:rPr>
        <w:t>Another key legislation in relation to partnership working is the Data Protection Act 2018, this legislation is very important within healthcare this is because when the patient is under multiple different care providers their data may need to be shared amongst the other care teams, it is vital that this is done confidentially and securely to reduce the risk of any of the patients data being leaked or put in places where it shouldn’t be accessed as the patients’ needs must always be priority which links this legislation also to patient centered care</w:t>
      </w:r>
      <w:r w:rsidR="009F5DE9">
        <w:rPr>
          <w:rFonts w:ascii="Arial" w:hAnsi="Arial" w:cs="Arial"/>
          <w:lang w:val="en-US"/>
        </w:rPr>
        <w:t>.</w:t>
      </w:r>
    </w:p>
    <w:p w14:paraId="68F90F47" w14:textId="65EDF522" w:rsidR="00FF0888" w:rsidRDefault="00FF0888" w:rsidP="00765EF4">
      <w:pPr>
        <w:spacing w:line="360" w:lineRule="auto"/>
        <w:jc w:val="both"/>
        <w:rPr>
          <w:rFonts w:ascii="Arial" w:hAnsi="Arial" w:cs="Arial"/>
          <w:lang w:val="en-US"/>
        </w:rPr>
      </w:pPr>
      <w:r w:rsidRPr="00FF0888">
        <w:rPr>
          <w:rFonts w:ascii="Arial" w:hAnsi="Arial" w:cs="Arial"/>
          <w:lang w:val="en-US"/>
        </w:rPr>
        <w:t xml:space="preserve">Finally, the Mental Capacity Act 2005. This act helps to ensure that people who lack the capacity to make any decisions regarding their own health are protected. Due to their lack of capacity, it usually means that family members and care professionals must work in </w:t>
      </w:r>
    </w:p>
    <w:p w14:paraId="34467E18" w14:textId="5FE05B83" w:rsidR="00C913D0" w:rsidRPr="00A838AD" w:rsidRDefault="00A838AD" w:rsidP="00765EF4">
      <w:pPr>
        <w:spacing w:line="360" w:lineRule="auto"/>
        <w:jc w:val="both"/>
        <w:rPr>
          <w:rFonts w:ascii="Arial" w:hAnsi="Arial" w:cs="Arial"/>
          <w:b/>
          <w:bCs/>
          <w:lang w:val="en-US"/>
        </w:rPr>
      </w:pPr>
      <w:r w:rsidRPr="00A838AD">
        <w:rPr>
          <w:rFonts w:ascii="Arial" w:hAnsi="Arial" w:cs="Arial"/>
          <w:b/>
          <w:bCs/>
          <w:lang w:val="en-US"/>
        </w:rPr>
        <w:t>Recommendations</w:t>
      </w:r>
    </w:p>
    <w:p w14:paraId="7A6D1E9F" w14:textId="24E23D78" w:rsidR="00F0755D" w:rsidRPr="000856D1" w:rsidRDefault="003C0870" w:rsidP="00765EF4">
      <w:pPr>
        <w:spacing w:line="360" w:lineRule="auto"/>
        <w:jc w:val="both"/>
        <w:rPr>
          <w:rFonts w:ascii="Arial" w:hAnsi="Arial" w:cs="Arial"/>
          <w:lang w:val="en-US"/>
        </w:rPr>
      </w:pPr>
      <w:r w:rsidRPr="00C66A4D">
        <w:rPr>
          <w:rFonts w:ascii="Arial" w:hAnsi="Arial" w:cs="Arial"/>
        </w:rPr>
        <w:t xml:space="preserve">Despite the benefits of partnership working and person-centred care, several gaps and areas for improvement remain. Communication between professionals and organisations is not </w:t>
      </w:r>
      <w:r w:rsidRPr="00C66A4D">
        <w:rPr>
          <w:rFonts w:ascii="Arial" w:hAnsi="Arial" w:cs="Arial"/>
        </w:rPr>
        <w:lastRenderedPageBreak/>
        <w:t>always effective, and limited integration of systems can lead to delays or incomplete information sharing (World Health Organization, 2010). Coordination between services can also be inconsistent, particularly during transitions such as hospital discharge, which may affect continuity of care (National Institute for Health and Care Excellence, 2012). In addition, time pressures, staff shortages, and limited resources can make it difficult for professionals to fully implement person-centred approaches (Department of Health, 2012). There are also gaps in training, meaning not all staff have the necessary skills in communication, empathy, and cultural competence to work effectively in partnership with others. Furthermore, service user involvement is not always consistent, and power</w:t>
      </w:r>
      <w:r w:rsidRPr="003C0870">
        <w:rPr>
          <w:rFonts w:ascii="Arial" w:hAnsi="Arial" w:cs="Arial"/>
          <w:b/>
          <w:bCs/>
        </w:rPr>
        <w:t xml:space="preserve"> </w:t>
      </w:r>
      <w:r w:rsidRPr="00C66A4D">
        <w:rPr>
          <w:rFonts w:ascii="Arial" w:hAnsi="Arial" w:cs="Arial"/>
        </w:rPr>
        <w:t>imbalances may limit shared decision-making. Organisational and cultural differences between professionals can</w:t>
      </w:r>
      <w:r w:rsidRPr="003C0870">
        <w:rPr>
          <w:rFonts w:ascii="Arial" w:hAnsi="Arial" w:cs="Arial"/>
          <w:b/>
          <w:bCs/>
        </w:rPr>
        <w:t xml:space="preserve"> </w:t>
      </w:r>
      <w:r w:rsidRPr="00C66A4D">
        <w:rPr>
          <w:rFonts w:ascii="Arial" w:hAnsi="Arial" w:cs="Arial"/>
        </w:rPr>
        <w:t>also create</w:t>
      </w:r>
      <w:r w:rsidRPr="003C0870">
        <w:rPr>
          <w:rFonts w:ascii="Arial" w:hAnsi="Arial" w:cs="Arial"/>
          <w:b/>
          <w:bCs/>
        </w:rPr>
        <w:t xml:space="preserve"> </w:t>
      </w:r>
      <w:r w:rsidRPr="000856D1">
        <w:rPr>
          <w:rFonts w:ascii="Arial" w:hAnsi="Arial" w:cs="Arial"/>
        </w:rPr>
        <w:t>misunderstandings or conflict, highlighting the need for improved systems, better training, and stronger collaboration to ensure high-quality, coordinated care</w:t>
      </w:r>
      <w:r w:rsidR="000A6B24" w:rsidRPr="000856D1">
        <w:rPr>
          <w:rFonts w:ascii="Arial" w:hAnsi="Arial" w:cs="Arial"/>
        </w:rPr>
        <w:t>.</w:t>
      </w:r>
    </w:p>
    <w:p w14:paraId="2C21FE64" w14:textId="0E9590CE" w:rsidR="00F0755D" w:rsidRPr="00C913D0" w:rsidRDefault="00F0755D" w:rsidP="00765EF4">
      <w:pPr>
        <w:spacing w:line="360" w:lineRule="auto"/>
        <w:jc w:val="both"/>
        <w:rPr>
          <w:rFonts w:ascii="Arial" w:hAnsi="Arial" w:cs="Arial"/>
          <w:b/>
          <w:bCs/>
          <w:lang w:val="en-US"/>
        </w:rPr>
      </w:pPr>
      <w:r>
        <w:rPr>
          <w:rFonts w:ascii="Arial" w:hAnsi="Arial" w:cs="Arial"/>
          <w:b/>
          <w:bCs/>
          <w:lang w:val="en-US"/>
        </w:rPr>
        <w:t>Conclusion</w:t>
      </w:r>
    </w:p>
    <w:p w14:paraId="3F65782F" w14:textId="77777777" w:rsidR="00FF0888" w:rsidRDefault="00FF0888" w:rsidP="00765EF4">
      <w:pPr>
        <w:spacing w:line="360" w:lineRule="auto"/>
        <w:jc w:val="both"/>
        <w:rPr>
          <w:rFonts w:ascii="Arial" w:hAnsi="Arial" w:cs="Arial"/>
        </w:rPr>
      </w:pPr>
      <w:r w:rsidRPr="00FF0888">
        <w:rPr>
          <w:rFonts w:ascii="Arial" w:hAnsi="Arial" w:cs="Arial"/>
        </w:rPr>
        <w:t>In conclusion, p</w:t>
      </w:r>
      <w:r w:rsidRPr="00C01831">
        <w:rPr>
          <w:rFonts w:ascii="Arial" w:hAnsi="Arial" w:cs="Arial"/>
        </w:rPr>
        <w:t>erson-centred care and partnership working are essential components of effective health and social care practice. They contribute to improved outcomes, greater satisfaction, and more holistic care for individuals. While there are challenges associated with their implementation, such as resource constraints and communication barriers, these can be addressed through effective leadership, training, and organisational support. Ultimately, integrating person-centred care with strong partnership working leads to more responsive, inclusive, and high-quality services.</w:t>
      </w:r>
    </w:p>
    <w:p w14:paraId="64BADB99" w14:textId="77777777" w:rsidR="009F5DE9" w:rsidRDefault="009F5DE9" w:rsidP="00765EF4">
      <w:pPr>
        <w:spacing w:line="360" w:lineRule="auto"/>
        <w:ind w:left="720"/>
        <w:jc w:val="both"/>
        <w:rPr>
          <w:rFonts w:ascii="Arial" w:hAnsi="Arial" w:cs="Arial"/>
        </w:rPr>
      </w:pPr>
    </w:p>
    <w:p w14:paraId="39E5328C" w14:textId="77777777" w:rsidR="009F5DE9" w:rsidRDefault="009F5DE9" w:rsidP="00765EF4">
      <w:pPr>
        <w:spacing w:line="360" w:lineRule="auto"/>
        <w:ind w:left="720"/>
        <w:jc w:val="both"/>
        <w:rPr>
          <w:rFonts w:ascii="Arial" w:hAnsi="Arial" w:cs="Arial"/>
        </w:rPr>
      </w:pPr>
    </w:p>
    <w:p w14:paraId="759CA120" w14:textId="77777777" w:rsidR="009F5DE9" w:rsidRDefault="009F5DE9" w:rsidP="00765EF4">
      <w:pPr>
        <w:spacing w:line="360" w:lineRule="auto"/>
        <w:ind w:left="720"/>
        <w:jc w:val="both"/>
        <w:rPr>
          <w:rFonts w:ascii="Arial" w:hAnsi="Arial" w:cs="Arial"/>
        </w:rPr>
      </w:pPr>
    </w:p>
    <w:p w14:paraId="2ED63C2D" w14:textId="77777777" w:rsidR="009F5DE9" w:rsidRDefault="009F5DE9" w:rsidP="00765EF4">
      <w:pPr>
        <w:spacing w:line="360" w:lineRule="auto"/>
        <w:ind w:left="720"/>
        <w:jc w:val="both"/>
        <w:rPr>
          <w:rFonts w:ascii="Arial" w:hAnsi="Arial" w:cs="Arial"/>
        </w:rPr>
      </w:pPr>
    </w:p>
    <w:p w14:paraId="0E62F5B1" w14:textId="77777777" w:rsidR="009F5DE9" w:rsidRDefault="009F5DE9" w:rsidP="00765EF4">
      <w:pPr>
        <w:spacing w:line="360" w:lineRule="auto"/>
        <w:ind w:left="720"/>
        <w:jc w:val="both"/>
        <w:rPr>
          <w:rFonts w:ascii="Arial" w:hAnsi="Arial" w:cs="Arial"/>
        </w:rPr>
      </w:pPr>
    </w:p>
    <w:p w14:paraId="6F5A02A3" w14:textId="77777777" w:rsidR="009F5DE9" w:rsidRDefault="009F5DE9" w:rsidP="00765EF4">
      <w:pPr>
        <w:spacing w:line="360" w:lineRule="auto"/>
        <w:ind w:left="720"/>
        <w:jc w:val="both"/>
        <w:rPr>
          <w:rFonts w:ascii="Arial" w:hAnsi="Arial" w:cs="Arial"/>
        </w:rPr>
      </w:pPr>
    </w:p>
    <w:p w14:paraId="624025B0" w14:textId="77777777" w:rsidR="009F5DE9" w:rsidRDefault="009F5DE9" w:rsidP="00765EF4">
      <w:pPr>
        <w:spacing w:line="360" w:lineRule="auto"/>
        <w:ind w:left="720"/>
        <w:jc w:val="both"/>
        <w:rPr>
          <w:rFonts w:ascii="Arial" w:hAnsi="Arial" w:cs="Arial"/>
        </w:rPr>
      </w:pPr>
    </w:p>
    <w:p w14:paraId="6A3A302A" w14:textId="77777777" w:rsidR="009F5DE9" w:rsidRDefault="009F5DE9" w:rsidP="00765EF4">
      <w:pPr>
        <w:spacing w:line="360" w:lineRule="auto"/>
        <w:ind w:left="720"/>
        <w:jc w:val="both"/>
        <w:rPr>
          <w:rFonts w:ascii="Arial" w:hAnsi="Arial" w:cs="Arial"/>
        </w:rPr>
      </w:pPr>
    </w:p>
    <w:p w14:paraId="775D5DD6" w14:textId="77777777" w:rsidR="009F5DE9" w:rsidRDefault="009F5DE9" w:rsidP="00765EF4">
      <w:pPr>
        <w:spacing w:line="360" w:lineRule="auto"/>
        <w:ind w:left="720"/>
        <w:jc w:val="both"/>
        <w:rPr>
          <w:rFonts w:ascii="Arial" w:hAnsi="Arial" w:cs="Arial"/>
        </w:rPr>
      </w:pPr>
    </w:p>
    <w:p w14:paraId="4D9BFCFC" w14:textId="77777777" w:rsidR="009F5DE9" w:rsidRDefault="009F5DE9" w:rsidP="00C262D0">
      <w:pPr>
        <w:spacing w:line="360" w:lineRule="auto"/>
        <w:jc w:val="both"/>
        <w:rPr>
          <w:rFonts w:ascii="Arial" w:hAnsi="Arial" w:cs="Arial"/>
        </w:rPr>
      </w:pPr>
    </w:p>
    <w:p w14:paraId="639AFF1E" w14:textId="77777777" w:rsidR="00C262D0" w:rsidRDefault="00C262D0" w:rsidP="00C262D0">
      <w:pPr>
        <w:spacing w:line="360" w:lineRule="auto"/>
        <w:jc w:val="both"/>
        <w:rPr>
          <w:rFonts w:ascii="Arial" w:hAnsi="Arial" w:cs="Arial"/>
        </w:rPr>
      </w:pPr>
    </w:p>
    <w:p w14:paraId="7CEBB832" w14:textId="5231FFAA" w:rsidR="009F5DE9" w:rsidRPr="00075E10" w:rsidRDefault="00C262D0" w:rsidP="00C262D0">
      <w:pPr>
        <w:spacing w:line="360" w:lineRule="auto"/>
        <w:rPr>
          <w:rFonts w:ascii="Arial" w:hAnsi="Arial" w:cs="Arial"/>
          <w:b/>
          <w:bCs/>
        </w:rPr>
      </w:pPr>
      <w:r>
        <w:rPr>
          <w:rFonts w:ascii="Arial" w:hAnsi="Arial" w:cs="Arial"/>
        </w:rPr>
        <w:lastRenderedPageBreak/>
        <w:t xml:space="preserve">            </w:t>
      </w:r>
      <w:r w:rsidR="00075E10" w:rsidRPr="00075E10">
        <w:rPr>
          <w:rFonts w:ascii="Arial" w:hAnsi="Arial" w:cs="Arial"/>
          <w:b/>
          <w:bCs/>
        </w:rPr>
        <w:t>References</w:t>
      </w:r>
    </w:p>
    <w:p w14:paraId="72F9CD5D" w14:textId="71EF1B00" w:rsidR="00A86E4B" w:rsidRPr="00A86E4B" w:rsidRDefault="00A86E4B" w:rsidP="006B032A">
      <w:pPr>
        <w:spacing w:line="360" w:lineRule="auto"/>
        <w:ind w:left="720"/>
        <w:jc w:val="both"/>
        <w:rPr>
          <w:rFonts w:ascii="Arial" w:hAnsi="Arial" w:cs="Arial"/>
        </w:rPr>
      </w:pPr>
      <w:r w:rsidRPr="00A86E4B">
        <w:rPr>
          <w:rFonts w:ascii="Arial" w:hAnsi="Arial" w:cs="Arial"/>
        </w:rPr>
        <w:t xml:space="preserve">Department of Health (2012) </w:t>
      </w:r>
      <w:r w:rsidRPr="00A86E4B">
        <w:rPr>
          <w:rFonts w:ascii="Arial" w:hAnsi="Arial" w:cs="Arial"/>
          <w:i/>
          <w:iCs/>
        </w:rPr>
        <w:t>Caring for our future: reforming care and support</w:t>
      </w:r>
      <w:r w:rsidRPr="00A86E4B">
        <w:rPr>
          <w:rFonts w:ascii="Arial" w:hAnsi="Arial" w:cs="Arial"/>
        </w:rPr>
        <w:t xml:space="preserve">. London: Department of Health. </w:t>
      </w:r>
    </w:p>
    <w:p w14:paraId="74484B17" w14:textId="77777777" w:rsidR="00A86E4B" w:rsidRPr="00A86E4B" w:rsidRDefault="00A86E4B" w:rsidP="006B032A">
      <w:pPr>
        <w:spacing w:line="360" w:lineRule="auto"/>
        <w:ind w:left="720"/>
        <w:jc w:val="both"/>
        <w:rPr>
          <w:rFonts w:ascii="Arial" w:hAnsi="Arial" w:cs="Arial"/>
        </w:rPr>
      </w:pPr>
      <w:r w:rsidRPr="00A86E4B">
        <w:rPr>
          <w:rFonts w:ascii="Arial" w:hAnsi="Arial" w:cs="Arial"/>
        </w:rPr>
        <w:t xml:space="preserve">National Institute for Health and Care Excellence (NICE) (2012) </w:t>
      </w:r>
      <w:r w:rsidRPr="00A86E4B">
        <w:rPr>
          <w:rFonts w:ascii="Arial" w:hAnsi="Arial" w:cs="Arial"/>
          <w:i/>
          <w:iCs/>
        </w:rPr>
        <w:t>Patient experience in adult NHS services: improving the experience of care for people using adult NHS services</w:t>
      </w:r>
      <w:r w:rsidRPr="00A86E4B">
        <w:rPr>
          <w:rFonts w:ascii="Arial" w:hAnsi="Arial" w:cs="Arial"/>
        </w:rPr>
        <w:t xml:space="preserve">. London: NICE. </w:t>
      </w:r>
    </w:p>
    <w:p w14:paraId="14759730" w14:textId="77777777" w:rsidR="00A86E4B" w:rsidRPr="00A86E4B" w:rsidRDefault="00A86E4B" w:rsidP="006B032A">
      <w:pPr>
        <w:spacing w:line="360" w:lineRule="auto"/>
        <w:ind w:left="720"/>
        <w:jc w:val="both"/>
        <w:rPr>
          <w:rFonts w:ascii="Arial" w:hAnsi="Arial" w:cs="Arial"/>
        </w:rPr>
      </w:pPr>
      <w:r w:rsidRPr="00A86E4B">
        <w:rPr>
          <w:rFonts w:ascii="Arial" w:hAnsi="Arial" w:cs="Arial"/>
        </w:rPr>
        <w:t xml:space="preserve">National Institute for Health and Care Excellence (NICE) (2016) </w:t>
      </w:r>
      <w:r w:rsidRPr="00A86E4B">
        <w:rPr>
          <w:rFonts w:ascii="Arial" w:hAnsi="Arial" w:cs="Arial"/>
          <w:i/>
          <w:iCs/>
        </w:rPr>
        <w:t>Transition between inpatient hospital settings and community or care home settings for adults with social care needs</w:t>
      </w:r>
      <w:r w:rsidRPr="00A86E4B">
        <w:rPr>
          <w:rFonts w:ascii="Arial" w:hAnsi="Arial" w:cs="Arial"/>
        </w:rPr>
        <w:t xml:space="preserve">. London: NICE. </w:t>
      </w:r>
    </w:p>
    <w:p w14:paraId="7E35BA37" w14:textId="77777777" w:rsidR="00A86E4B" w:rsidRPr="00A86E4B" w:rsidRDefault="00A86E4B" w:rsidP="006B032A">
      <w:pPr>
        <w:spacing w:line="360" w:lineRule="auto"/>
        <w:ind w:left="720"/>
        <w:jc w:val="both"/>
        <w:rPr>
          <w:rFonts w:ascii="Arial" w:hAnsi="Arial" w:cs="Arial"/>
        </w:rPr>
      </w:pPr>
      <w:r w:rsidRPr="00A86E4B">
        <w:rPr>
          <w:rFonts w:ascii="Arial" w:hAnsi="Arial" w:cs="Arial"/>
        </w:rPr>
        <w:t xml:space="preserve">World Health Organization (2010) </w:t>
      </w:r>
      <w:r w:rsidRPr="00A86E4B">
        <w:rPr>
          <w:rFonts w:ascii="Arial" w:hAnsi="Arial" w:cs="Arial"/>
          <w:i/>
          <w:iCs/>
        </w:rPr>
        <w:t>Framework for action on interprofessional education and collaborative practice</w:t>
      </w:r>
      <w:r w:rsidRPr="00A86E4B">
        <w:rPr>
          <w:rFonts w:ascii="Arial" w:hAnsi="Arial" w:cs="Arial"/>
        </w:rPr>
        <w:t xml:space="preserve">. Geneva: WHO. </w:t>
      </w:r>
    </w:p>
    <w:p w14:paraId="6E35CF82" w14:textId="77777777" w:rsidR="00A86E4B" w:rsidRPr="00A86E4B" w:rsidRDefault="00A86E4B" w:rsidP="006B032A">
      <w:pPr>
        <w:spacing w:line="360" w:lineRule="auto"/>
        <w:ind w:left="720"/>
        <w:jc w:val="both"/>
        <w:rPr>
          <w:rFonts w:ascii="Arial" w:hAnsi="Arial" w:cs="Arial"/>
        </w:rPr>
      </w:pPr>
      <w:r w:rsidRPr="00A86E4B">
        <w:rPr>
          <w:rFonts w:ascii="Arial" w:hAnsi="Arial" w:cs="Arial"/>
        </w:rPr>
        <w:t xml:space="preserve">World Health Organization (2016) </w:t>
      </w:r>
      <w:r w:rsidRPr="00A86E4B">
        <w:rPr>
          <w:rFonts w:ascii="Arial" w:hAnsi="Arial" w:cs="Arial"/>
          <w:i/>
          <w:iCs/>
        </w:rPr>
        <w:t>Framework on integrated, people-centred health services</w:t>
      </w:r>
      <w:r w:rsidRPr="00A86E4B">
        <w:rPr>
          <w:rFonts w:ascii="Arial" w:hAnsi="Arial" w:cs="Arial"/>
        </w:rPr>
        <w:t xml:space="preserve">. Geneva: WHO. </w:t>
      </w:r>
    </w:p>
    <w:p w14:paraId="21668E10" w14:textId="34F4E486" w:rsidR="00A86E4B" w:rsidRPr="00A86E4B" w:rsidRDefault="00B46178" w:rsidP="006B032A">
      <w:pPr>
        <w:spacing w:line="360" w:lineRule="auto"/>
        <w:ind w:left="360"/>
        <w:jc w:val="both"/>
        <w:rPr>
          <w:rFonts w:ascii="Arial" w:hAnsi="Arial" w:cs="Arial"/>
        </w:rPr>
      </w:pPr>
      <w:r>
        <w:rPr>
          <w:rFonts w:ascii="Arial" w:hAnsi="Arial" w:cs="Arial"/>
        </w:rPr>
        <w:t xml:space="preserve">     </w:t>
      </w:r>
      <w:r w:rsidR="00A86E4B" w:rsidRPr="00A86E4B">
        <w:rPr>
          <w:rFonts w:ascii="Arial" w:hAnsi="Arial" w:cs="Arial"/>
        </w:rPr>
        <w:t xml:space="preserve">UK Government (2014) </w:t>
      </w:r>
      <w:r w:rsidR="00A86E4B" w:rsidRPr="00A86E4B">
        <w:rPr>
          <w:rFonts w:ascii="Arial" w:hAnsi="Arial" w:cs="Arial"/>
          <w:i/>
          <w:iCs/>
        </w:rPr>
        <w:t>Care Act 2014</w:t>
      </w:r>
      <w:r w:rsidR="00A86E4B" w:rsidRPr="00A86E4B">
        <w:rPr>
          <w:rFonts w:ascii="Arial" w:hAnsi="Arial" w:cs="Arial"/>
        </w:rPr>
        <w:t xml:space="preserve">. London: The Stationery Office. </w:t>
      </w:r>
    </w:p>
    <w:p w14:paraId="7664BB93" w14:textId="13048E31" w:rsidR="00A86E4B" w:rsidRPr="00A86E4B" w:rsidRDefault="00B46178" w:rsidP="006B032A">
      <w:pPr>
        <w:spacing w:line="360" w:lineRule="auto"/>
        <w:ind w:left="360"/>
        <w:jc w:val="both"/>
        <w:rPr>
          <w:rFonts w:ascii="Arial" w:hAnsi="Arial" w:cs="Arial"/>
        </w:rPr>
      </w:pPr>
      <w:r>
        <w:rPr>
          <w:rFonts w:ascii="Arial" w:hAnsi="Arial" w:cs="Arial"/>
        </w:rPr>
        <w:t xml:space="preserve">    </w:t>
      </w:r>
      <w:r w:rsidR="00A86E4B" w:rsidRPr="00A86E4B">
        <w:rPr>
          <w:rFonts w:ascii="Arial" w:hAnsi="Arial" w:cs="Arial"/>
        </w:rPr>
        <w:t xml:space="preserve">UK Government (2018) </w:t>
      </w:r>
      <w:r w:rsidR="00A86E4B" w:rsidRPr="00A86E4B">
        <w:rPr>
          <w:rFonts w:ascii="Arial" w:hAnsi="Arial" w:cs="Arial"/>
          <w:i/>
          <w:iCs/>
        </w:rPr>
        <w:t>Data Protection Act 2018</w:t>
      </w:r>
      <w:r w:rsidR="00A86E4B" w:rsidRPr="00A86E4B">
        <w:rPr>
          <w:rFonts w:ascii="Arial" w:hAnsi="Arial" w:cs="Arial"/>
        </w:rPr>
        <w:t xml:space="preserve">. London: The Stationery Office. </w:t>
      </w:r>
    </w:p>
    <w:p w14:paraId="117CE659" w14:textId="13B31E0B" w:rsidR="00A86E4B" w:rsidRPr="00A86E4B" w:rsidRDefault="00B46178" w:rsidP="006B032A">
      <w:pPr>
        <w:spacing w:line="360" w:lineRule="auto"/>
        <w:ind w:left="360"/>
        <w:jc w:val="both"/>
        <w:rPr>
          <w:rFonts w:ascii="Arial" w:hAnsi="Arial" w:cs="Arial"/>
        </w:rPr>
      </w:pPr>
      <w:r>
        <w:rPr>
          <w:rFonts w:ascii="Arial" w:hAnsi="Arial" w:cs="Arial"/>
        </w:rPr>
        <w:t xml:space="preserve">   </w:t>
      </w:r>
      <w:r w:rsidR="00A86E4B" w:rsidRPr="00A86E4B">
        <w:rPr>
          <w:rFonts w:ascii="Arial" w:hAnsi="Arial" w:cs="Arial"/>
        </w:rPr>
        <w:t xml:space="preserve">UK Government (2005) </w:t>
      </w:r>
      <w:r w:rsidR="00A86E4B" w:rsidRPr="00A86E4B">
        <w:rPr>
          <w:rFonts w:ascii="Arial" w:hAnsi="Arial" w:cs="Arial"/>
          <w:i/>
          <w:iCs/>
        </w:rPr>
        <w:t>Mental Capacity Act 2005</w:t>
      </w:r>
      <w:r w:rsidR="00A86E4B" w:rsidRPr="00A86E4B">
        <w:rPr>
          <w:rFonts w:ascii="Arial" w:hAnsi="Arial" w:cs="Arial"/>
        </w:rPr>
        <w:t xml:space="preserve">. London: The Stationery Office. </w:t>
      </w:r>
    </w:p>
    <w:p w14:paraId="7F9DA631" w14:textId="77777777" w:rsidR="00A86E4B" w:rsidRPr="00A86E4B" w:rsidRDefault="00A86E4B" w:rsidP="006B032A">
      <w:pPr>
        <w:spacing w:line="360" w:lineRule="auto"/>
        <w:ind w:left="720"/>
        <w:jc w:val="both"/>
        <w:rPr>
          <w:rFonts w:ascii="Arial" w:hAnsi="Arial" w:cs="Arial"/>
        </w:rPr>
      </w:pPr>
      <w:r w:rsidRPr="00A86E4B">
        <w:rPr>
          <w:rFonts w:ascii="Arial" w:hAnsi="Arial" w:cs="Arial"/>
        </w:rPr>
        <w:t xml:space="preserve">Rogers, C. (1951) </w:t>
      </w:r>
      <w:r w:rsidRPr="00A86E4B">
        <w:rPr>
          <w:rFonts w:ascii="Arial" w:hAnsi="Arial" w:cs="Arial"/>
          <w:i/>
          <w:iCs/>
        </w:rPr>
        <w:t>Client-</w:t>
      </w:r>
      <w:proofErr w:type="spellStart"/>
      <w:r w:rsidRPr="00A86E4B">
        <w:rPr>
          <w:rFonts w:ascii="Arial" w:hAnsi="Arial" w:cs="Arial"/>
          <w:i/>
          <w:iCs/>
        </w:rPr>
        <w:t>Centered</w:t>
      </w:r>
      <w:proofErr w:type="spellEnd"/>
      <w:r w:rsidRPr="00A86E4B">
        <w:rPr>
          <w:rFonts w:ascii="Arial" w:hAnsi="Arial" w:cs="Arial"/>
          <w:i/>
          <w:iCs/>
        </w:rPr>
        <w:t xml:space="preserve"> Therapy: Its Current Practice, Implications and Theory</w:t>
      </w:r>
      <w:r w:rsidRPr="00A86E4B">
        <w:rPr>
          <w:rFonts w:ascii="Arial" w:hAnsi="Arial" w:cs="Arial"/>
        </w:rPr>
        <w:t xml:space="preserve">. Boston: Houghton Mifflin. </w:t>
      </w:r>
    </w:p>
    <w:p w14:paraId="5DFD990A" w14:textId="77777777" w:rsidR="00A86E4B" w:rsidRPr="00A86E4B" w:rsidRDefault="00A86E4B" w:rsidP="006B032A">
      <w:pPr>
        <w:spacing w:line="360" w:lineRule="auto"/>
        <w:ind w:left="720"/>
        <w:jc w:val="both"/>
        <w:rPr>
          <w:rFonts w:ascii="Arial" w:hAnsi="Arial" w:cs="Arial"/>
        </w:rPr>
      </w:pPr>
      <w:proofErr w:type="spellStart"/>
      <w:r w:rsidRPr="00A86E4B">
        <w:rPr>
          <w:rFonts w:ascii="Arial" w:hAnsi="Arial" w:cs="Arial"/>
        </w:rPr>
        <w:t>Kitwood</w:t>
      </w:r>
      <w:proofErr w:type="spellEnd"/>
      <w:r w:rsidRPr="00A86E4B">
        <w:rPr>
          <w:rFonts w:ascii="Arial" w:hAnsi="Arial" w:cs="Arial"/>
        </w:rPr>
        <w:t xml:space="preserve">, T. (1997) </w:t>
      </w:r>
      <w:r w:rsidRPr="00A86E4B">
        <w:rPr>
          <w:rFonts w:ascii="Arial" w:hAnsi="Arial" w:cs="Arial"/>
          <w:i/>
          <w:iCs/>
        </w:rPr>
        <w:t>Dementia Reconsidered: The Person Comes First</w:t>
      </w:r>
      <w:r w:rsidRPr="00A86E4B">
        <w:rPr>
          <w:rFonts w:ascii="Arial" w:hAnsi="Arial" w:cs="Arial"/>
        </w:rPr>
        <w:t xml:space="preserve">. Buckingham: Open University Press. </w:t>
      </w:r>
    </w:p>
    <w:p w14:paraId="64E4FC8E" w14:textId="77777777" w:rsidR="00A86E4B" w:rsidRPr="00A86E4B" w:rsidRDefault="00A86E4B" w:rsidP="006B032A">
      <w:pPr>
        <w:spacing w:line="360" w:lineRule="auto"/>
        <w:ind w:left="720"/>
        <w:jc w:val="both"/>
        <w:rPr>
          <w:rFonts w:ascii="Arial" w:hAnsi="Arial" w:cs="Arial"/>
        </w:rPr>
      </w:pPr>
      <w:r w:rsidRPr="00A86E4B">
        <w:rPr>
          <w:rFonts w:ascii="Arial" w:hAnsi="Arial" w:cs="Arial"/>
        </w:rPr>
        <w:t xml:space="preserve">McCormack, B. and McCance, T. (2017) </w:t>
      </w:r>
      <w:r w:rsidRPr="00A86E4B">
        <w:rPr>
          <w:rFonts w:ascii="Arial" w:hAnsi="Arial" w:cs="Arial"/>
          <w:i/>
          <w:iCs/>
        </w:rPr>
        <w:t>Person-Centred Practice in Nursing and Health Care: Theory and Practice</w:t>
      </w:r>
      <w:r w:rsidRPr="00A86E4B">
        <w:rPr>
          <w:rFonts w:ascii="Arial" w:hAnsi="Arial" w:cs="Arial"/>
        </w:rPr>
        <w:t xml:space="preserve">. 2nd </w:t>
      </w:r>
      <w:proofErr w:type="spellStart"/>
      <w:r w:rsidRPr="00A86E4B">
        <w:rPr>
          <w:rFonts w:ascii="Arial" w:hAnsi="Arial" w:cs="Arial"/>
        </w:rPr>
        <w:t>edn</w:t>
      </w:r>
      <w:proofErr w:type="spellEnd"/>
      <w:r w:rsidRPr="00A86E4B">
        <w:rPr>
          <w:rFonts w:ascii="Arial" w:hAnsi="Arial" w:cs="Arial"/>
        </w:rPr>
        <w:t xml:space="preserve">. Oxford: Wiley Blackwell. </w:t>
      </w:r>
    </w:p>
    <w:p w14:paraId="3FB9D151" w14:textId="6EFBCB92" w:rsidR="00A86E4B" w:rsidRPr="00A86E4B" w:rsidRDefault="00B46178" w:rsidP="006B032A">
      <w:pPr>
        <w:spacing w:line="360" w:lineRule="auto"/>
        <w:ind w:left="360"/>
        <w:jc w:val="both"/>
        <w:rPr>
          <w:rFonts w:ascii="Arial" w:hAnsi="Arial" w:cs="Arial"/>
        </w:rPr>
      </w:pPr>
      <w:r>
        <w:rPr>
          <w:rFonts w:ascii="Arial" w:hAnsi="Arial" w:cs="Arial"/>
        </w:rPr>
        <w:t xml:space="preserve">   </w:t>
      </w:r>
      <w:r w:rsidR="00A86E4B" w:rsidRPr="00A86E4B">
        <w:rPr>
          <w:rFonts w:ascii="Arial" w:hAnsi="Arial" w:cs="Arial"/>
        </w:rPr>
        <w:t xml:space="preserve">Nolan, M., Brown, J., Davies, S., Nolan, J. and Keady, J. (2006) </w:t>
      </w:r>
      <w:r w:rsidR="00A86E4B" w:rsidRPr="00A86E4B">
        <w:rPr>
          <w:rFonts w:ascii="Arial" w:hAnsi="Arial" w:cs="Arial"/>
          <w:i/>
          <w:iCs/>
        </w:rPr>
        <w:t xml:space="preserve">The Senses Framework: </w:t>
      </w:r>
      <w:r>
        <w:rPr>
          <w:rFonts w:ascii="Arial" w:hAnsi="Arial" w:cs="Arial"/>
          <w:i/>
          <w:iCs/>
        </w:rPr>
        <w:t xml:space="preserve">  </w:t>
      </w:r>
      <w:r w:rsidR="00A86E4B" w:rsidRPr="00A86E4B">
        <w:rPr>
          <w:rFonts w:ascii="Arial" w:hAnsi="Arial" w:cs="Arial"/>
          <w:i/>
          <w:iCs/>
        </w:rPr>
        <w:t>Improving care for older people through a relationship-centred approach</w:t>
      </w:r>
      <w:r w:rsidR="00A86E4B" w:rsidRPr="00A86E4B">
        <w:rPr>
          <w:rFonts w:ascii="Arial" w:hAnsi="Arial" w:cs="Arial"/>
        </w:rPr>
        <w:t xml:space="preserve">. London: University of Sheffield. </w:t>
      </w:r>
    </w:p>
    <w:p w14:paraId="569FE252" w14:textId="77777777" w:rsidR="00A86E4B" w:rsidRPr="00A86E4B" w:rsidRDefault="00A86E4B" w:rsidP="006B032A">
      <w:pPr>
        <w:spacing w:line="360" w:lineRule="auto"/>
        <w:ind w:left="360"/>
        <w:jc w:val="both"/>
        <w:rPr>
          <w:rFonts w:ascii="Arial" w:hAnsi="Arial" w:cs="Arial"/>
        </w:rPr>
      </w:pPr>
      <w:r w:rsidRPr="00A86E4B">
        <w:rPr>
          <w:rFonts w:ascii="Arial" w:hAnsi="Arial" w:cs="Arial"/>
        </w:rPr>
        <w:t xml:space="preserve">Health and Care Professions Council (HCPC) (2016) </w:t>
      </w:r>
      <w:r w:rsidRPr="00A86E4B">
        <w:rPr>
          <w:rFonts w:ascii="Arial" w:hAnsi="Arial" w:cs="Arial"/>
          <w:i/>
          <w:iCs/>
        </w:rPr>
        <w:t>Standards of conduct, performance and ethics</w:t>
      </w:r>
      <w:r w:rsidRPr="00A86E4B">
        <w:rPr>
          <w:rFonts w:ascii="Arial" w:hAnsi="Arial" w:cs="Arial"/>
        </w:rPr>
        <w:t xml:space="preserve">. London: HCPC. </w:t>
      </w:r>
    </w:p>
    <w:p w14:paraId="4EBA5215" w14:textId="77777777" w:rsidR="00A86E4B" w:rsidRPr="00A86E4B" w:rsidRDefault="00A86E4B" w:rsidP="00B46178">
      <w:pPr>
        <w:spacing w:line="360" w:lineRule="auto"/>
        <w:jc w:val="both"/>
        <w:rPr>
          <w:rFonts w:ascii="Arial" w:hAnsi="Arial" w:cs="Arial"/>
        </w:rPr>
      </w:pPr>
      <w:r w:rsidRPr="00A86E4B">
        <w:rPr>
          <w:rFonts w:ascii="Arial" w:hAnsi="Arial" w:cs="Arial"/>
        </w:rPr>
        <w:t xml:space="preserve">Francis, R. (2013) </w:t>
      </w:r>
      <w:r w:rsidRPr="00A86E4B">
        <w:rPr>
          <w:rFonts w:ascii="Arial" w:hAnsi="Arial" w:cs="Arial"/>
          <w:i/>
          <w:iCs/>
        </w:rPr>
        <w:t>Report of the Mid Staffordshire NHS Foundation Trust Public Inquiry</w:t>
      </w:r>
      <w:r w:rsidRPr="00A86E4B">
        <w:rPr>
          <w:rFonts w:ascii="Arial" w:hAnsi="Arial" w:cs="Arial"/>
        </w:rPr>
        <w:t xml:space="preserve">. London: The Stationery Office. </w:t>
      </w:r>
    </w:p>
    <w:p w14:paraId="5CEBD7DA" w14:textId="77777777" w:rsidR="00A86E4B" w:rsidRPr="00A86E4B" w:rsidRDefault="00A86E4B" w:rsidP="006B032A">
      <w:pPr>
        <w:spacing w:line="360" w:lineRule="auto"/>
        <w:ind w:left="360"/>
        <w:jc w:val="both"/>
        <w:rPr>
          <w:rFonts w:ascii="Arial" w:hAnsi="Arial" w:cs="Arial"/>
        </w:rPr>
      </w:pPr>
      <w:r w:rsidRPr="00A86E4B">
        <w:rPr>
          <w:rFonts w:ascii="Arial" w:hAnsi="Arial" w:cs="Arial"/>
        </w:rPr>
        <w:lastRenderedPageBreak/>
        <w:t xml:space="preserve">Glasby, J. and Dickinson, H. (2014) </w:t>
      </w:r>
      <w:r w:rsidRPr="00A86E4B">
        <w:rPr>
          <w:rFonts w:ascii="Arial" w:hAnsi="Arial" w:cs="Arial"/>
          <w:i/>
          <w:iCs/>
        </w:rPr>
        <w:t>Partnership Working in Health and Social Care</w:t>
      </w:r>
      <w:r w:rsidRPr="00A86E4B">
        <w:rPr>
          <w:rFonts w:ascii="Arial" w:hAnsi="Arial" w:cs="Arial"/>
        </w:rPr>
        <w:t xml:space="preserve">. Bristol: Policy Press. </w:t>
      </w:r>
    </w:p>
    <w:p w14:paraId="3C0ABF1A" w14:textId="2510A34A" w:rsidR="00A86E4B" w:rsidRPr="00A86E4B" w:rsidRDefault="00A86E4B" w:rsidP="00075E10">
      <w:pPr>
        <w:spacing w:line="360" w:lineRule="auto"/>
        <w:rPr>
          <w:rFonts w:ascii="Arial" w:hAnsi="Arial" w:cs="Arial"/>
        </w:rPr>
      </w:pPr>
    </w:p>
    <w:p w14:paraId="091B1488" w14:textId="77777777" w:rsidR="00A86E4B" w:rsidRPr="00FF0888" w:rsidRDefault="00A86E4B" w:rsidP="00075E10">
      <w:pPr>
        <w:spacing w:line="360" w:lineRule="auto"/>
        <w:rPr>
          <w:rFonts w:ascii="Arial" w:hAnsi="Arial" w:cs="Arial"/>
        </w:rPr>
      </w:pPr>
    </w:p>
    <w:p w14:paraId="55412641" w14:textId="77777777" w:rsidR="00FF0888" w:rsidRDefault="00FF0888" w:rsidP="00765EF4">
      <w:pPr>
        <w:spacing w:line="360" w:lineRule="auto"/>
        <w:jc w:val="both"/>
        <w:rPr>
          <w:rFonts w:ascii="Arial" w:hAnsi="Arial" w:cs="Arial"/>
          <w:lang w:val="en-US"/>
        </w:rPr>
      </w:pPr>
    </w:p>
    <w:p w14:paraId="41AEF130" w14:textId="77777777" w:rsidR="009C0416" w:rsidRDefault="009C0416" w:rsidP="00765EF4">
      <w:pPr>
        <w:spacing w:line="360" w:lineRule="auto"/>
        <w:jc w:val="both"/>
        <w:rPr>
          <w:rFonts w:ascii="Arial" w:hAnsi="Arial" w:cs="Arial"/>
          <w:lang w:val="en-US"/>
        </w:rPr>
      </w:pPr>
    </w:p>
    <w:p w14:paraId="75ED5A95" w14:textId="77777777" w:rsidR="009C0416" w:rsidRDefault="009C0416" w:rsidP="00765EF4">
      <w:pPr>
        <w:spacing w:line="360" w:lineRule="auto"/>
        <w:jc w:val="both"/>
        <w:rPr>
          <w:rFonts w:ascii="Arial" w:hAnsi="Arial" w:cs="Arial"/>
          <w:lang w:val="en-US"/>
        </w:rPr>
      </w:pPr>
    </w:p>
    <w:p w14:paraId="2A356AAB" w14:textId="77777777" w:rsidR="009C0416" w:rsidRDefault="009C0416" w:rsidP="00765EF4">
      <w:pPr>
        <w:spacing w:line="360" w:lineRule="auto"/>
        <w:jc w:val="both"/>
        <w:rPr>
          <w:rFonts w:ascii="Arial" w:hAnsi="Arial" w:cs="Arial"/>
          <w:lang w:val="en-US"/>
        </w:rPr>
      </w:pPr>
    </w:p>
    <w:p w14:paraId="53F2A4F7" w14:textId="77777777" w:rsidR="009C0416" w:rsidRDefault="009C0416" w:rsidP="00765EF4">
      <w:pPr>
        <w:spacing w:line="360" w:lineRule="auto"/>
        <w:jc w:val="both"/>
        <w:rPr>
          <w:rFonts w:ascii="Arial" w:hAnsi="Arial" w:cs="Arial"/>
          <w:lang w:val="en-US"/>
        </w:rPr>
      </w:pPr>
    </w:p>
    <w:p w14:paraId="4D7F0A5F" w14:textId="77777777" w:rsidR="009C0416" w:rsidRDefault="009C0416" w:rsidP="00765EF4">
      <w:pPr>
        <w:spacing w:line="360" w:lineRule="auto"/>
        <w:jc w:val="both"/>
        <w:rPr>
          <w:rFonts w:ascii="Arial" w:hAnsi="Arial" w:cs="Arial"/>
          <w:lang w:val="en-US"/>
        </w:rPr>
      </w:pPr>
    </w:p>
    <w:p w14:paraId="13DA34E9" w14:textId="77777777" w:rsidR="009C0416" w:rsidRDefault="009C0416" w:rsidP="00765EF4">
      <w:pPr>
        <w:spacing w:line="360" w:lineRule="auto"/>
        <w:jc w:val="both"/>
        <w:rPr>
          <w:rFonts w:ascii="Arial" w:hAnsi="Arial" w:cs="Arial"/>
          <w:lang w:val="en-US"/>
        </w:rPr>
      </w:pPr>
    </w:p>
    <w:p w14:paraId="0A5470BC" w14:textId="77777777" w:rsidR="009C0416" w:rsidRPr="00FF0888" w:rsidRDefault="009C0416" w:rsidP="00765EF4">
      <w:pPr>
        <w:spacing w:line="360" w:lineRule="auto"/>
        <w:jc w:val="both"/>
        <w:rPr>
          <w:rFonts w:ascii="Arial" w:hAnsi="Arial" w:cs="Arial"/>
          <w:lang w:val="en-US"/>
        </w:rPr>
      </w:pPr>
    </w:p>
    <w:p w14:paraId="08B585ED" w14:textId="77777777" w:rsidR="00FF0888" w:rsidRPr="00C01831" w:rsidRDefault="00FF0888" w:rsidP="00765EF4">
      <w:pPr>
        <w:spacing w:line="360" w:lineRule="auto"/>
        <w:jc w:val="both"/>
      </w:pPr>
    </w:p>
    <w:p w14:paraId="7FA093FD" w14:textId="77777777" w:rsidR="00FF0888" w:rsidRDefault="00FF0888" w:rsidP="00765EF4">
      <w:pPr>
        <w:jc w:val="both"/>
      </w:pPr>
    </w:p>
    <w:p w14:paraId="5DDBB2C0" w14:textId="77777777" w:rsidR="00FF0888" w:rsidRPr="00C01831" w:rsidRDefault="00FF0888" w:rsidP="00765EF4">
      <w:pPr>
        <w:jc w:val="both"/>
      </w:pPr>
    </w:p>
    <w:p w14:paraId="4D388237" w14:textId="77777777" w:rsidR="00760DAD" w:rsidRDefault="00760DAD" w:rsidP="00765EF4">
      <w:pPr>
        <w:jc w:val="both"/>
      </w:pPr>
    </w:p>
    <w:sectPr w:rsidR="00760DA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A0A58" w14:textId="77777777" w:rsidR="00E94012" w:rsidRDefault="00E94012" w:rsidP="00C01831">
      <w:pPr>
        <w:spacing w:after="0" w:line="240" w:lineRule="auto"/>
      </w:pPr>
      <w:r>
        <w:separator/>
      </w:r>
    </w:p>
  </w:endnote>
  <w:endnote w:type="continuationSeparator" w:id="0">
    <w:p w14:paraId="6CB46D22" w14:textId="77777777" w:rsidR="00E94012" w:rsidRDefault="00E94012" w:rsidP="00C01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45CDF" w14:textId="77777777" w:rsidR="00E94012" w:rsidRDefault="00E94012" w:rsidP="00C01831">
      <w:pPr>
        <w:spacing w:after="0" w:line="240" w:lineRule="auto"/>
      </w:pPr>
      <w:r>
        <w:separator/>
      </w:r>
    </w:p>
  </w:footnote>
  <w:footnote w:type="continuationSeparator" w:id="0">
    <w:p w14:paraId="5DD8A4CA" w14:textId="77777777" w:rsidR="00E94012" w:rsidRDefault="00E94012" w:rsidP="00C018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D98E27" w14:textId="77777777" w:rsidR="009F5DE9" w:rsidRDefault="009F5DE9">
    <w:pPr>
      <w:pStyle w:val="Header"/>
    </w:pPr>
  </w:p>
  <w:p w14:paraId="5CC0783D" w14:textId="77777777" w:rsidR="009F5DE9" w:rsidRDefault="009F5D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10107"/>
    <w:multiLevelType w:val="hybridMultilevel"/>
    <w:tmpl w:val="D9902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4B3B24"/>
    <w:multiLevelType w:val="multilevel"/>
    <w:tmpl w:val="0AAA7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6965071">
    <w:abstractNumId w:val="1"/>
  </w:num>
  <w:num w:numId="2" w16cid:durableId="773475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831"/>
    <w:rsid w:val="000015E4"/>
    <w:rsid w:val="0000676A"/>
    <w:rsid w:val="000303CC"/>
    <w:rsid w:val="0003426D"/>
    <w:rsid w:val="00037A16"/>
    <w:rsid w:val="00061CD9"/>
    <w:rsid w:val="000665DC"/>
    <w:rsid w:val="00074090"/>
    <w:rsid w:val="0007428B"/>
    <w:rsid w:val="000752D3"/>
    <w:rsid w:val="00075E10"/>
    <w:rsid w:val="000856D1"/>
    <w:rsid w:val="000A2A6D"/>
    <w:rsid w:val="000A6B24"/>
    <w:rsid w:val="000D572B"/>
    <w:rsid w:val="000D57CB"/>
    <w:rsid w:val="000E1C33"/>
    <w:rsid w:val="000E522B"/>
    <w:rsid w:val="001044B0"/>
    <w:rsid w:val="00116570"/>
    <w:rsid w:val="001628AD"/>
    <w:rsid w:val="00173583"/>
    <w:rsid w:val="001B02A3"/>
    <w:rsid w:val="00232BD3"/>
    <w:rsid w:val="002527FC"/>
    <w:rsid w:val="00257252"/>
    <w:rsid w:val="002829ED"/>
    <w:rsid w:val="00285E37"/>
    <w:rsid w:val="002A5559"/>
    <w:rsid w:val="002D4D21"/>
    <w:rsid w:val="002D5F8D"/>
    <w:rsid w:val="002F6785"/>
    <w:rsid w:val="0030329E"/>
    <w:rsid w:val="003171E6"/>
    <w:rsid w:val="00327CE4"/>
    <w:rsid w:val="00385EE9"/>
    <w:rsid w:val="003C0870"/>
    <w:rsid w:val="003D3DFA"/>
    <w:rsid w:val="003F2D8C"/>
    <w:rsid w:val="00425197"/>
    <w:rsid w:val="00426155"/>
    <w:rsid w:val="0043293D"/>
    <w:rsid w:val="00490DC5"/>
    <w:rsid w:val="004E2D67"/>
    <w:rsid w:val="00507146"/>
    <w:rsid w:val="005106F4"/>
    <w:rsid w:val="00524B0D"/>
    <w:rsid w:val="00564753"/>
    <w:rsid w:val="005B2B19"/>
    <w:rsid w:val="005B7095"/>
    <w:rsid w:val="005E2AE1"/>
    <w:rsid w:val="005F40C7"/>
    <w:rsid w:val="00611D0A"/>
    <w:rsid w:val="0062503A"/>
    <w:rsid w:val="0063436C"/>
    <w:rsid w:val="006B032A"/>
    <w:rsid w:val="006C1BAD"/>
    <w:rsid w:val="006E1E0D"/>
    <w:rsid w:val="00701DA6"/>
    <w:rsid w:val="00706D69"/>
    <w:rsid w:val="00760DAD"/>
    <w:rsid w:val="00765EF4"/>
    <w:rsid w:val="007D7699"/>
    <w:rsid w:val="008032D6"/>
    <w:rsid w:val="00813A60"/>
    <w:rsid w:val="00860CB4"/>
    <w:rsid w:val="00871B9A"/>
    <w:rsid w:val="008C0403"/>
    <w:rsid w:val="008D5C54"/>
    <w:rsid w:val="009208A8"/>
    <w:rsid w:val="00935E9B"/>
    <w:rsid w:val="00973FA5"/>
    <w:rsid w:val="009C0416"/>
    <w:rsid w:val="009C0D3F"/>
    <w:rsid w:val="009D1612"/>
    <w:rsid w:val="009F5DE9"/>
    <w:rsid w:val="00A60E85"/>
    <w:rsid w:val="00A838AD"/>
    <w:rsid w:val="00A86E4B"/>
    <w:rsid w:val="00AB7416"/>
    <w:rsid w:val="00B46178"/>
    <w:rsid w:val="00B82287"/>
    <w:rsid w:val="00BA140A"/>
    <w:rsid w:val="00C01831"/>
    <w:rsid w:val="00C02F4F"/>
    <w:rsid w:val="00C1057D"/>
    <w:rsid w:val="00C22DF1"/>
    <w:rsid w:val="00C262D0"/>
    <w:rsid w:val="00C3137A"/>
    <w:rsid w:val="00C66A4D"/>
    <w:rsid w:val="00C8313A"/>
    <w:rsid w:val="00C913D0"/>
    <w:rsid w:val="00CB03D6"/>
    <w:rsid w:val="00D00BF2"/>
    <w:rsid w:val="00D226C1"/>
    <w:rsid w:val="00D364C2"/>
    <w:rsid w:val="00D64A38"/>
    <w:rsid w:val="00D81FA5"/>
    <w:rsid w:val="00DB5C2E"/>
    <w:rsid w:val="00E51F20"/>
    <w:rsid w:val="00E66D0A"/>
    <w:rsid w:val="00E94012"/>
    <w:rsid w:val="00E95475"/>
    <w:rsid w:val="00ED21C2"/>
    <w:rsid w:val="00EF3D4C"/>
    <w:rsid w:val="00F0755D"/>
    <w:rsid w:val="00F2737C"/>
    <w:rsid w:val="00F715FC"/>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75959"/>
  <w15:chartTrackingRefBased/>
  <w15:docId w15:val="{43560F2D-B617-42E8-9156-552C9D79E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8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8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8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8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8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8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8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8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8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8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8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8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8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8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8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8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8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831"/>
    <w:rPr>
      <w:rFonts w:eastAsiaTheme="majorEastAsia" w:cstheme="majorBidi"/>
      <w:color w:val="272727" w:themeColor="text1" w:themeTint="D8"/>
    </w:rPr>
  </w:style>
  <w:style w:type="paragraph" w:styleId="Title">
    <w:name w:val="Title"/>
    <w:basedOn w:val="Normal"/>
    <w:next w:val="Normal"/>
    <w:link w:val="TitleChar"/>
    <w:uiPriority w:val="10"/>
    <w:qFormat/>
    <w:rsid w:val="00C018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8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8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8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831"/>
    <w:pPr>
      <w:spacing w:before="160"/>
      <w:jc w:val="center"/>
    </w:pPr>
    <w:rPr>
      <w:i/>
      <w:iCs/>
      <w:color w:val="404040" w:themeColor="text1" w:themeTint="BF"/>
    </w:rPr>
  </w:style>
  <w:style w:type="character" w:customStyle="1" w:styleId="QuoteChar">
    <w:name w:val="Quote Char"/>
    <w:basedOn w:val="DefaultParagraphFont"/>
    <w:link w:val="Quote"/>
    <w:uiPriority w:val="29"/>
    <w:rsid w:val="00C01831"/>
    <w:rPr>
      <w:i/>
      <w:iCs/>
      <w:color w:val="404040" w:themeColor="text1" w:themeTint="BF"/>
    </w:rPr>
  </w:style>
  <w:style w:type="paragraph" w:styleId="ListParagraph">
    <w:name w:val="List Paragraph"/>
    <w:basedOn w:val="Normal"/>
    <w:uiPriority w:val="34"/>
    <w:qFormat/>
    <w:rsid w:val="00C01831"/>
    <w:pPr>
      <w:ind w:left="720"/>
      <w:contextualSpacing/>
    </w:pPr>
  </w:style>
  <w:style w:type="character" w:styleId="IntenseEmphasis">
    <w:name w:val="Intense Emphasis"/>
    <w:basedOn w:val="DefaultParagraphFont"/>
    <w:uiPriority w:val="21"/>
    <w:qFormat/>
    <w:rsid w:val="00C01831"/>
    <w:rPr>
      <w:i/>
      <w:iCs/>
      <w:color w:val="0F4761" w:themeColor="accent1" w:themeShade="BF"/>
    </w:rPr>
  </w:style>
  <w:style w:type="paragraph" w:styleId="IntenseQuote">
    <w:name w:val="Intense Quote"/>
    <w:basedOn w:val="Normal"/>
    <w:next w:val="Normal"/>
    <w:link w:val="IntenseQuoteChar"/>
    <w:uiPriority w:val="30"/>
    <w:qFormat/>
    <w:rsid w:val="00C018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831"/>
    <w:rPr>
      <w:i/>
      <w:iCs/>
      <w:color w:val="0F4761" w:themeColor="accent1" w:themeShade="BF"/>
    </w:rPr>
  </w:style>
  <w:style w:type="character" w:styleId="IntenseReference">
    <w:name w:val="Intense Reference"/>
    <w:basedOn w:val="DefaultParagraphFont"/>
    <w:uiPriority w:val="32"/>
    <w:qFormat/>
    <w:rsid w:val="00C01831"/>
    <w:rPr>
      <w:b/>
      <w:bCs/>
      <w:smallCaps/>
      <w:color w:val="0F4761" w:themeColor="accent1" w:themeShade="BF"/>
      <w:spacing w:val="5"/>
    </w:rPr>
  </w:style>
  <w:style w:type="paragraph" w:styleId="FootnoteText">
    <w:name w:val="footnote text"/>
    <w:basedOn w:val="Normal"/>
    <w:link w:val="FootnoteTextChar"/>
    <w:uiPriority w:val="99"/>
    <w:semiHidden/>
    <w:unhideWhenUsed/>
    <w:rsid w:val="00C018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1831"/>
    <w:rPr>
      <w:sz w:val="20"/>
      <w:szCs w:val="20"/>
    </w:rPr>
  </w:style>
  <w:style w:type="character" w:styleId="FootnoteReference">
    <w:name w:val="footnote reference"/>
    <w:basedOn w:val="DefaultParagraphFont"/>
    <w:uiPriority w:val="99"/>
    <w:semiHidden/>
    <w:unhideWhenUsed/>
    <w:rsid w:val="00C01831"/>
    <w:rPr>
      <w:vertAlign w:val="superscript"/>
    </w:rPr>
  </w:style>
  <w:style w:type="character" w:styleId="Hyperlink">
    <w:name w:val="Hyperlink"/>
    <w:basedOn w:val="DefaultParagraphFont"/>
    <w:uiPriority w:val="99"/>
    <w:unhideWhenUsed/>
    <w:rsid w:val="00C01831"/>
    <w:rPr>
      <w:color w:val="467886" w:themeColor="hyperlink"/>
      <w:u w:val="single"/>
    </w:rPr>
  </w:style>
  <w:style w:type="character" w:styleId="UnresolvedMention">
    <w:name w:val="Unresolved Mention"/>
    <w:basedOn w:val="DefaultParagraphFont"/>
    <w:uiPriority w:val="99"/>
    <w:semiHidden/>
    <w:unhideWhenUsed/>
    <w:rsid w:val="00C01831"/>
    <w:rPr>
      <w:color w:val="605E5C"/>
      <w:shd w:val="clear" w:color="auto" w:fill="E1DFDD"/>
    </w:rPr>
  </w:style>
  <w:style w:type="paragraph" w:styleId="Header">
    <w:name w:val="header"/>
    <w:basedOn w:val="Normal"/>
    <w:link w:val="HeaderChar"/>
    <w:uiPriority w:val="99"/>
    <w:unhideWhenUsed/>
    <w:rsid w:val="00803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2D6"/>
  </w:style>
  <w:style w:type="paragraph" w:styleId="Footer">
    <w:name w:val="footer"/>
    <w:basedOn w:val="Normal"/>
    <w:link w:val="FooterChar"/>
    <w:uiPriority w:val="99"/>
    <w:unhideWhenUsed/>
    <w:rsid w:val="00803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2D6"/>
  </w:style>
  <w:style w:type="paragraph" w:styleId="TOC1">
    <w:name w:val="toc 1"/>
    <w:basedOn w:val="Normal"/>
    <w:next w:val="Normal"/>
    <w:uiPriority w:val="39"/>
    <w:unhideWhenUsed/>
    <w:rsid w:val="00D364C2"/>
    <w:pPr>
      <w:spacing w:after="100" w:line="278" w:lineRule="auto"/>
    </w:pPr>
    <w:rPr>
      <w:sz w:val="24"/>
      <w:szCs w:val="24"/>
    </w:rPr>
  </w:style>
  <w:style w:type="paragraph" w:styleId="TOC2">
    <w:name w:val="toc 2"/>
    <w:basedOn w:val="Normal"/>
    <w:next w:val="Normal"/>
    <w:uiPriority w:val="39"/>
    <w:unhideWhenUsed/>
    <w:rsid w:val="00D364C2"/>
    <w:pPr>
      <w:spacing w:after="100" w:line="278" w:lineRule="auto"/>
      <w:ind w:left="220"/>
    </w:pPr>
    <w:rPr>
      <w:sz w:val="24"/>
      <w:szCs w:val="24"/>
    </w:rPr>
  </w:style>
  <w:style w:type="paragraph" w:styleId="NormalWeb">
    <w:name w:val="Normal (Web)"/>
    <w:basedOn w:val="Normal"/>
    <w:uiPriority w:val="99"/>
    <w:semiHidden/>
    <w:unhideWhenUsed/>
    <w:rsid w:val="003F2D8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73751-8173-4FC9-BA9D-42A08891C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10</Pages>
  <Words>2350</Words>
  <Characters>13399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Missa (2419636)</dc:creator>
  <cp:keywords/>
  <dc:description/>
  <cp:lastModifiedBy>Joyce Missa (2419636)</cp:lastModifiedBy>
  <cp:revision>33</cp:revision>
  <dcterms:created xsi:type="dcterms:W3CDTF">2026-03-21T11:49:00Z</dcterms:created>
  <dcterms:modified xsi:type="dcterms:W3CDTF">2026-03-22T23:00:00Z</dcterms:modified>
</cp:coreProperties>
</file>