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833D9BD">
      <w:pPr>
        <w:pStyle w:val="3"/>
        <w:bidi w:val="0"/>
        <w:jc w:val="center"/>
        <w:rPr>
          <w:rFonts w:hint="eastAsia"/>
        </w:rPr>
      </w:pPr>
      <w:r>
        <w:rPr>
          <w:rFonts w:hint="eastAsia"/>
        </w:rPr>
        <w:t>Activating Ritual Healing Through Fiber Installation:</w:t>
      </w:r>
    </w:p>
    <w:p w14:paraId="6D1F6219">
      <w:pPr>
        <w:pStyle w:val="3"/>
        <w:bidi w:val="0"/>
        <w:jc w:val="center"/>
        <w:rPr>
          <w:rFonts w:hint="eastAsia"/>
        </w:rPr>
      </w:pPr>
      <w:r>
        <w:rPr>
          <w:rFonts w:hint="eastAsia"/>
        </w:rPr>
        <w:t>An Embodied Approach to Nuo Opera</w:t>
      </w:r>
    </w:p>
    <w:p w14:paraId="5197D5A8">
      <w:pPr>
        <w:rPr>
          <w:rFonts w:hint="eastAsia" w:ascii="黑体" w:hAnsi="黑体" w:eastAsia="黑体" w:cs="黑体"/>
        </w:rPr>
      </w:pPr>
    </w:p>
    <w:p w14:paraId="75EBA95A">
      <w:pPr>
        <w:rPr>
          <w:rFonts w:hint="eastAsia" w:ascii="微软雅黑" w:hAnsi="微软雅黑" w:eastAsia="微软雅黑" w:cs="微软雅黑"/>
          <w:sz w:val="28"/>
          <w:szCs w:val="28"/>
          <w:lang w:val="en-US" w:eastAsia="zh-CN"/>
        </w:rPr>
      </w:pPr>
      <w:r>
        <w:rPr>
          <w:rFonts w:hint="eastAsia" w:ascii="微软雅黑" w:hAnsi="微软雅黑" w:eastAsia="微软雅黑" w:cs="微软雅黑"/>
          <w:sz w:val="28"/>
          <w:szCs w:val="28"/>
          <w:lang w:val="en-US" w:eastAsia="zh-CN"/>
        </w:rPr>
        <w:t>Abstract</w:t>
      </w:r>
    </w:p>
    <w:p w14:paraId="5B6DFB61">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This paper presents a doctoral research design based on artistic practice, exploring how to translate the ritual spirit of Nuo opera into a sensory healing experience through fiber installations. Anxiety and emotional alienation are widespread in contemporary society, and Nuo opera is an ancient Chinese ritual with definite healing potential. In the context of intangible cultural heritage, it is often presented in the form of static cultural symbols. The current activation practices overly focus on visual replication and symbolic interpretation, neglecting the transmission mechanism from ritual atmosphere to physical sensation. To fill this gap, this study designs and plans to evaluate an immersive fiber installation, which consists of five interactive modules: a softening fiber mask, a full-coverage tactile floor mat, a ritual white noise sound field, a hidden low-frequency vibration system, and an emotional wish wall. The research design adopts a three-round action study, supplemented by unstructured visual logs, thematic analysis, semi-structured interviews, observation records, and optional physiological measurements (skin conductance response and heart rate variability). The expected contribution lies in challenging the mainstream assumption that the revitalization of intangible cultural heritage must rely on semantic interpretation and providing replicable, experience-based design models for heritage revitalization. All the methods and practical activities described in this article are in the planning stage and have not yet been implemented.</w:t>
      </w:r>
    </w:p>
    <w:p w14:paraId="55313327">
      <w:pPr>
        <w:rPr>
          <w:rFonts w:hint="eastAsia" w:ascii="微软雅黑" w:hAnsi="微软雅黑" w:eastAsia="微软雅黑" w:cs="微软雅黑"/>
          <w:sz w:val="18"/>
          <w:szCs w:val="18"/>
        </w:rPr>
      </w:pPr>
    </w:p>
    <w:p w14:paraId="63B9CFF9">
      <w:pPr>
        <w:rPr>
          <w:rFonts w:hint="eastAsia" w:ascii="微软雅黑" w:hAnsi="微软雅黑" w:eastAsia="微软雅黑" w:cs="微软雅黑"/>
          <w:sz w:val="18"/>
          <w:szCs w:val="18"/>
        </w:rPr>
      </w:pPr>
      <w:r>
        <w:rPr>
          <w:rFonts w:hint="eastAsia" w:ascii="微软雅黑" w:hAnsi="微软雅黑" w:eastAsia="微软雅黑" w:cs="微软雅黑"/>
          <w:sz w:val="28"/>
          <w:szCs w:val="28"/>
          <w:lang w:val="en-US" w:eastAsia="zh-CN"/>
        </w:rPr>
        <w:t>Keywords：</w:t>
      </w:r>
    </w:p>
    <w:p w14:paraId="3108FC6A">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Nuo opera; fiber installation; immersive space; action research; embodied phenomenology; cultural translation; ritual healing</w:t>
      </w:r>
    </w:p>
    <w:p w14:paraId="59AE4D07">
      <w:pPr>
        <w:rPr>
          <w:rFonts w:hint="eastAsia" w:ascii="微软雅黑" w:hAnsi="微软雅黑" w:eastAsia="微软雅黑" w:cs="微软雅黑"/>
          <w:sz w:val="18"/>
          <w:szCs w:val="18"/>
        </w:rPr>
      </w:pPr>
    </w:p>
    <w:p w14:paraId="703D61FF">
      <w:pPr>
        <w:rPr>
          <w:rFonts w:hint="eastAsia" w:ascii="微软雅黑" w:hAnsi="微软雅黑" w:eastAsia="微软雅黑" w:cs="微软雅黑"/>
          <w:sz w:val="18"/>
          <w:szCs w:val="18"/>
        </w:rPr>
      </w:pPr>
    </w:p>
    <w:p w14:paraId="40BD105B">
      <w:pPr>
        <w:rPr>
          <w:rFonts w:hint="eastAsia" w:ascii="微软雅黑" w:hAnsi="微软雅黑" w:eastAsia="微软雅黑" w:cs="微软雅黑"/>
          <w:sz w:val="18"/>
          <w:szCs w:val="18"/>
        </w:rPr>
      </w:pPr>
    </w:p>
    <w:p w14:paraId="74F28F12">
      <w:pPr>
        <w:rPr>
          <w:rFonts w:hint="eastAsia" w:ascii="微软雅黑" w:hAnsi="微软雅黑" w:eastAsia="微软雅黑" w:cs="微软雅黑"/>
          <w:sz w:val="18"/>
          <w:szCs w:val="18"/>
        </w:rPr>
      </w:pPr>
    </w:p>
    <w:p w14:paraId="6843A7CE">
      <w:pPr>
        <w:rPr>
          <w:rFonts w:hint="eastAsia" w:ascii="微软雅黑" w:hAnsi="微软雅黑" w:eastAsia="微软雅黑" w:cs="微软雅黑"/>
          <w:sz w:val="18"/>
          <w:szCs w:val="18"/>
        </w:rPr>
      </w:pPr>
    </w:p>
    <w:p w14:paraId="7D09A211">
      <w:pPr>
        <w:rPr>
          <w:rFonts w:hint="eastAsia" w:ascii="微软雅黑" w:hAnsi="微软雅黑" w:eastAsia="微软雅黑" w:cs="微软雅黑"/>
          <w:sz w:val="18"/>
          <w:szCs w:val="18"/>
        </w:rPr>
      </w:pPr>
    </w:p>
    <w:p w14:paraId="2E7FE387">
      <w:pPr>
        <w:rPr>
          <w:rFonts w:hint="eastAsia" w:ascii="微软雅黑" w:hAnsi="微软雅黑" w:eastAsia="微软雅黑" w:cs="微软雅黑"/>
          <w:sz w:val="18"/>
          <w:szCs w:val="18"/>
        </w:rPr>
      </w:pPr>
    </w:p>
    <w:p w14:paraId="31CAFF28">
      <w:pPr>
        <w:rPr>
          <w:rFonts w:hint="eastAsia" w:ascii="微软雅黑" w:hAnsi="微软雅黑" w:eastAsia="微软雅黑" w:cs="微软雅黑"/>
          <w:sz w:val="18"/>
          <w:szCs w:val="18"/>
        </w:rPr>
      </w:pPr>
    </w:p>
    <w:p w14:paraId="1147EE39">
      <w:pPr>
        <w:rPr>
          <w:rFonts w:hint="eastAsia" w:ascii="微软雅黑" w:hAnsi="微软雅黑" w:eastAsia="微软雅黑" w:cs="微软雅黑"/>
          <w:sz w:val="18"/>
          <w:szCs w:val="18"/>
        </w:rPr>
      </w:pPr>
    </w:p>
    <w:p w14:paraId="444FADEE">
      <w:pPr>
        <w:rPr>
          <w:rFonts w:hint="eastAsia" w:ascii="微软雅黑" w:hAnsi="微软雅黑" w:eastAsia="微软雅黑" w:cs="微软雅黑"/>
          <w:sz w:val="18"/>
          <w:szCs w:val="18"/>
        </w:rPr>
      </w:pPr>
    </w:p>
    <w:p w14:paraId="2AEF1468">
      <w:pPr>
        <w:rPr>
          <w:rFonts w:hint="eastAsia" w:ascii="微软雅黑" w:hAnsi="微软雅黑" w:eastAsia="微软雅黑" w:cs="微软雅黑"/>
          <w:sz w:val="18"/>
          <w:szCs w:val="18"/>
        </w:rPr>
      </w:pPr>
    </w:p>
    <w:p w14:paraId="73939D21">
      <w:pPr>
        <w:rPr>
          <w:rFonts w:hint="eastAsia" w:ascii="微软雅黑" w:hAnsi="微软雅黑" w:eastAsia="微软雅黑" w:cs="微软雅黑"/>
          <w:sz w:val="18"/>
          <w:szCs w:val="18"/>
        </w:rPr>
      </w:pPr>
    </w:p>
    <w:p w14:paraId="1146C648">
      <w:pPr>
        <w:rPr>
          <w:rFonts w:hint="eastAsia" w:ascii="微软雅黑" w:hAnsi="微软雅黑" w:eastAsia="微软雅黑" w:cs="微软雅黑"/>
          <w:sz w:val="18"/>
          <w:szCs w:val="18"/>
        </w:rPr>
      </w:pPr>
    </w:p>
    <w:p w14:paraId="61AA990E">
      <w:pPr>
        <w:rPr>
          <w:rFonts w:hint="eastAsia" w:ascii="微软雅黑" w:hAnsi="微软雅黑" w:eastAsia="微软雅黑" w:cs="微软雅黑"/>
          <w:sz w:val="28"/>
          <w:szCs w:val="28"/>
        </w:rPr>
      </w:pPr>
      <w:r>
        <w:rPr>
          <w:rFonts w:hint="eastAsia" w:ascii="微软雅黑" w:hAnsi="微软雅黑" w:eastAsia="微软雅黑" w:cs="微软雅黑"/>
          <w:sz w:val="28"/>
          <w:szCs w:val="28"/>
        </w:rPr>
        <w:t>1 Introduction</w:t>
      </w:r>
    </w:p>
    <w:p w14:paraId="4B9CA2B7">
      <w:pPr>
        <w:numPr>
          <w:ilvl w:val="1"/>
          <w:numId w:val="0"/>
        </w:numPr>
        <w:ind w:left="0" w:leftChars="0" w:firstLine="0" w:firstLineChars="0"/>
        <w:rPr>
          <w:rFonts w:hint="eastAsia" w:ascii="微软雅黑" w:hAnsi="微软雅黑" w:eastAsia="微软雅黑" w:cs="微软雅黑"/>
          <w:sz w:val="24"/>
          <w:szCs w:val="24"/>
        </w:rPr>
      </w:pPr>
      <w:r>
        <w:rPr>
          <w:rFonts w:hint="default" w:ascii="微软雅黑" w:hAnsi="微软雅黑" w:eastAsia="微软雅黑" w:cs="微软雅黑"/>
          <w:kern w:val="2"/>
          <w:sz w:val="24"/>
          <w:szCs w:val="24"/>
          <w:lang w:val="en-US" w:eastAsia="zh-CN" w:bidi="ar-SA"/>
        </w:rPr>
        <w:t>1.1</w:t>
      </w:r>
      <w:r>
        <w:rPr>
          <w:rFonts w:hint="eastAsia" w:ascii="微软雅黑" w:hAnsi="微软雅黑" w:eastAsia="微软雅黑" w:cs="微软雅黑"/>
          <w:kern w:val="2"/>
          <w:sz w:val="24"/>
          <w:szCs w:val="24"/>
          <w:lang w:val="en-US" w:eastAsia="zh-CN" w:bidi="ar-SA"/>
        </w:rPr>
        <w:t xml:space="preserve"> </w:t>
      </w:r>
      <w:r>
        <w:rPr>
          <w:rFonts w:hint="eastAsia" w:ascii="微软雅黑" w:hAnsi="微软雅黑" w:eastAsia="微软雅黑" w:cs="微软雅黑"/>
          <w:sz w:val="24"/>
          <w:szCs w:val="24"/>
        </w:rPr>
        <w:t xml:space="preserve">Research </w:t>
      </w:r>
      <w:r>
        <w:rPr>
          <w:rFonts w:hint="eastAsia" w:ascii="微软雅黑" w:hAnsi="微软雅黑" w:eastAsia="微软雅黑" w:cs="微软雅黑"/>
          <w:sz w:val="24"/>
          <w:szCs w:val="24"/>
        </w:rPr>
        <w:t>Background</w:t>
      </w:r>
    </w:p>
    <w:p w14:paraId="7AA2D9CC">
      <w:pPr>
        <w:rPr>
          <w:rFonts w:hint="eastAsia" w:ascii="微软雅黑" w:hAnsi="微软雅黑" w:eastAsia="微软雅黑" w:cs="微软雅黑"/>
          <w:sz w:val="18"/>
          <w:szCs w:val="18"/>
          <w:lang w:eastAsia="zh-CN"/>
        </w:rPr>
      </w:pPr>
    </w:p>
    <w:p w14:paraId="13D3E9A1">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In contemporary society, there is a widespread prevalence of intense anxiety, emotional exhaustion and a pervasive sense of alienation. Despite</w:t>
      </w:r>
      <w:r>
        <w:rPr>
          <w:rFonts w:hint="eastAsia" w:ascii="微软雅黑" w:hAnsi="微软雅黑" w:eastAsia="微软雅黑" w:cs="微软雅黑"/>
          <w:sz w:val="18"/>
          <w:szCs w:val="18"/>
        </w:rPr>
        <w:t xml:space="preserve"> the increasingly abundant material conditions, many people still find it difficult to find Spaces that can offer tranquility, shelter and psychological transformation experiences. Meanwhile, those traditional rituals that once served the function of community healing are gradually being marginalized or simplified into tourism performances.</w:t>
      </w:r>
    </w:p>
    <w:p w14:paraId="06693D46">
      <w:pPr>
        <w:rPr>
          <w:rFonts w:hint="eastAsia" w:ascii="微软雅黑" w:hAnsi="微软雅黑" w:eastAsia="微软雅黑" w:cs="微软雅黑"/>
          <w:sz w:val="18"/>
          <w:szCs w:val="18"/>
        </w:rPr>
      </w:pPr>
    </w:p>
    <w:p w14:paraId="4B1AA9E4">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Nuo opera is an ancient Chinese ritual performance. It comprehensively employs masks, dances, rhythmic singing and recitation, as well as symbolic movements. Historically, Nuo opera was used to drive away evil spirits, pray for blessings and bring peace to the community. This ceremony creates a threshold, protective space where participants can experience transition, emotional release and existential comfort. These traits indicate that Nuo opera holds considerable healing potential, which remains far from being exploited in the context of contemporary heritage.</w:t>
      </w:r>
    </w:p>
    <w:p w14:paraId="6A2CA560">
      <w:pPr>
        <w:rPr>
          <w:rFonts w:hint="eastAsia" w:ascii="微软雅黑" w:hAnsi="微软雅黑" w:eastAsia="微软雅黑" w:cs="微软雅黑"/>
          <w:sz w:val="18"/>
          <w:szCs w:val="18"/>
        </w:rPr>
      </w:pPr>
    </w:p>
    <w:p w14:paraId="56FF5052">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However, in most museums and intangible cultural heritage exhibitions today, Nuo opera is treated as a static artifact. The exhibition focuses on visual replication: masks are displayed in glass cabinets, costumes are recorded and archived, and performances are made into videos for playback. The text description beside explains the historical origin, the meaning of the symbols and the ritual process. The inherent spiritual aspect of the ritual, its ability to soothe and transform emotional states, is rarely conveyed. For the younger generation, Nuo opera often seems distant, hideous and hard to understand. There is a clear disconnect between the original healing function of the ritual and its current presentation as a research object or ornamental object.</w:t>
      </w:r>
    </w:p>
    <w:p w14:paraId="7A203E65">
      <w:pPr>
        <w:rPr>
          <w:rFonts w:hint="eastAsia" w:ascii="微软雅黑" w:hAnsi="微软雅黑" w:eastAsia="微软雅黑" w:cs="微软雅黑"/>
          <w:sz w:val="18"/>
          <w:szCs w:val="18"/>
        </w:rPr>
      </w:pPr>
    </w:p>
    <w:p w14:paraId="1B909098">
      <w:pPr>
        <w:numPr>
          <w:ilvl w:val="1"/>
          <w:numId w:val="0"/>
        </w:numPr>
        <w:ind w:left="0" w:leftChars="0" w:firstLine="0" w:firstLineChars="0"/>
        <w:rPr>
          <w:rFonts w:hint="eastAsia" w:ascii="微软雅黑" w:hAnsi="微软雅黑" w:eastAsia="微软雅黑" w:cs="微软雅黑"/>
          <w:sz w:val="24"/>
          <w:szCs w:val="24"/>
        </w:rPr>
      </w:pPr>
      <w:r>
        <w:rPr>
          <w:rFonts w:hint="default" w:ascii="微软雅黑" w:hAnsi="微软雅黑" w:eastAsia="微软雅黑" w:cs="微软雅黑"/>
          <w:kern w:val="2"/>
          <w:sz w:val="24"/>
          <w:szCs w:val="24"/>
          <w:lang w:val="en-US" w:eastAsia="zh-CN" w:bidi="ar-SA"/>
        </w:rPr>
        <w:t>1.2</w:t>
      </w:r>
      <w:r>
        <w:rPr>
          <w:rFonts w:hint="eastAsia" w:ascii="微软雅黑" w:hAnsi="微软雅黑" w:eastAsia="微软雅黑" w:cs="微软雅黑"/>
          <w:sz w:val="24"/>
          <w:szCs w:val="24"/>
        </w:rPr>
        <w:t xml:space="preserve"> Research Questions</w:t>
      </w:r>
    </w:p>
    <w:p w14:paraId="147F575E">
      <w:pPr>
        <w:rPr>
          <w:rFonts w:hint="eastAsia" w:ascii="微软雅黑" w:hAnsi="微软雅黑" w:eastAsia="微软雅黑" w:cs="微软雅黑"/>
          <w:sz w:val="18"/>
          <w:szCs w:val="18"/>
        </w:rPr>
      </w:pPr>
    </w:p>
    <w:p w14:paraId="1CCA1732">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This research centers on a core conundrum: How can a spiritual core derived from ancient rituals be perc</w:t>
      </w:r>
      <w:r>
        <w:rPr>
          <w:rFonts w:hint="eastAsia" w:ascii="微软雅黑" w:hAnsi="微软雅黑" w:eastAsia="微软雅黑" w:cs="微软雅黑"/>
          <w:sz w:val="18"/>
          <w:szCs w:val="18"/>
        </w:rPr>
        <w:t>eived by modern people's bodies without the need for textual explanations? This gives rise to a set of interrelated problems.</w:t>
      </w:r>
    </w:p>
    <w:p w14:paraId="1D884C00">
      <w:pPr>
        <w:rPr>
          <w:rFonts w:hint="eastAsia" w:ascii="微软雅黑" w:hAnsi="微软雅黑" w:eastAsia="微软雅黑" w:cs="微软雅黑"/>
          <w:sz w:val="18"/>
          <w:szCs w:val="18"/>
        </w:rPr>
      </w:pPr>
    </w:p>
    <w:p w14:paraId="123B2F7B">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First, it involves the processing of symbols: How to strip away the external hideous and intimidating symbolic features of Nuo opera while retaining its quiet, protective and spiritually soothing core? The key here is not to abandon tradition, but to translate its emotional essence into a form that can respond to contemporary sensitivity. Secondly, it involves the selection and integration of media: with fiber art as the carrier, combined with a low-frequency white noise sound field and hidden body-sensing vibration devices, can a ritual healing space that does not rely on language and can be perceived only by the body be constructed? Behind this question lies the assumption that "the body serves as a place for meaning construction". Finally, there is a methodological inquiry: Can action research, unstructured visual logs, thematic analysis, and hybrid methods effectively record and verify the design process of the above-mentioned devices and their expected therapeutic effects? This directly responds to the methodological difficulty of how to capture pre-linguistic and sensory experiences in the research of artistic practice.</w:t>
      </w:r>
    </w:p>
    <w:p w14:paraId="63637BC4">
      <w:pPr>
        <w:rPr>
          <w:rFonts w:hint="eastAsia" w:ascii="微软雅黑" w:hAnsi="微软雅黑" w:eastAsia="微软雅黑" w:cs="微软雅黑"/>
          <w:sz w:val="18"/>
          <w:szCs w:val="18"/>
        </w:rPr>
      </w:pPr>
    </w:p>
    <w:p w14:paraId="6FA9AAD7">
      <w:pPr>
        <w:numPr>
          <w:ilvl w:val="1"/>
          <w:numId w:val="0"/>
        </w:numPr>
        <w:ind w:left="0" w:leftChars="0" w:firstLine="0" w:firstLineChars="0"/>
        <w:rPr>
          <w:rFonts w:hint="eastAsia" w:ascii="微软雅黑" w:hAnsi="微软雅黑" w:eastAsia="微软雅黑" w:cs="微软雅黑"/>
          <w:sz w:val="24"/>
          <w:szCs w:val="24"/>
        </w:rPr>
      </w:pPr>
      <w:r>
        <w:rPr>
          <w:rFonts w:hint="default" w:ascii="微软雅黑" w:hAnsi="微软雅黑" w:eastAsia="微软雅黑" w:cs="微软雅黑"/>
          <w:kern w:val="2"/>
          <w:sz w:val="24"/>
          <w:szCs w:val="24"/>
          <w:lang w:val="en-US" w:eastAsia="zh-CN" w:bidi="ar-SA"/>
        </w:rPr>
        <w:t>1.3</w:t>
      </w:r>
      <w:r>
        <w:rPr>
          <w:rFonts w:hint="eastAsia" w:ascii="微软雅黑" w:hAnsi="微软雅黑" w:eastAsia="微软雅黑" w:cs="微软雅黑"/>
          <w:kern w:val="2"/>
          <w:sz w:val="24"/>
          <w:szCs w:val="24"/>
          <w:lang w:val="en-US" w:eastAsia="zh-CN" w:bidi="ar-SA"/>
        </w:rPr>
        <w:t xml:space="preserve"> </w:t>
      </w:r>
      <w:r>
        <w:rPr>
          <w:rFonts w:hint="eastAsia" w:ascii="微软雅黑" w:hAnsi="微软雅黑" w:eastAsia="微软雅黑" w:cs="微软雅黑"/>
          <w:sz w:val="24"/>
          <w:szCs w:val="24"/>
        </w:rPr>
        <w:t>Research Objectives and Purposes</w:t>
      </w:r>
    </w:p>
    <w:p w14:paraId="66D8FD99">
      <w:pPr>
        <w:rPr>
          <w:rFonts w:hint="eastAsia" w:ascii="微软雅黑" w:hAnsi="微软雅黑" w:eastAsia="微软雅黑" w:cs="微软雅黑"/>
          <w:sz w:val="18"/>
          <w:szCs w:val="18"/>
        </w:rPr>
      </w:pPr>
    </w:p>
    <w:p w14:paraId="09AFC8D0">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 over</w:t>
      </w:r>
      <w:r>
        <w:rPr>
          <w:rFonts w:hint="eastAsia" w:ascii="微软雅黑" w:hAnsi="微软雅黑" w:eastAsia="微软雅黑" w:cs="微软雅黑"/>
          <w:sz w:val="18"/>
          <w:szCs w:val="18"/>
        </w:rPr>
        <w:t>all goal of this study is to design an immersive installation scheme based on fiber materials, translating the ritual spirit of Nuo opera into a non-verbal sensory healing experience.</w:t>
      </w:r>
    </w:p>
    <w:p w14:paraId="32E0D455">
      <w:pPr>
        <w:rPr>
          <w:rFonts w:hint="eastAsia" w:ascii="微软雅黑" w:hAnsi="微软雅黑" w:eastAsia="微软雅黑" w:cs="微软雅黑"/>
          <w:sz w:val="18"/>
          <w:szCs w:val="18"/>
        </w:rPr>
      </w:pPr>
    </w:p>
    <w:p w14:paraId="5C01DE86">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First, it is necessary to complete the detailed design blueprints of the five major interactive modules, which include the softening fiber mask, the full-coverage tactile floor mat, the ritual white noise sound field, the hidden low-frequency vibration system, and the emotional wish wall. Secondly, a hybrid method evaluation framework will be designed, which will include unstructured visual logs, semi-structured interviews, observation records, and, where permitted by the equipment, physiological measurements such as skin conductance response and heart rate variability will be added. It is also necessary to plan out three rounds of action research cycles to enable the device to be iteratively optimized based on the feedback from the participants and the reflections of the researchers.</w:t>
      </w:r>
    </w:p>
    <w:p w14:paraId="4CF3A837">
      <w:pPr>
        <w:rPr>
          <w:rFonts w:hint="eastAsia" w:ascii="微软雅黑" w:hAnsi="微软雅黑" w:eastAsia="微软雅黑" w:cs="微软雅黑"/>
          <w:sz w:val="18"/>
          <w:szCs w:val="18"/>
        </w:rPr>
      </w:pPr>
    </w:p>
    <w:p w14:paraId="784E69CB">
      <w:pPr>
        <w:numPr>
          <w:ilvl w:val="1"/>
          <w:numId w:val="0"/>
        </w:numPr>
        <w:ind w:left="0" w:leftChars="0" w:firstLine="0" w:firstLineChars="0"/>
        <w:rPr>
          <w:rFonts w:hint="eastAsia" w:ascii="微软雅黑" w:hAnsi="微软雅黑" w:eastAsia="微软雅黑" w:cs="微软雅黑"/>
          <w:sz w:val="24"/>
          <w:szCs w:val="24"/>
        </w:rPr>
      </w:pPr>
      <w:r>
        <w:rPr>
          <w:rFonts w:hint="default" w:ascii="微软雅黑" w:hAnsi="微软雅黑" w:eastAsia="微软雅黑" w:cs="微软雅黑"/>
          <w:kern w:val="2"/>
          <w:sz w:val="24"/>
          <w:szCs w:val="24"/>
          <w:lang w:val="en-US" w:eastAsia="zh-CN" w:bidi="ar-SA"/>
        </w:rPr>
        <w:t>1.4</w:t>
      </w:r>
      <w:r>
        <w:rPr>
          <w:rFonts w:hint="eastAsia" w:ascii="微软雅黑" w:hAnsi="微软雅黑" w:eastAsia="微软雅黑" w:cs="微软雅黑"/>
          <w:kern w:val="2"/>
          <w:sz w:val="24"/>
          <w:szCs w:val="24"/>
          <w:lang w:val="en-US" w:eastAsia="zh-CN" w:bidi="ar-SA"/>
        </w:rPr>
        <w:t xml:space="preserve"> </w:t>
      </w:r>
      <w:r>
        <w:rPr>
          <w:rFonts w:hint="eastAsia" w:ascii="微软雅黑" w:hAnsi="微软雅黑" w:eastAsia="微软雅黑" w:cs="微软雅黑"/>
          <w:sz w:val="24"/>
          <w:szCs w:val="24"/>
        </w:rPr>
        <w:t>Research Significance</w:t>
      </w:r>
    </w:p>
    <w:p w14:paraId="65D3FC0E">
      <w:pPr>
        <w:rPr>
          <w:rFonts w:hint="eastAsia" w:ascii="微软雅黑" w:hAnsi="微软雅黑" w:eastAsia="微软雅黑" w:cs="微软雅黑"/>
          <w:sz w:val="18"/>
          <w:szCs w:val="18"/>
        </w:rPr>
      </w:pPr>
    </w:p>
    <w:p w14:paraId="5F56F0CB">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At the t</w:t>
      </w:r>
      <w:r>
        <w:rPr>
          <w:rFonts w:hint="eastAsia" w:ascii="微软雅黑" w:hAnsi="微软雅黑" w:eastAsia="微软雅黑" w:cs="微软雅黑"/>
          <w:sz w:val="18"/>
          <w:szCs w:val="18"/>
        </w:rPr>
        <w:t>heoretical level, it introduces the discussion of embodied phenomenology into the field of intangible cultural heritage translation and attempts to challenge a common assumption - that the activation of intangible cultural heritage must rely on semantic interpretation, that is, telling stories, interpreting symbols, and teaching history. This study tends to hold that the sensory environment itself has the potential to convey the power of ritual healing.</w:t>
      </w:r>
    </w:p>
    <w:p w14:paraId="253A0A44">
      <w:pPr>
        <w:rPr>
          <w:rFonts w:hint="eastAsia" w:ascii="微软雅黑" w:hAnsi="微软雅黑" w:eastAsia="微软雅黑" w:cs="微软雅黑"/>
          <w:sz w:val="18"/>
          <w:szCs w:val="18"/>
        </w:rPr>
      </w:pPr>
    </w:p>
    <w:p w14:paraId="4050AA73">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At the practical level, this study aims to provide a replicable, experience-based design model for those performative intangible cultural heritage projects that have become rigid due to excessive reliance on visual replication. Exhibition designers and heritage practitioners may draw on the logic of the five modules and use the language of fibers, sound fields and vibrations to reinterpret other ritual traditions.</w:t>
      </w:r>
    </w:p>
    <w:p w14:paraId="31F98954">
      <w:pPr>
        <w:rPr>
          <w:rFonts w:hint="eastAsia" w:ascii="微软雅黑" w:hAnsi="微软雅黑" w:eastAsia="微软雅黑" w:cs="微软雅黑"/>
          <w:sz w:val="18"/>
          <w:szCs w:val="18"/>
        </w:rPr>
      </w:pPr>
    </w:p>
    <w:p w14:paraId="35A506DF">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At the methodological level, this study attempts to demonstrate how to integrate action research, visual logs, thematic analysis, and optional physiological measurements in research based on artistic practice. This integration approach may provide a reference for researchers engaged in the intersection of art, heritage and healing.</w:t>
      </w:r>
    </w:p>
    <w:p w14:paraId="719142BB">
      <w:pPr>
        <w:rPr>
          <w:rFonts w:hint="eastAsia" w:ascii="微软雅黑" w:hAnsi="微软雅黑" w:eastAsia="微软雅黑" w:cs="微软雅黑"/>
          <w:sz w:val="18"/>
          <w:szCs w:val="18"/>
        </w:rPr>
      </w:pPr>
    </w:p>
    <w:p w14:paraId="22E3014D">
      <w:pPr>
        <w:numPr>
          <w:numId w:val="0"/>
        </w:numPr>
        <w:ind w:leftChars="0"/>
        <w:rPr>
          <w:rFonts w:hint="eastAsia" w:ascii="微软雅黑" w:hAnsi="微软雅黑" w:eastAsia="微软雅黑" w:cs="微软雅黑"/>
          <w:sz w:val="24"/>
          <w:szCs w:val="24"/>
        </w:rPr>
      </w:pPr>
      <w:r>
        <w:rPr>
          <w:rFonts w:hint="eastAsia" w:ascii="微软雅黑" w:hAnsi="微软雅黑" w:eastAsia="微软雅黑" w:cs="微软雅黑"/>
          <w:sz w:val="24"/>
          <w:szCs w:val="24"/>
          <w:lang w:val="en-US" w:eastAsia="zh-CN"/>
        </w:rPr>
        <w:t xml:space="preserve">1.5 </w:t>
      </w:r>
      <w:r>
        <w:rPr>
          <w:rFonts w:hint="eastAsia" w:ascii="微软雅黑" w:hAnsi="微软雅黑" w:eastAsia="微软雅黑" w:cs="微软雅黑"/>
          <w:sz w:val="24"/>
          <w:szCs w:val="24"/>
        </w:rPr>
        <w:t>Paper Structure</w:t>
      </w:r>
    </w:p>
    <w:p w14:paraId="3C10F7D7">
      <w:pPr>
        <w:rPr>
          <w:rFonts w:hint="eastAsia" w:ascii="微软雅黑" w:hAnsi="微软雅黑" w:eastAsia="微软雅黑" w:cs="微软雅黑"/>
          <w:sz w:val="18"/>
          <w:szCs w:val="18"/>
          <w:lang w:eastAsia="zh-CN"/>
        </w:rPr>
      </w:pPr>
    </w:p>
    <w:p w14:paraId="06E51748">
      <w:pPr>
        <w:rPr>
          <w:rFonts w:hint="eastAsia" w:ascii="微软雅黑" w:hAnsi="微软雅黑" w:eastAsia="微软雅黑" w:cs="微软雅黑"/>
          <w:sz w:val="18"/>
          <w:szCs w:val="18"/>
        </w:rPr>
      </w:pPr>
      <w:r>
        <w:rPr>
          <w:rFonts w:hint="eastAsia" w:ascii="微软雅黑" w:hAnsi="微软雅黑" w:eastAsia="微软雅黑" w:cs="微软雅黑"/>
          <w:sz w:val="18"/>
          <w:szCs w:val="18"/>
          <w:lang w:eastAsia="zh-CN"/>
        </w:rPr>
        <w:t>Thi</w:t>
      </w:r>
      <w:r>
        <w:rPr>
          <w:rFonts w:hint="eastAsia" w:ascii="微软雅黑" w:hAnsi="微软雅黑" w:eastAsia="微软雅黑" w:cs="微软雅黑"/>
          <w:sz w:val="18"/>
          <w:szCs w:val="18"/>
        </w:rPr>
        <w:t>s article is divided into five chapters. After the introduction, the second chapter is a critical literature review, covering Nuo opera research, fiber art and immersive installations, embodied perception, as well as the methodology of art and design research. At the end of the chapter, the research gaps will be summarized. Chapter Three describes the planned research design and methodology, including the action research cycle, the five-module setup, the data collection process and the analysis strategy. Chapter Four discusses ethical issues in research. Chapter Five reflects on the research design itself, points out possible limitations, and proposes future research directions.</w:t>
      </w:r>
    </w:p>
    <w:p w14:paraId="4894F01F">
      <w:pPr>
        <w:rPr>
          <w:rFonts w:hint="eastAsia" w:ascii="微软雅黑" w:hAnsi="微软雅黑" w:eastAsia="微软雅黑" w:cs="微软雅黑"/>
          <w:sz w:val="18"/>
          <w:szCs w:val="18"/>
        </w:rPr>
      </w:pPr>
    </w:p>
    <w:p w14:paraId="15DD9F13">
      <w:pPr>
        <w:rPr>
          <w:rFonts w:hint="eastAsia" w:ascii="微软雅黑" w:hAnsi="微软雅黑" w:eastAsia="微软雅黑" w:cs="微软雅黑"/>
          <w:sz w:val="28"/>
          <w:szCs w:val="28"/>
        </w:rPr>
      </w:pPr>
      <w:r>
        <w:rPr>
          <w:rFonts w:hint="eastAsia" w:ascii="微软雅黑" w:hAnsi="微软雅黑" w:eastAsia="微软雅黑" w:cs="微软雅黑"/>
          <w:sz w:val="28"/>
          <w:szCs w:val="28"/>
        </w:rPr>
        <w:t>2 Literature Review</w:t>
      </w:r>
    </w:p>
    <w:p w14:paraId="786A9648">
      <w:pPr>
        <w:rPr>
          <w:rFonts w:hint="eastAsia" w:ascii="微软雅黑" w:hAnsi="微软雅黑" w:eastAsia="微软雅黑" w:cs="微软雅黑"/>
          <w:sz w:val="18"/>
          <w:szCs w:val="18"/>
        </w:rPr>
      </w:pPr>
    </w:p>
    <w:p w14:paraId="1F0B09A9">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2.1 Nuo opera Rituals and Their Existing Research</w:t>
      </w:r>
    </w:p>
    <w:p w14:paraId="1C8D33E1">
      <w:pPr>
        <w:rPr>
          <w:rFonts w:hint="eastAsia" w:ascii="微软雅黑" w:hAnsi="微软雅黑" w:eastAsia="微软雅黑" w:cs="微软雅黑"/>
          <w:sz w:val="18"/>
          <w:szCs w:val="18"/>
        </w:rPr>
      </w:pPr>
    </w:p>
    <w:p w14:paraId="7AE8D6FC">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Nuo opera is a traditional Chinese ritual performance with a history of thousands of years. It comprehensively employs masks, dances, rhythmic singing and chanting, as well as symbolic movements. Its core functions are to drive away evil spirits, pray for blessings and soothe the community (Liu Zhen, 2006; Turner, 1969). Turner's classic analysis of the ritual process points out that rituals create an anti-structural social space through threshold stages, in which participants break away from their daily identities and undergo emotional transformation and the reconstruction of community connections. This theoretical framework provides a basis for this study to understand the healing mechanism of Nuo opera.</w:t>
      </w:r>
    </w:p>
    <w:p w14:paraId="21E818F6">
      <w:pPr>
        <w:rPr>
          <w:rFonts w:hint="eastAsia" w:ascii="微软雅黑" w:hAnsi="微软雅黑" w:eastAsia="微软雅黑" w:cs="微软雅黑"/>
          <w:sz w:val="18"/>
          <w:szCs w:val="18"/>
        </w:rPr>
      </w:pPr>
    </w:p>
    <w:p w14:paraId="61D69640">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However, the existing research on Nuo opera mainly focuses on the fields of history, folklore and drama. Scholars have meticulously examined the genealogies of masks, the norms of movements, and the texts of singing scripts, but have rarely explored how to translate the ritual spirit into contemporary sensory experiences. In the practice of intangible cultural heritage protection, Nuo opera is often simplified to visual symbols: masks are displayed in display cases, costumes are recorded and archived, and performances are recorded as videos. The audience was asked to read the explanatory text and understand the symbolic meaning, but had no chance to feel the original soothing power of the ceremony with their bodies. This tendency to emphasize symbolic interpretation over physical experience is precisely the bottleneck that this study attempts to break through.</w:t>
      </w:r>
    </w:p>
    <w:p w14:paraId="48AC7969">
      <w:pPr>
        <w:rPr>
          <w:rFonts w:hint="eastAsia" w:ascii="微软雅黑" w:hAnsi="微软雅黑" w:eastAsia="微软雅黑" w:cs="微软雅黑"/>
          <w:sz w:val="18"/>
          <w:szCs w:val="18"/>
        </w:rPr>
      </w:pPr>
    </w:p>
    <w:p w14:paraId="041255C8">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2.2 Fiber art, tactile Experience and Immersive installations</w:t>
      </w:r>
    </w:p>
    <w:p w14:paraId="649934BE">
      <w:pPr>
        <w:rPr>
          <w:rFonts w:hint="eastAsia" w:ascii="微软雅黑" w:hAnsi="微软雅黑" w:eastAsia="微软雅黑" w:cs="微软雅黑"/>
          <w:sz w:val="18"/>
          <w:szCs w:val="18"/>
        </w:rPr>
      </w:pPr>
    </w:p>
    <w:p w14:paraId="7AC03DDC">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Fiber materials are widely used in contemporary art to explore themes of the body, emotions and shelter due to their softness, wrapping property and rich tactile experience. The large-scale fiber installation by Abakanowicz creates an organic form space, giving viewers a sense of security as if they were wrapped up. Hicks' soft fabric works emphasize the intimacy of touch. These practices demonstrate that fiber devices are not merely visual objects but also environments that can be perceived through the skin.</w:t>
      </w:r>
    </w:p>
    <w:p w14:paraId="31CC8AD3">
      <w:pPr>
        <w:rPr>
          <w:rFonts w:hint="eastAsia" w:ascii="微软雅黑" w:hAnsi="微软雅黑" w:eastAsia="微软雅黑" w:cs="微软雅黑"/>
          <w:sz w:val="18"/>
          <w:szCs w:val="18"/>
        </w:rPr>
      </w:pPr>
    </w:p>
    <w:p w14:paraId="7F5FF592">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In the field of emotional healing, immersive devices have been proven to reduce anxiety and induce a relaxed state. Researchers have found that soft materials, low-illumination light and enclosed spatial structures work together to activate the parasympathetic nervous system (Kaimal et al., 2016). However, most of the existing applications are concentrated in non-cultural specific places such as hospitals, rehabilitation centers or sensory rooms, and rarely actively invoke the spiritual resources of traditional rituals. Taking the ritual qualities of Nuo opera - such as threshold atmosphere, protective enclosure and rhythmic presence - as the design parameters of the fiber device has not been systematically explored yet.</w:t>
      </w:r>
    </w:p>
    <w:p w14:paraId="7D4F9157">
      <w:pPr>
        <w:rPr>
          <w:rFonts w:hint="eastAsia" w:ascii="微软雅黑" w:hAnsi="微软雅黑" w:eastAsia="微软雅黑" w:cs="微软雅黑"/>
          <w:sz w:val="18"/>
          <w:szCs w:val="18"/>
        </w:rPr>
      </w:pPr>
    </w:p>
    <w:p w14:paraId="03F44EB9">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2.3 Embodied Perception and Healing Art</w:t>
      </w:r>
    </w:p>
    <w:p w14:paraId="33341AA9">
      <w:pPr>
        <w:rPr>
          <w:rFonts w:hint="eastAsia" w:ascii="微软雅黑" w:hAnsi="微软雅黑" w:eastAsia="微软雅黑" w:cs="微软雅黑"/>
          <w:sz w:val="18"/>
          <w:szCs w:val="18"/>
        </w:rPr>
      </w:pPr>
    </w:p>
    <w:p w14:paraId="7BAC39A3">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Youdaoplaceholder0 phenomenology provides a philosophical basis for understanding the core role of the body in meaning construction and emotion regulation. Merleau-Ponty (1945/2012) proposed the concept of lived body, arguing that we first interact with the world through the sensory motor capabilities of our bodies, and symbols and language are secondary abstractions that occur afterwards. This means that before the textual explanation, the spatial scale, the brightness and darkness of light, the texture of materials and the atmosphere of sound have already shaped our emotional state. This view is crucial for this study: If the healing effect can be directly produced through the sensory environment without relying on semantic interpretation, then the ritual atmosphere of traditional Nuo opera, rather than its specific symbolic meaning, possesses transmissibility across cultures and eras.</w:t>
      </w:r>
    </w:p>
    <w:p w14:paraId="62A3E711">
      <w:pPr>
        <w:rPr>
          <w:rFonts w:hint="eastAsia" w:ascii="微软雅黑" w:hAnsi="微软雅黑" w:eastAsia="微软雅黑" w:cs="微软雅黑"/>
          <w:sz w:val="18"/>
          <w:szCs w:val="18"/>
        </w:rPr>
      </w:pPr>
    </w:p>
    <w:p w14:paraId="7229FA26">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In the field of art therapy, embodied perspective is gradually replacing the traditional mode of expression and catharsis. Researchers have found that passive immersion in a soft, enveloping space itself can reduce cortisol levels and induce relaxation responses (Kaimal et al., 2016). This is not because the participants understood any story or symbol, but because the body's sense of touch, temperature and balance directly send safety signals to the limbic system. This mechanism is essentially the same as the exorcism Naji in the original function of Nuo opera: both are creating an atmospheric sheltered experience. However, most existing studies focus on non-culturally specific universal designs and rarely actively invoke the spiritual structure of traditional rituals to enhance healing effects. This study attempts to take the ritual quality of Nuo opera as a design resource and reactivate it through contemporary media such as fibers, sound fields and vibrations.</w:t>
      </w:r>
    </w:p>
    <w:p w14:paraId="241F37C6">
      <w:pPr>
        <w:rPr>
          <w:rFonts w:hint="eastAsia" w:ascii="微软雅黑" w:hAnsi="微软雅黑" w:eastAsia="微软雅黑" w:cs="微软雅黑"/>
          <w:sz w:val="18"/>
          <w:szCs w:val="18"/>
        </w:rPr>
      </w:pPr>
    </w:p>
    <w:p w14:paraId="4815005A">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2.4 Methodology of Art and Design Research</w:t>
      </w:r>
    </w:p>
    <w:p w14:paraId="4836125F">
      <w:pPr>
        <w:rPr>
          <w:rFonts w:hint="eastAsia" w:ascii="微软雅黑" w:hAnsi="微软雅黑" w:eastAsia="微软雅黑" w:cs="微软雅黑"/>
          <w:sz w:val="18"/>
          <w:szCs w:val="18"/>
        </w:rPr>
      </w:pPr>
    </w:p>
    <w:p w14:paraId="3F69427E">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 methodological framework involved in this study needs to be sorted out in the literature review, as the choice of methodology directly echoes the core challenge of how to capture pre-language experience in the research question.</w:t>
      </w:r>
    </w:p>
    <w:p w14:paraId="07C93709">
      <w:pPr>
        <w:rPr>
          <w:rFonts w:hint="eastAsia" w:ascii="微软雅黑" w:hAnsi="微软雅黑" w:eastAsia="微软雅黑" w:cs="微软雅黑"/>
          <w:sz w:val="18"/>
          <w:szCs w:val="18"/>
        </w:rPr>
      </w:pPr>
    </w:p>
    <w:p w14:paraId="670FC9FB">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In qualitative research, thematic analysis is widely used to identify recurring patterns from open data. Braun and Clarke (2006) distinguished the inductive approach, which generates topics from the bottom up of data, and the deductive approach, which presets topics based on theory, providing researchers with flexible tools. For this study, the inductive approach is more suitable for discovering unexpected feelings in participants' logs, while the deductive approach can be used to verify preconceived concepts such as a sense of security and ritual atmosphere.</w:t>
      </w:r>
    </w:p>
    <w:p w14:paraId="7A2CF2C0">
      <w:pPr>
        <w:rPr>
          <w:rFonts w:hint="eastAsia" w:ascii="微软雅黑" w:hAnsi="微软雅黑" w:eastAsia="微软雅黑" w:cs="微软雅黑"/>
          <w:sz w:val="18"/>
          <w:szCs w:val="18"/>
        </w:rPr>
      </w:pPr>
    </w:p>
    <w:p w14:paraId="7A7FAEBC">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 diary study was set as one of the core data collection methods in this study. Compared with structured logs, unstructured logs, although more difficult to analyze, are more in line with the individual differences and unpredictable associations of installation art experiences. In actual research guidance, supervisors are more likely to recommend unstructured or semi-structured logs. Participants were invited to record their feelings in the device in the form of words, doodles, photos or any preferred way. This method can capture the delicate levels that standard questionnaires cannot reach.</w:t>
      </w:r>
    </w:p>
    <w:p w14:paraId="1023168F">
      <w:pPr>
        <w:rPr>
          <w:rFonts w:hint="eastAsia" w:ascii="微软雅黑" w:hAnsi="微软雅黑" w:eastAsia="微软雅黑" w:cs="微软雅黑"/>
          <w:sz w:val="18"/>
          <w:szCs w:val="18"/>
        </w:rPr>
      </w:pPr>
    </w:p>
    <w:p w14:paraId="17684479">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action research is the methodological backbone of this study. The PLAN-ACT-Observer-Reflect four-loop logic proposed by Kemmis and McTaggart (1988) is particularly suitable for iterative improvement in design practice. Unlike one-off laboratory experiments, action research acknowledges that researchers constantly learn, adjust and even correct the initial questions during the process. Specifically in this study, the three rounds of cycles correspond respectively to the concept sketch stage, the prototype debugging stage, and the complete space testing stage. The reflection results of each round will be directly input into the design modification of the next round.</w:t>
      </w:r>
    </w:p>
    <w:p w14:paraId="3D3EC375">
      <w:pPr>
        <w:rPr>
          <w:rFonts w:hint="eastAsia" w:ascii="微软雅黑" w:hAnsi="微软雅黑" w:eastAsia="微软雅黑" w:cs="微软雅黑"/>
          <w:sz w:val="18"/>
          <w:szCs w:val="18"/>
        </w:rPr>
      </w:pPr>
    </w:p>
    <w:p w14:paraId="50988067">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 mixed methods design in this study is manifested as the integration of qualitative data (logs, interviews, observation records) and optional quantitative data (skin conductance response and heart rate variability). This triangulation strategy helps to enhance the credibility of the research results. It should be noted that physiological measures are not mandatory but depend on the availability of the equipment and the willingness of the participants. Even without physiological data, the depth of qualitative analysis can still answer research questions.</w:t>
      </w:r>
    </w:p>
    <w:p w14:paraId="500533EA">
      <w:pPr>
        <w:rPr>
          <w:rFonts w:hint="eastAsia" w:ascii="微软雅黑" w:hAnsi="微软雅黑" w:eastAsia="微软雅黑" w:cs="微软雅黑"/>
          <w:sz w:val="18"/>
          <w:szCs w:val="18"/>
        </w:rPr>
      </w:pPr>
    </w:p>
    <w:p w14:paraId="111E5EB2">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visualisation holds unique value in the study of art and design. concept map can be used to demonstrate the relationship between the theoretical framework and the five major modules; The timeline can present the progress of three rounds of action research; Youdaoplaceholder0 can help readers understand the operational path of data collection and analysis. These visual elements are not only communication tools but also a manifestation of the visual thinking ability of art and design researchers.</w:t>
      </w:r>
    </w:p>
    <w:p w14:paraId="73286EC4">
      <w:pPr>
        <w:rPr>
          <w:rFonts w:hint="eastAsia" w:ascii="微软雅黑" w:hAnsi="微软雅黑" w:eastAsia="微软雅黑" w:cs="微软雅黑"/>
          <w:sz w:val="18"/>
          <w:szCs w:val="18"/>
        </w:rPr>
      </w:pPr>
    </w:p>
    <w:p w14:paraId="5C192B30">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2.5 Summary of Research Gaps</w:t>
      </w:r>
    </w:p>
    <w:p w14:paraId="1BE17797">
      <w:pPr>
        <w:rPr>
          <w:rFonts w:hint="eastAsia" w:ascii="微软雅黑" w:hAnsi="微软雅黑" w:eastAsia="微软雅黑" w:cs="微软雅黑"/>
          <w:sz w:val="18"/>
          <w:szCs w:val="18"/>
        </w:rPr>
      </w:pPr>
    </w:p>
    <w:p w14:paraId="385CCEE2">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Based on the review of the literature, several major gaps existing in the current research can be summarized.</w:t>
      </w:r>
    </w:p>
    <w:p w14:paraId="7DAA045B">
      <w:pPr>
        <w:rPr>
          <w:rFonts w:hint="eastAsia" w:ascii="微软雅黑" w:hAnsi="微软雅黑" w:eastAsia="微软雅黑" w:cs="微软雅黑"/>
          <w:sz w:val="18"/>
          <w:szCs w:val="18"/>
        </w:rPr>
      </w:pPr>
    </w:p>
    <w:p w14:paraId="2FBFE914">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First, in terms of Nuo opera research, the existing achievements are mainly concentrated on historical research, folk custom records and symbol interpretation, with very few designs and translations from the perspectives of sensory experience and emotional healing. Researchers have preserved the external forms of masks, costumes and movements, but have not answered how to convey the spirit of the ritual to contemporary audiences who are not familiar with its cultural background.</w:t>
      </w:r>
    </w:p>
    <w:p w14:paraId="7FE4E994">
      <w:pPr>
        <w:rPr>
          <w:rFonts w:hint="eastAsia" w:ascii="微软雅黑" w:hAnsi="微软雅黑" w:eastAsia="微软雅黑" w:cs="微软雅黑"/>
          <w:sz w:val="18"/>
          <w:szCs w:val="18"/>
        </w:rPr>
      </w:pPr>
    </w:p>
    <w:p w14:paraId="6B47F0CD">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Secondly, in the therapeutic applications of fiber art and immersive installations, although existing works have demonstrated the soothing effect of soft materials and enveloping Spaces on emotions, there are almost no studies that consciously draw on the structure of traditional rituals to enhance the therapeutic effect. For example, liminal space, protective enclosure or rhythmic presence. The systematic integration of fiber devices with ritual sound fields, body-sensing vibrations, and interactive wishes is still a blank.</w:t>
      </w:r>
    </w:p>
    <w:p w14:paraId="781E0FA4">
      <w:pPr>
        <w:rPr>
          <w:rFonts w:hint="eastAsia" w:ascii="微软雅黑" w:hAnsi="微软雅黑" w:eastAsia="微软雅黑" w:cs="微软雅黑"/>
          <w:sz w:val="18"/>
          <w:szCs w:val="18"/>
        </w:rPr>
      </w:pPr>
    </w:p>
    <w:p w14:paraId="58297840">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Thirdly, at the methodological level, the combination of action research, non-structured diary and physiological measures has rarely been attempted in the design of intangible cultural heritage translation. How to capture the experience of pre-linguistic and embodied remains a methodological challenge. The mixed methods framework adopted in this research plan, namely diary recording of subjective feelings, physiological measurement recording of autonomic nerve responses, and action research recording of iterative processes, provides a possible path to solve this difficult problem.</w:t>
      </w:r>
    </w:p>
    <w:p w14:paraId="65AE477A">
      <w:pPr>
        <w:rPr>
          <w:rFonts w:hint="eastAsia" w:ascii="微软雅黑" w:hAnsi="微软雅黑" w:eastAsia="微软雅黑" w:cs="微软雅黑"/>
          <w:sz w:val="18"/>
          <w:szCs w:val="18"/>
        </w:rPr>
      </w:pPr>
    </w:p>
    <w:p w14:paraId="291D8BE0">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These gaps together constitute the entry point of this study. This study does not aim to abandon the existing research results of Nuo opera, but rather attempts to reactivate it from the perspective of embodied perception and verify it through the medium of fiber devices.</w:t>
      </w:r>
    </w:p>
    <w:p w14:paraId="0504ACAC">
      <w:pPr>
        <w:rPr>
          <w:rFonts w:hint="eastAsia" w:ascii="微软雅黑" w:hAnsi="微软雅黑" w:eastAsia="微软雅黑" w:cs="微软雅黑"/>
          <w:sz w:val="18"/>
          <w:szCs w:val="18"/>
        </w:rPr>
      </w:pPr>
    </w:p>
    <w:p w14:paraId="7A78F80E">
      <w:pPr>
        <w:rPr>
          <w:rFonts w:hint="eastAsia" w:ascii="微软雅黑" w:hAnsi="微软雅黑" w:eastAsia="微软雅黑" w:cs="微软雅黑"/>
          <w:sz w:val="28"/>
          <w:szCs w:val="28"/>
        </w:rPr>
      </w:pPr>
      <w:r>
        <w:rPr>
          <w:rFonts w:hint="eastAsia" w:ascii="微软雅黑" w:hAnsi="微软雅黑" w:eastAsia="微软雅黑" w:cs="微软雅黑"/>
          <w:sz w:val="28"/>
          <w:szCs w:val="28"/>
        </w:rPr>
        <w:t>3 Research Design and Methodology</w:t>
      </w:r>
    </w:p>
    <w:p w14:paraId="534E61B1">
      <w:pPr>
        <w:rPr>
          <w:rFonts w:hint="eastAsia" w:ascii="微软雅黑" w:hAnsi="微软雅黑" w:eastAsia="微软雅黑" w:cs="微软雅黑"/>
          <w:sz w:val="18"/>
          <w:szCs w:val="18"/>
        </w:rPr>
      </w:pPr>
    </w:p>
    <w:p w14:paraId="608C7856">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3.1 Research Paradigms and Philosophical Positions</w:t>
      </w:r>
    </w:p>
    <w:p w14:paraId="5034122E">
      <w:pPr>
        <w:rPr>
          <w:rFonts w:hint="eastAsia" w:ascii="微软雅黑" w:hAnsi="微软雅黑" w:eastAsia="微软雅黑" w:cs="微软雅黑"/>
          <w:sz w:val="18"/>
          <w:szCs w:val="18"/>
        </w:rPr>
      </w:pPr>
    </w:p>
    <w:p w14:paraId="7E6041E5">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This study adopts the qualitative interpretivism research paradigm and is based on a practice-oriented worldview. interpretivism holds that knowledge is not an objective fact that exists independently of human experience, but is constructed in specific situations through the joint efforts of physical senses and subjective experiences. This stance is highly consistent with the core issue of this study: we attempt to understand how participants perceive ritualistic comfort and healing in a fiber device without textual explanations, which in itself is an exploration of the meaning of subjective experience.</w:t>
      </w:r>
    </w:p>
    <w:p w14:paraId="22932DF6">
      <w:pPr>
        <w:rPr>
          <w:rFonts w:hint="eastAsia" w:ascii="微软雅黑" w:hAnsi="微软雅黑" w:eastAsia="微软雅黑" w:cs="微软雅黑"/>
          <w:sz w:val="18"/>
          <w:szCs w:val="18"/>
        </w:rPr>
      </w:pPr>
    </w:p>
    <w:p w14:paraId="15B4285E">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Unlike positivism, which pursues quantifiable and universally applicable rules, this study pays more attention to the sensory and emotional impacts that specific devices have on specific groups of people in specific Spaces. This does not mean giving up rigor, but rather acknowledging that the unique value of art practice research lies in revealing those delicate and individualized levels of experience that cannot be captured by standardized questionnaires.</w:t>
      </w:r>
    </w:p>
    <w:p w14:paraId="2BA8822A">
      <w:pPr>
        <w:rPr>
          <w:rFonts w:hint="eastAsia" w:ascii="微软雅黑" w:hAnsi="微软雅黑" w:eastAsia="微软雅黑" w:cs="微软雅黑"/>
          <w:sz w:val="18"/>
          <w:szCs w:val="18"/>
        </w:rPr>
      </w:pPr>
    </w:p>
    <w:p w14:paraId="37F893F7">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3.2 research Methodology: action research</w:t>
      </w:r>
    </w:p>
    <w:p w14:paraId="77D89AAC">
      <w:pPr>
        <w:rPr>
          <w:rFonts w:hint="eastAsia" w:ascii="微软雅黑" w:hAnsi="微软雅黑" w:eastAsia="微软雅黑" w:cs="微软雅黑"/>
          <w:sz w:val="18"/>
          <w:szCs w:val="18"/>
        </w:rPr>
      </w:pPr>
    </w:p>
    <w:p w14:paraId="62D66BE0">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This study takes action research as the main methodology. action research is particularly applicable to situations where researchers continuously learn, adjust and redefine problems during the practical process (Kemmis &amp; McTaggart, 1988). Unlike one-off experimental designs, action research allows researchers to repeatedly iterate in the plan-act-observed -reflect loop, which is particularly important for creating a fiber device that has not yet been implemented.</w:t>
      </w:r>
    </w:p>
    <w:p w14:paraId="35E4503D">
      <w:pPr>
        <w:rPr>
          <w:rFonts w:hint="eastAsia" w:ascii="微软雅黑" w:hAnsi="微软雅黑" w:eastAsia="微软雅黑" w:cs="微软雅黑"/>
          <w:sz w:val="18"/>
          <w:szCs w:val="18"/>
        </w:rPr>
      </w:pPr>
    </w:p>
    <w:p w14:paraId="1E21BF8F">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This research plan will implement three rounds of action research cycles, each lasting approximately two to three months. The first round is the concept refinement and sketching stage. In this round, researchers will complete the refocusing of research questions, the deepening of literature reviews, the drawing of preliminary design sketches, and the formulation of material testing plans. The data sources include the researcher's visual diary, sketch iteration records, and experimental photos of material samples. The second round is the prototype production and module debugging stage. The five modules will be respectively made into small prototypes or partial devices. Researchers will invite a few informal assistants to conduct simulation experiences and collect initial feedback for technical parameter adjustments, such as the frequency of vibration, the uniformity of the sound field, and the hanging height of the mask. The third round is the stage of spatial integration and audience experience. All five modules will be fully installed in the designated exhibition hall or studio space. At that time, participants will be officially recruited, diary and interview data will be collected, and the final reflection and design optimization will be completed in the manner described later in this chapter.</w:t>
      </w:r>
    </w:p>
    <w:p w14:paraId="6BA260DB">
      <w:pPr>
        <w:rPr>
          <w:rFonts w:hint="eastAsia" w:ascii="微软雅黑" w:hAnsi="微软雅黑" w:eastAsia="微软雅黑" w:cs="微软雅黑"/>
          <w:sz w:val="18"/>
          <w:szCs w:val="18"/>
        </w:rPr>
      </w:pPr>
    </w:p>
    <w:p w14:paraId="3C6D6EAD">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Each round of the loop strictly follows the closed-loop logic of plan-act-observe-reflect. The researcher's reflective diary will record the basis for decision-making at each stage, the difficulties encountered, and the expected directions for improvement. After three rounds, the final version of the device design plan and research conclusion will be formed.</w:t>
      </w:r>
    </w:p>
    <w:p w14:paraId="0515E715">
      <w:pPr>
        <w:rPr>
          <w:rFonts w:hint="eastAsia" w:ascii="微软雅黑" w:hAnsi="微软雅黑" w:eastAsia="微软雅黑" w:cs="微软雅黑"/>
          <w:sz w:val="18"/>
          <w:szCs w:val="18"/>
        </w:rPr>
      </w:pPr>
    </w:p>
    <w:p w14:paraId="38D7F349">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3.3 Specific Research methods</w:t>
      </w:r>
    </w:p>
    <w:p w14:paraId="65676B76">
      <w:pPr>
        <w:rPr>
          <w:rFonts w:hint="eastAsia" w:ascii="微软雅黑" w:hAnsi="微软雅黑" w:eastAsia="微软雅黑" w:cs="微软雅黑"/>
          <w:sz w:val="18"/>
          <w:szCs w:val="18"/>
        </w:rPr>
      </w:pPr>
    </w:p>
    <w:p w14:paraId="18995BFE">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 research plan integrates multiple data collection methods to capture the rich layers of sensory experiences.</w:t>
      </w:r>
    </w:p>
    <w:p w14:paraId="7AAC14F4">
      <w:pPr>
        <w:rPr>
          <w:rFonts w:hint="eastAsia" w:ascii="微软雅黑" w:hAnsi="微软雅黑" w:eastAsia="微软雅黑" w:cs="微软雅黑"/>
          <w:sz w:val="18"/>
          <w:szCs w:val="18"/>
        </w:rPr>
      </w:pPr>
    </w:p>
    <w:p w14:paraId="5377822D">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non-structured visual diary is one of the core methods. The researcher himself will keep a diary throughout the entire creative process, which will include photos of the studio, descriptions of material experiments, the evolution process of sketches, screenshots of device debugging videos, and daily reflection texts. Participants were also invited to complete visual diary after each experience. The researcher will provide an open-ended guideline, such as asking you to record any feelings you have in the device with words, doodles or photos, without setting fixed questions or rating scales. The advantage of this non-structured approach lies in not presetting the scope of responses, allowing participants to express those physical sensations and associations that are difficult to name in words.</w:t>
      </w:r>
    </w:p>
    <w:p w14:paraId="7286272F">
      <w:pPr>
        <w:rPr>
          <w:rFonts w:hint="eastAsia" w:ascii="微软雅黑" w:hAnsi="微软雅黑" w:eastAsia="微软雅黑" w:cs="微软雅黑"/>
          <w:sz w:val="18"/>
          <w:szCs w:val="18"/>
        </w:rPr>
      </w:pPr>
    </w:p>
    <w:p w14:paraId="18A70B3A">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thematic analysis will be used to process all qualitative data, including participants' diary texts, interview transcripts, and researchers' observation notes. The analysis will follow the six-stage process proposed by Braun and Clarke (2006) : familiarizing with the data, generating the initial code, finding the topic, reviewing the topic, defining the topic, and writing the report. The coding process mainly adopts the inductive approach, that is, extracting topics from the data from the bottom up rather than pre-setting the coding framework. The expected themes that may emerge include envelopment, stillness, ritual atmosphere, bodily resonance, emotional release and altered sense of time, etc.</w:t>
      </w:r>
    </w:p>
    <w:p w14:paraId="0CFA983F">
      <w:pPr>
        <w:rPr>
          <w:rFonts w:hint="eastAsia" w:ascii="微软雅黑" w:hAnsi="微软雅黑" w:eastAsia="微软雅黑" w:cs="微软雅黑"/>
          <w:sz w:val="18"/>
          <w:szCs w:val="18"/>
        </w:rPr>
      </w:pPr>
    </w:p>
    <w:p w14:paraId="7EB1D19C">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 semi-structured interview will be conducted after each experience and last approximately fifteen to twenty minutes. The interview questions will revolve around the content recorded by the participants in their diaries, probing into those vague descriptions or eye-catching details. For instance, if a participant draws a circle surrounding a human figure, the researcher might ask whether the circle felt protective or isolated at that time. This interview format, which uses diaries as a medium, helps reduce recall bias and enables participants to be better prepared.</w:t>
      </w:r>
    </w:p>
    <w:p w14:paraId="7677AF12">
      <w:pPr>
        <w:rPr>
          <w:rFonts w:hint="eastAsia" w:ascii="微软雅黑" w:hAnsi="微软雅黑" w:eastAsia="微软雅黑" w:cs="微软雅黑"/>
          <w:sz w:val="18"/>
          <w:szCs w:val="18"/>
        </w:rPr>
      </w:pPr>
    </w:p>
    <w:p w14:paraId="32322549">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observation will be completed by the researcher or research assistant during the participants' experience of the device. The recorded content includes the total duration of the participants' stay, the frequency and location of touching the fiber modules, changes in body posture such as whether lying down or curling up, as well as any observable facial expressions or spontaneous speech. These behavioral data can be triangulated with diary and interview data.</w:t>
      </w:r>
    </w:p>
    <w:p w14:paraId="7829A359">
      <w:pPr>
        <w:rPr>
          <w:rFonts w:hint="eastAsia" w:ascii="微软雅黑" w:hAnsi="微软雅黑" w:eastAsia="微软雅黑" w:cs="微软雅黑"/>
          <w:sz w:val="18"/>
          <w:szCs w:val="18"/>
        </w:rPr>
      </w:pPr>
    </w:p>
    <w:p w14:paraId="29E5F77F">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physiological measures will be used as an optional auxiliary method. If the device permits and the participants give informed consent, galvanic skin response and heart rate variability data will be collected before, during and after the experience. GSR reflects emotional intensity, while HRV reflects a relaxed state and autonomic nerve balance. These two indicators can provide physiological evidence other than subjective reports, helping to determine whether participants have truly entered a relaxed, meditative state. It should be emphasized that physiological measures are not the main method of this study; Even if it cannot be implemented, qualitative data alone is sufficient to answer the research questions.</w:t>
      </w:r>
    </w:p>
    <w:p w14:paraId="2E33308C">
      <w:pPr>
        <w:rPr>
          <w:rFonts w:hint="eastAsia" w:ascii="微软雅黑" w:hAnsi="微软雅黑" w:eastAsia="微软雅黑" w:cs="微软雅黑"/>
          <w:sz w:val="18"/>
          <w:szCs w:val="18"/>
        </w:rPr>
      </w:pPr>
    </w:p>
    <w:p w14:paraId="38D489F9">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 visualisation strategy will be used in the writing and presentation of the thesis. The concept map will be used to demonstrate the logical relationship between the theoretical framework and the five major modules; The timeline will present the specific progress and key nodes of the three rounds of action research. Youdaoplaceholder0 is used to explain the complete analytical path from data collection to topic extraction. These visual elements will help readers quickly grasp the complex research design.</w:t>
      </w:r>
    </w:p>
    <w:p w14:paraId="2B7E72C4">
      <w:pPr>
        <w:rPr>
          <w:rFonts w:hint="eastAsia" w:ascii="微软雅黑" w:hAnsi="微软雅黑" w:eastAsia="微软雅黑" w:cs="微软雅黑"/>
          <w:sz w:val="18"/>
          <w:szCs w:val="18"/>
        </w:rPr>
      </w:pPr>
    </w:p>
    <w:p w14:paraId="5F44D858">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physiological measures will be used as an optional auxiliary method, and its feasibility depends on the availability of the equipment. Ideal measurement tools include portable GSR sensors and chest-strap HRV monitors, such as Shimmer or Empatica E4 models. However, in actual research conditions, these devices may not be borrowed through the laboratories of the institutions where they are located, or they may exceed the research budget. Therefore, alternative solutions need to be prepared in advance.</w:t>
      </w:r>
    </w:p>
    <w:p w14:paraId="436B8C16">
      <w:pPr>
        <w:rPr>
          <w:rFonts w:hint="eastAsia" w:ascii="微软雅黑" w:hAnsi="微软雅黑" w:eastAsia="微软雅黑" w:cs="微软雅黑"/>
          <w:sz w:val="18"/>
          <w:szCs w:val="18"/>
        </w:rPr>
      </w:pPr>
    </w:p>
    <w:p w14:paraId="5282B115">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If the equipment cannot obtain it, this study will rely entirely on qualitative data, including visual diary, semi-structured interview, observation and the researcher's reflective diary. Considering that this study focuses on participants' subjective experience of ritual healing, self-reports and behavioral observations have been able to provide sufficient information to answer the research questions. physiological measures are auxiliary rather than core evidence.</w:t>
      </w:r>
    </w:p>
    <w:p w14:paraId="5D62EBCE">
      <w:pPr>
        <w:rPr>
          <w:rFonts w:hint="eastAsia" w:ascii="微软雅黑" w:hAnsi="微软雅黑" w:eastAsia="微软雅黑" w:cs="微软雅黑"/>
          <w:sz w:val="18"/>
          <w:szCs w:val="18"/>
        </w:rPr>
      </w:pPr>
    </w:p>
    <w:p w14:paraId="58A459F4">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If the equipment can be borrowed but the quantity is limited, for instance, there is only one set of GSR sensors, a rotational wearing method will be adopted. At each time, only the physiological data of one participant will be collected, while the rest of the participants will still only complete the qualitative part. In this case, physiological data will be used as supplementary evidence at the individual case level rather than for inter-group comparisons in a statistical sense.</w:t>
      </w:r>
    </w:p>
    <w:p w14:paraId="130E678B">
      <w:pPr>
        <w:rPr>
          <w:rFonts w:hint="eastAsia" w:ascii="微软雅黑" w:hAnsi="微软雅黑" w:eastAsia="微软雅黑" w:cs="微软雅黑"/>
          <w:sz w:val="18"/>
          <w:szCs w:val="18"/>
        </w:rPr>
      </w:pPr>
    </w:p>
    <w:p w14:paraId="455A2070">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If the device can obtain data but the data quality is poor, such as excessive signal noise or participants being distracted by wearing it uncomfortably, researchers will prioritize ensuring the immersion of the experience, allowing participants to remove the device at any time and truthfully report the proportion of missing data in the analysis.</w:t>
      </w:r>
    </w:p>
    <w:p w14:paraId="21EA9407">
      <w:pPr>
        <w:rPr>
          <w:rFonts w:hint="eastAsia" w:ascii="微软雅黑" w:hAnsi="微软雅黑" w:eastAsia="微软雅黑" w:cs="微软雅黑"/>
          <w:sz w:val="18"/>
          <w:szCs w:val="18"/>
        </w:rPr>
      </w:pPr>
    </w:p>
    <w:p w14:paraId="55930454">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In addition, another low-cost alternative is to use consumer-grade wearable devices, such as smart bracelets or watches. Although their accuracy is lower than that of research-grade devices, they can still provide basic information on heart rate changes. This plan will be an alternative when the equipment budget is limited.</w:t>
      </w:r>
    </w:p>
    <w:p w14:paraId="135DA900">
      <w:pPr>
        <w:rPr>
          <w:rFonts w:hint="eastAsia" w:ascii="微软雅黑" w:hAnsi="微软雅黑" w:eastAsia="微软雅黑" w:cs="微软雅黑"/>
          <w:sz w:val="18"/>
          <w:szCs w:val="18"/>
        </w:rPr>
      </w:pPr>
    </w:p>
    <w:p w14:paraId="20C3C1DF">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3.4 Practical Creation Project: Five major Module descriptions</w:t>
      </w:r>
    </w:p>
    <w:p w14:paraId="76A2E4A0">
      <w:pPr>
        <w:rPr>
          <w:rFonts w:hint="eastAsia" w:ascii="微软雅黑" w:hAnsi="微软雅黑" w:eastAsia="微软雅黑" w:cs="微软雅黑"/>
          <w:sz w:val="18"/>
          <w:szCs w:val="18"/>
        </w:rPr>
      </w:pPr>
    </w:p>
    <w:p w14:paraId="71658C3C">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 immersive fiber installation created under the research plan consists of five interlinked modules, each designed for a specific sensory channel.</w:t>
      </w:r>
    </w:p>
    <w:p w14:paraId="3C972140">
      <w:pPr>
        <w:rPr>
          <w:rFonts w:hint="eastAsia" w:ascii="微软雅黑" w:hAnsi="微软雅黑" w:eastAsia="微软雅黑" w:cs="微软雅黑"/>
          <w:sz w:val="18"/>
          <w:szCs w:val="18"/>
        </w:rPr>
      </w:pPr>
    </w:p>
    <w:p w14:paraId="2B62636C">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 first module is softened fiber mask. The traditional Nuo opera masks are known for their hideous, sharp and intimidating features, and they are designed to scare off evil spirits. This study will retain the protective sense, ritualistic solemnity and spiritual barrier image of the mask, but remove the sharp edges and exaggerated sacrificial facial makeup symbols. The shape is reshaped with lightweight and soft fiber materials, making the overall lines warm, hazy and gentle. This design intention is to transform the rigid deterrent of traditional exorcism into a flexible protective image for contemporary psychological healing, making it the core visual spiritual symbol of the entire space.</w:t>
      </w:r>
    </w:p>
    <w:p w14:paraId="25141E8F">
      <w:pPr>
        <w:rPr>
          <w:rFonts w:hint="eastAsia" w:ascii="微软雅黑" w:hAnsi="微软雅黑" w:eastAsia="微软雅黑" w:cs="微软雅黑"/>
          <w:sz w:val="18"/>
          <w:szCs w:val="18"/>
        </w:rPr>
      </w:pPr>
    </w:p>
    <w:p w14:paraId="596D72AE">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 second module is full-coverage tactile floor mat. It is planned to fully cover the floor of the exhibition space with hand-woven fiber floor MATS, which are fluffy, soft and have a continuous and uniform texture. When the audience steps into the space, their feet will receive a cushioning, enveloping and stable tactile experience, thus naturally slowing down their walking speed and calming their restless minds. The ground tactile sense aims to simulate the state of entering a state of tranquility, entering the venue, and entering the ritual in traditional Nuo rituals, establishing a basic body-sensing atmosphere for physical and mental healing.</w:t>
      </w:r>
    </w:p>
    <w:p w14:paraId="657B8B64">
      <w:pPr>
        <w:rPr>
          <w:rFonts w:hint="eastAsia" w:ascii="微软雅黑" w:hAnsi="微软雅黑" w:eastAsia="微软雅黑" w:cs="微软雅黑"/>
          <w:sz w:val="18"/>
          <w:szCs w:val="18"/>
        </w:rPr>
      </w:pPr>
    </w:p>
    <w:p w14:paraId="4205A129">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 third module is ritual white noise soundscape. Researchers will create a custom-made low-frequency ritual white noise system that completely avoids the use of noisy sound effects such as theatrical singing and gongs and drums. It will only extract the background noise of the Nuo ceremony site, low-frequency ambient sounds, and natural breathing ambient sounds. The sound is designed to be deep, soothing, continuous and faint, evenly diffusing throughout the entire fiber space, simulating the solemn, spacious and peaceful sound field of ancient rituals. The audience will enter a relaxed and calm mental state in an unconscious auditory immersion.</w:t>
      </w:r>
    </w:p>
    <w:p w14:paraId="3B8ADEC2">
      <w:pPr>
        <w:rPr>
          <w:rFonts w:hint="eastAsia" w:ascii="微软雅黑" w:hAnsi="微软雅黑" w:eastAsia="微软雅黑" w:cs="微软雅黑"/>
          <w:sz w:val="18"/>
          <w:szCs w:val="18"/>
        </w:rPr>
      </w:pPr>
    </w:p>
    <w:p w14:paraId="32799EBA">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 fourth module is hidden low-frequency vibration device. The low-frequency body-sensing vibration module is embedded inside the fiber device. The sound is not emitted outward and is not harsh. The weak, long and regular low-frequency vibration frequency is transmitted through the fiber fabric. The vibration frequency is in line with the relaxation frequency of the human body, simulating the slow, solemn and stable ritual rhythm of traditional Nuo rituals. When the audience touches, leans on or sits still in the installation, they perceive the vibration frequency through their bodies rather than listening to the sound with their ears, achieving embodied ritual resonance and soothing the anxious and tense physical state at the physiological level.</w:t>
      </w:r>
    </w:p>
    <w:p w14:paraId="167406D0">
      <w:pPr>
        <w:rPr>
          <w:rFonts w:hint="eastAsia" w:ascii="微软雅黑" w:hAnsi="微软雅黑" w:eastAsia="微软雅黑" w:cs="微软雅黑"/>
          <w:sz w:val="18"/>
          <w:szCs w:val="18"/>
        </w:rPr>
      </w:pPr>
    </w:p>
    <w:p w14:paraId="1E5DA41E">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 fifth module is emotional wishing wall. Combining the native folk core of Nuo opera such as praying for blessings, eliminating disasters and relieving worries, an open emotional wishing interaction wall is set at the end of the space. The audience can freely write about stress, anxiety, wishes and emotional fragments and keep them in the space, placing, settling and releasing the mental exhaustion of contemporary people in a light interactive way. This module echoes the original healing function of traditional Nuo rituals, which soothe the minds of the people, place their hopes and settle their souls.</w:t>
      </w:r>
    </w:p>
    <w:p w14:paraId="679FBF9B">
      <w:pPr>
        <w:rPr>
          <w:rFonts w:hint="eastAsia" w:ascii="微软雅黑" w:hAnsi="微软雅黑" w:eastAsia="微软雅黑" w:cs="微软雅黑"/>
          <w:sz w:val="18"/>
          <w:szCs w:val="18"/>
        </w:rPr>
      </w:pPr>
    </w:p>
    <w:p w14:paraId="0154E180">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 above five modules are planned to work in tandem, mobilizing the five sensory dimensions of vision, touch, hearing, body vibration and interactive participation. The entire installation has no mask replays, theatrical performances or piles of traditional symbols. It completely achieves the contemporary sensory activation of the ritual spirit of Nuo opera through fibrous soft media, acoustic vibration immersive fields and emotional interactions.</w:t>
      </w:r>
    </w:p>
    <w:p w14:paraId="0DCC3785">
      <w:pPr>
        <w:rPr>
          <w:rFonts w:hint="eastAsia" w:ascii="微软雅黑" w:hAnsi="微软雅黑" w:eastAsia="微软雅黑" w:cs="微软雅黑"/>
          <w:sz w:val="18"/>
          <w:szCs w:val="18"/>
        </w:rPr>
      </w:pPr>
    </w:p>
    <w:p w14:paraId="384045B2">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3.5 Data Collection and Participant Planning</w:t>
      </w:r>
    </w:p>
    <w:p w14:paraId="6100218E">
      <w:pPr>
        <w:rPr>
          <w:rFonts w:hint="eastAsia" w:ascii="微软雅黑" w:hAnsi="微软雅黑" w:eastAsia="微软雅黑" w:cs="微软雅黑"/>
          <w:sz w:val="18"/>
          <w:szCs w:val="18"/>
        </w:rPr>
      </w:pPr>
    </w:p>
    <w:p w14:paraId="5C168DCC">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Participants will be recruited through a combination of convenience sampling and snowball sampling, openly from local art colleges, community centers, and social media platforms. The plan is to recruit fifteen to twenty adults. The inclusion criteria are that they are aged between eighteen and sixty-five, have no severe hearing or tactile impairments, are willing to participate and can complete the diary and interview in Chinese. Exclusion criteria include severe allergy to fibrous materials or reports of claustrophobia.</w:t>
      </w:r>
    </w:p>
    <w:p w14:paraId="28AD696F">
      <w:pPr>
        <w:rPr>
          <w:rFonts w:hint="eastAsia" w:ascii="微软雅黑" w:hAnsi="微软雅黑" w:eastAsia="微软雅黑" w:cs="微软雅黑"/>
          <w:sz w:val="18"/>
          <w:szCs w:val="18"/>
        </w:rPr>
      </w:pPr>
    </w:p>
    <w:p w14:paraId="389C673B">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 data collection process plan is as follows. Each participant will sign the informed consent form and receive a brief research description before entering the device. Participants will enter the device alone or with a companion, and the experience will last approximately twenty to thirty minutes. After the experience, participants will complete the non-structured visual diary in a quiet area and can use the hand-drawn book, camera or their own device provided by the researcher. Then conduct a semi-structured audio interview for fifteen to twenty minutes. The researchers simultaneously recorded observation notes, including the duration of stay, touch behavior, changes in body posture and facial expressions, etc.</w:t>
      </w:r>
    </w:p>
    <w:p w14:paraId="00E1A9E5">
      <w:pPr>
        <w:rPr>
          <w:rFonts w:hint="eastAsia" w:ascii="微软雅黑" w:hAnsi="微软雅黑" w:eastAsia="微软雅黑" w:cs="微软雅黑"/>
          <w:sz w:val="18"/>
          <w:szCs w:val="18"/>
        </w:rPr>
      </w:pPr>
    </w:p>
    <w:p w14:paraId="4092C46C">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If the device permits and the participants agree, GSR and HRV data will be collected at three time periods before, during and after the experience. The device is worn on the fingers of the non-dominant hand and on the chest or wrist. These data will serve as supplementary evidence for cross-comparison with qualitative topics.</w:t>
      </w:r>
    </w:p>
    <w:p w14:paraId="3E55EC87">
      <w:pPr>
        <w:rPr>
          <w:rFonts w:hint="eastAsia" w:ascii="微软雅黑" w:hAnsi="微软雅黑" w:eastAsia="微软雅黑" w:cs="微软雅黑"/>
          <w:sz w:val="18"/>
          <w:szCs w:val="18"/>
        </w:rPr>
      </w:pPr>
    </w:p>
    <w:p w14:paraId="063F78BF">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Data collection will be carried out in three rounds, synchronized with the action research cycle. The first round will recruit five to eight participants to test the prototype module, the second round will recruit five to eight participants to test the improved device, and the third round will recruit five to eight participants to experience the complete device. Each person will participate in two to three experiences, with an interval of about one week between each, to observe the changes in feelings brought about by multiple exposures. The total data collection window is expected to be three to four months.</w:t>
      </w:r>
    </w:p>
    <w:p w14:paraId="6D142109">
      <w:pPr>
        <w:rPr>
          <w:rFonts w:hint="eastAsia" w:ascii="微软雅黑" w:hAnsi="微软雅黑" w:eastAsia="微软雅黑" w:cs="微软雅黑"/>
          <w:sz w:val="18"/>
          <w:szCs w:val="18"/>
        </w:rPr>
      </w:pPr>
    </w:p>
    <w:p w14:paraId="02962740">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3.6 Data Analysis Strategy</w:t>
      </w:r>
    </w:p>
    <w:p w14:paraId="129DAB89">
      <w:pPr>
        <w:rPr>
          <w:rFonts w:hint="eastAsia" w:ascii="微软雅黑" w:hAnsi="微软雅黑" w:eastAsia="微软雅黑" w:cs="微软雅黑"/>
          <w:sz w:val="18"/>
          <w:szCs w:val="18"/>
        </w:rPr>
      </w:pPr>
    </w:p>
    <w:p w14:paraId="4BDBE973">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Qualitative data include all diary texts, interview transcripts and observation notes. These materials will be imported into the NVivo software. If the software is unavailable, manual coding will be adopted. thematic analysis will follow a six-stage process. After the researcher independently completes the initial coding, a second coder will be invited to conduct consistency tests on ten percent of the samples. The inconsistencies will be agreed upon through discussion.</w:t>
      </w:r>
    </w:p>
    <w:p w14:paraId="468809CF">
      <w:pPr>
        <w:rPr>
          <w:rFonts w:hint="eastAsia" w:ascii="微软雅黑" w:hAnsi="微软雅黑" w:eastAsia="微软雅黑" w:cs="微软雅黑"/>
          <w:sz w:val="18"/>
          <w:szCs w:val="18"/>
        </w:rPr>
      </w:pPr>
    </w:p>
    <w:p w14:paraId="7EBA2F30">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If physiological data is collected, the original signals of GSR and HRV will be preprocessed using the MATLAB or iMotions platform to calculate the mean change and peak frequency. Subsequently, cross-analysis of qualitative themes and physiological indicators was conducted, such as comparing whether the HRV changes of participants in the high-intensity relaxation theme were significantly higher than those of other participants.</w:t>
      </w:r>
    </w:p>
    <w:p w14:paraId="710F3961">
      <w:pPr>
        <w:rPr>
          <w:rFonts w:hint="eastAsia" w:ascii="微软雅黑" w:hAnsi="微软雅黑" w:eastAsia="微软雅黑" w:cs="微软雅黑"/>
          <w:sz w:val="18"/>
          <w:szCs w:val="18"/>
        </w:rPr>
      </w:pPr>
    </w:p>
    <w:p w14:paraId="4D2CC21C">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 photos, sketches and doodles in visual diary will undergo content analysis. Researchers will identify recurring visual images such as fiber wrapping, halos, and soft boundaries, and compare these visual themes with textual themes. For instance, if multiple participants all drew cocoon-like shapes in their diaries, this image will serve as evidence for the envelopment theme.</w:t>
      </w:r>
    </w:p>
    <w:p w14:paraId="11322E38">
      <w:pPr>
        <w:rPr>
          <w:rFonts w:hint="eastAsia" w:ascii="微软雅黑" w:hAnsi="微软雅黑" w:eastAsia="微软雅黑" w:cs="微软雅黑"/>
          <w:sz w:val="18"/>
          <w:szCs w:val="18"/>
        </w:rPr>
      </w:pPr>
    </w:p>
    <w:p w14:paraId="4C755201">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 triangulation strategy will run through the entire analysis process. The information from different data sources such as diary, interview, observation and physiological measures will be mutually verified to enhance the credibility of the research findings.</w:t>
      </w:r>
    </w:p>
    <w:p w14:paraId="691D5E40">
      <w:pPr>
        <w:rPr>
          <w:rFonts w:hint="eastAsia" w:ascii="微软雅黑" w:hAnsi="微软雅黑" w:eastAsia="微软雅黑" w:cs="微软雅黑"/>
          <w:sz w:val="18"/>
          <w:szCs w:val="18"/>
        </w:rPr>
      </w:pPr>
    </w:p>
    <w:p w14:paraId="116AFAA3">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3.7 Quality Criteria</w:t>
      </w:r>
    </w:p>
    <w:p w14:paraId="698BA8B4">
      <w:pPr>
        <w:rPr>
          <w:rFonts w:hint="eastAsia" w:ascii="微软雅黑" w:hAnsi="微软雅黑" w:eastAsia="微软雅黑" w:cs="微软雅黑"/>
          <w:sz w:val="18"/>
          <w:szCs w:val="18"/>
        </w:rPr>
      </w:pPr>
    </w:p>
    <w:p w14:paraId="58B495F2">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To ensure the quality of the research design, the following standards are adopted in this research plan.</w:t>
      </w:r>
    </w:p>
    <w:p w14:paraId="76C18B17">
      <w:pPr>
        <w:rPr>
          <w:rFonts w:hint="eastAsia" w:ascii="微软雅黑" w:hAnsi="微软雅黑" w:eastAsia="微软雅黑" w:cs="微软雅黑"/>
          <w:sz w:val="18"/>
          <w:szCs w:val="18"/>
        </w:rPr>
      </w:pPr>
    </w:p>
    <w:p w14:paraId="67104DC1">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credibility will be implemented through method triangulation and member checking. member checking refers to feeding back the preliminary analysis results to some participants to confirm whether the researcher's interpretation of the experience is consistent with the subjective feelings of the participants.</w:t>
      </w:r>
    </w:p>
    <w:p w14:paraId="6C165734">
      <w:pPr>
        <w:rPr>
          <w:rFonts w:hint="eastAsia" w:ascii="微软雅黑" w:hAnsi="微软雅黑" w:eastAsia="微软雅黑" w:cs="微软雅黑"/>
          <w:sz w:val="18"/>
          <w:szCs w:val="18"/>
        </w:rPr>
      </w:pPr>
    </w:p>
    <w:p w14:paraId="0021048E">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transferability will be achieved by providing a detailed description of the research context, device features, participant characteristics, and data collection environment, enabling readers to determine whether the conclusions are applicable to other similar contexts.</w:t>
      </w:r>
    </w:p>
    <w:p w14:paraId="1AE2FD2F">
      <w:pPr>
        <w:rPr>
          <w:rFonts w:hint="eastAsia" w:ascii="微软雅黑" w:hAnsi="微软雅黑" w:eastAsia="微软雅黑" w:cs="微软雅黑"/>
          <w:sz w:val="18"/>
          <w:szCs w:val="18"/>
        </w:rPr>
      </w:pPr>
    </w:p>
    <w:p w14:paraId="7C35C383">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dependability requires the retention of the complete original data chain, including diary scanned copies, interview audio, physiological original signals, and observation record tables, and the establishment of clear data management logs.</w:t>
      </w:r>
    </w:p>
    <w:p w14:paraId="5ECA724F">
      <w:pPr>
        <w:rPr>
          <w:rFonts w:hint="eastAsia" w:ascii="微软雅黑" w:hAnsi="微软雅黑" w:eastAsia="微软雅黑" w:cs="微软雅黑"/>
          <w:sz w:val="18"/>
          <w:szCs w:val="18"/>
        </w:rPr>
      </w:pPr>
    </w:p>
    <w:p w14:paraId="5A552B86">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confirmability requires researchers to maintain a reflective diary, documenting their biases, expectations, and decisions made during the research process, to ensure that research conclusions are rooted in data rather than subjective assumptions.</w:t>
      </w:r>
    </w:p>
    <w:p w14:paraId="6E421BA4">
      <w:pPr>
        <w:rPr>
          <w:rFonts w:hint="eastAsia" w:ascii="微软雅黑" w:hAnsi="微软雅黑" w:eastAsia="微软雅黑" w:cs="微软雅黑"/>
          <w:sz w:val="18"/>
          <w:szCs w:val="18"/>
        </w:rPr>
      </w:pPr>
    </w:p>
    <w:p w14:paraId="6ABA4D1D">
      <w:pPr>
        <w:rPr>
          <w:rFonts w:hint="eastAsia" w:ascii="微软雅黑" w:hAnsi="微软雅黑" w:eastAsia="微软雅黑" w:cs="微软雅黑"/>
          <w:sz w:val="28"/>
          <w:szCs w:val="28"/>
        </w:rPr>
      </w:pPr>
      <w:r>
        <w:rPr>
          <w:rFonts w:hint="eastAsia" w:ascii="微软雅黑" w:hAnsi="微软雅黑" w:eastAsia="微软雅黑" w:cs="微软雅黑"/>
          <w:sz w:val="28"/>
          <w:szCs w:val="28"/>
        </w:rPr>
        <w:t>4 Research Ethics</w:t>
      </w:r>
    </w:p>
    <w:p w14:paraId="43168A9F">
      <w:pPr>
        <w:rPr>
          <w:rFonts w:hint="eastAsia" w:ascii="微软雅黑" w:hAnsi="微软雅黑" w:eastAsia="微软雅黑" w:cs="微软雅黑"/>
          <w:sz w:val="18"/>
          <w:szCs w:val="18"/>
        </w:rPr>
      </w:pPr>
    </w:p>
    <w:p w14:paraId="2CFE06C2">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4.1 Informed Consent</w:t>
      </w:r>
    </w:p>
    <w:p w14:paraId="50C2F551">
      <w:pPr>
        <w:rPr>
          <w:rFonts w:hint="eastAsia" w:ascii="微软雅黑" w:hAnsi="微软雅黑" w:eastAsia="微软雅黑" w:cs="微软雅黑"/>
          <w:sz w:val="18"/>
          <w:szCs w:val="18"/>
        </w:rPr>
      </w:pPr>
    </w:p>
    <w:p w14:paraId="69E24773">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 informed consent form will contain all the necessary information required for the research. The research objective and content are to collect sensory feedback through the experience of fiber devices. The data collection methods include visual logs, interviews, observation records, and optional physiological measurements. The participation process lasts approximately forty-five minutes each time, and each person participates two to four times in total. In terms of potential risks, a very small number of people may be allergic to fiber materials or feel uncomfortable with low-frequency vibrations. Researchers will provide a clear exit mechanism. The potential benefits do not offer direct economic rewards, but participants may enjoy a relaxing experience. Confidentiality measures include data anonymization, using pseudonyms instead of real names, and storing all electronic files on encrypted hard disks. Participants have the right to withdraw at any time without providing any explanation, and this does not affect any relationship between them and the researcher. The researcher's contact information includes name, email address and the name of the affiliated institution. The informed consent form will be signed and confirmed by the participant before the first experience.</w:t>
      </w:r>
    </w:p>
    <w:p w14:paraId="090AAFE0">
      <w:pPr>
        <w:rPr>
          <w:rFonts w:hint="eastAsia" w:ascii="微软雅黑" w:hAnsi="微软雅黑" w:eastAsia="微软雅黑" w:cs="微软雅黑"/>
          <w:sz w:val="18"/>
          <w:szCs w:val="18"/>
        </w:rPr>
      </w:pPr>
    </w:p>
    <w:p w14:paraId="0FED8D71">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4.2 Ongoing Consent</w:t>
      </w:r>
    </w:p>
    <w:p w14:paraId="40278346">
      <w:pPr>
        <w:rPr>
          <w:rFonts w:hint="eastAsia" w:ascii="微软雅黑" w:hAnsi="微软雅黑" w:eastAsia="微软雅黑" w:cs="微软雅黑"/>
          <w:sz w:val="18"/>
          <w:szCs w:val="18"/>
        </w:rPr>
      </w:pPr>
    </w:p>
    <w:p w14:paraId="256BB20A">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As this study adopts the iterative design of action research, the consent of the participants is not one-off but continuous. Before each round of experience begins, the researcher will re-explain the research content to the participants, confirm that they still voluntarily participate, and remind them of their right to withdraw at any time. This process of continuous consent ensures that participants always have full control over their participation, especially when new experiences may arise after the device is modified.</w:t>
      </w:r>
    </w:p>
    <w:p w14:paraId="403CAB18">
      <w:pPr>
        <w:rPr>
          <w:rFonts w:hint="eastAsia" w:ascii="微软雅黑" w:hAnsi="微软雅黑" w:eastAsia="微软雅黑" w:cs="微软雅黑"/>
          <w:sz w:val="18"/>
          <w:szCs w:val="18"/>
        </w:rPr>
      </w:pPr>
    </w:p>
    <w:p w14:paraId="66D20CF3">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4.3 Physiological Data Ethics</w:t>
      </w:r>
    </w:p>
    <w:p w14:paraId="043C3081">
      <w:pPr>
        <w:rPr>
          <w:rFonts w:hint="eastAsia" w:ascii="微软雅黑" w:hAnsi="微软雅黑" w:eastAsia="微软雅黑" w:cs="微软雅黑"/>
          <w:sz w:val="18"/>
          <w:szCs w:val="18"/>
        </w:rPr>
      </w:pPr>
    </w:p>
    <w:p w14:paraId="02FA81F8">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If physiological measures are adopted, the researchers will provide additional details in the informed consent form regarding the uses and non-invasive nature of the physiological sensors. At the same time, the researchers will clearly inform the participants that physiological measurements are not mandatory. Even if they do not agree to wear any sensors, they can still fully participate in the device experience, complete the visual log and interview.</w:t>
      </w:r>
    </w:p>
    <w:p w14:paraId="3082DB71">
      <w:pPr>
        <w:rPr>
          <w:rFonts w:hint="eastAsia" w:ascii="微软雅黑" w:hAnsi="微软雅黑" w:eastAsia="微软雅黑" w:cs="微软雅黑"/>
          <w:sz w:val="18"/>
          <w:szCs w:val="18"/>
        </w:rPr>
      </w:pPr>
    </w:p>
    <w:p w14:paraId="509460B9">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If physiological data cannot be collected due to equipment failure or technical malfunctions, this study will continue as originally planned and rely solely on qualitative data to answer research questions. Researchers will not extend the research period or increase the burden on participants in order to obtain physiological data.</w:t>
      </w:r>
    </w:p>
    <w:p w14:paraId="2E972B3E">
      <w:pPr>
        <w:rPr>
          <w:rFonts w:hint="eastAsia" w:ascii="微软雅黑" w:hAnsi="微软雅黑" w:eastAsia="微软雅黑" w:cs="微软雅黑"/>
          <w:sz w:val="18"/>
          <w:szCs w:val="18"/>
        </w:rPr>
      </w:pPr>
    </w:p>
    <w:p w14:paraId="12F61920">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If the equipment is available but malfunctions or data is lost during use, the researcher will truthfully report this situation in the methodology section of the final paper and discuss its potential impact on the research conclusion. All original data files will retain complete technical logs, recording the equipment model, sampling frequency, data loss ratio and possible causes.</w:t>
      </w:r>
    </w:p>
    <w:p w14:paraId="2DFF346E">
      <w:pPr>
        <w:rPr>
          <w:rFonts w:hint="eastAsia" w:ascii="微软雅黑" w:hAnsi="微软雅黑" w:eastAsia="微软雅黑" w:cs="微软雅黑"/>
          <w:sz w:val="18"/>
          <w:szCs w:val="18"/>
        </w:rPr>
      </w:pPr>
    </w:p>
    <w:p w14:paraId="7DC8B4E7">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4.4 Dual Role and Power Relations</w:t>
      </w:r>
    </w:p>
    <w:p w14:paraId="28BCFB98">
      <w:pPr>
        <w:rPr>
          <w:rFonts w:hint="eastAsia" w:ascii="微软雅黑" w:hAnsi="微软雅黑" w:eastAsia="微软雅黑" w:cs="微软雅黑"/>
          <w:sz w:val="18"/>
          <w:szCs w:val="18"/>
        </w:rPr>
      </w:pPr>
    </w:p>
    <w:p w14:paraId="3FFD917D">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Researchers simultaneously assume the triple roles of device creators, data collectors, and data analysts. This dual role may introduce subjective biases. Researchers will maintain a critical distance by keeping a detailed reflective diary to record the basis for judgment during creation and evaluation. In addition, researchers will invite external supervisors or a second coder to conduct independent analysis of some qualitative data. In terms of power relations, participants may come from the teaching institutions or communities where the researchers are located, and there exists an unequal relationship. Researchers will clearly inform during the recruitment stage that participation is entirely voluntary, and that refusal or withdrawal will not affect academic performance, work relationships, or any other benefits.</w:t>
      </w:r>
    </w:p>
    <w:p w14:paraId="1A664340">
      <w:pPr>
        <w:rPr>
          <w:rFonts w:hint="eastAsia" w:ascii="微软雅黑" w:hAnsi="微软雅黑" w:eastAsia="微软雅黑" w:cs="微软雅黑"/>
          <w:sz w:val="18"/>
          <w:szCs w:val="18"/>
        </w:rPr>
      </w:pPr>
    </w:p>
    <w:p w14:paraId="7EBFD485">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4.5 Data Storage and Anonymization</w:t>
      </w:r>
    </w:p>
    <w:p w14:paraId="0FF4B6FC">
      <w:pPr>
        <w:rPr>
          <w:rFonts w:hint="eastAsia" w:ascii="微软雅黑" w:hAnsi="微软雅黑" w:eastAsia="微软雅黑" w:cs="微软雅黑"/>
          <w:sz w:val="18"/>
          <w:szCs w:val="18"/>
        </w:rPr>
      </w:pPr>
    </w:p>
    <w:p w14:paraId="592A2BE9">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All paper records, including handwritten diaries, hand-drawn sketches and hand-filled questionnaires, will be shredded using a shredder after being scanned into electronic files. The electronic files, including scanned copies of diaries, interview audio, physiological data and observation record forms, will be stored on encrypted hard disks and can only be accessed by the researcher himself/herself and the direct supervisor. All data will be deleted within five years after the completion of the research without any backup.</w:t>
      </w:r>
    </w:p>
    <w:p w14:paraId="2B30BDCF">
      <w:pPr>
        <w:rPr>
          <w:rFonts w:hint="eastAsia" w:ascii="微软雅黑" w:hAnsi="微软雅黑" w:eastAsia="微软雅黑" w:cs="微软雅黑"/>
          <w:sz w:val="18"/>
          <w:szCs w:val="18"/>
        </w:rPr>
      </w:pPr>
    </w:p>
    <w:p w14:paraId="7B5D5C18">
      <w:pPr>
        <w:rPr>
          <w:rFonts w:hint="eastAsia" w:ascii="微软雅黑" w:hAnsi="微软雅黑" w:eastAsia="微软雅黑" w:cs="微软雅黑"/>
          <w:sz w:val="28"/>
          <w:szCs w:val="28"/>
        </w:rPr>
      </w:pPr>
      <w:r>
        <w:rPr>
          <w:rFonts w:hint="eastAsia" w:ascii="微软雅黑" w:hAnsi="微软雅黑" w:eastAsia="微软雅黑" w:cs="微软雅黑"/>
          <w:sz w:val="28"/>
          <w:szCs w:val="28"/>
        </w:rPr>
        <w:t>5. Reflection and Conclusion</w:t>
      </w:r>
    </w:p>
    <w:p w14:paraId="01F5D973">
      <w:pPr>
        <w:rPr>
          <w:rFonts w:hint="eastAsia" w:ascii="微软雅黑" w:hAnsi="微软雅黑" w:eastAsia="微软雅黑" w:cs="微软雅黑"/>
          <w:sz w:val="18"/>
          <w:szCs w:val="18"/>
        </w:rPr>
      </w:pPr>
    </w:p>
    <w:p w14:paraId="32BE610D">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5.1 Reflection on the Research process</w:t>
      </w:r>
    </w:p>
    <w:p w14:paraId="32D7B30A">
      <w:pPr>
        <w:rPr>
          <w:rFonts w:hint="eastAsia" w:ascii="微软雅黑" w:hAnsi="微软雅黑" w:eastAsia="微软雅黑" w:cs="微软雅黑"/>
          <w:sz w:val="18"/>
          <w:szCs w:val="18"/>
        </w:rPr>
      </w:pPr>
    </w:p>
    <w:p w14:paraId="236D3625">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This research design adopts the three-round cycle framework of action research. It is expected to encounter several challenges that need to be flexibly dealt with at the practical operation level. During the material experimentation stage, the selection and treatment of fibers may bring about unexpected problems: some fibers with too low light transmittance may make the space feel cramped, while excessive stretchability may cause the mask shape to be unable to be stably maintained. The thickness and resilience of the floor mat material need to be tested repeatedly to find a balance point that can provide sufficient cushioning without hindering walking. The synchronous calibration of the low-frequency vibration module and the sound field is another technical difficulty - if the vibration frequency does not match the rhythm of the white noise, it may produce an uncoordinated physical sensation, which may instead cause anxiety rather than comfort. These technical setbacks will be gradually resolved through iterative prototyping. Each unsuccessful attempt in the round will be recorded in the reflective diary as the basis for subsequent adjustments.</w:t>
      </w:r>
    </w:p>
    <w:p w14:paraId="02C17034">
      <w:pPr>
        <w:rPr>
          <w:rFonts w:hint="eastAsia" w:ascii="微软雅黑" w:hAnsi="微软雅黑" w:eastAsia="微软雅黑" w:cs="微软雅黑"/>
          <w:sz w:val="18"/>
          <w:szCs w:val="18"/>
        </w:rPr>
      </w:pPr>
    </w:p>
    <w:p w14:paraId="3DE93770">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In terms of physiological measurement, this study designs GSR and HRV as optional auxiliary methods, but their feasibility is restricted by the conditions for obtaining the equipment. Research-grade physiological sensors are usually quite expensive, and the institutions where they are located may not necessarily be equipped with devices available for borrowing. If these devices cannot be obtained, this study will rely entirely on qualitative data, which will not lead to the failure of the research, as the core research question focuses on subjective sensory experience rather than physiological indicators. If only low-precision consumer-grade devices can be obtained, such as smart bracelets with heart rate monitoring functions, their data will only be used as exploratory references and not for strict statistical inference. If the equipment can be borrowed but the quantity is limited, a rotational wearing method will be adopted, and only the physiological data of some participants will be collected. This restriction needs to be honestly stated in the final research report and its impact on the conclusion should be discussed.</w:t>
      </w:r>
    </w:p>
    <w:p w14:paraId="6FAD9112">
      <w:pPr>
        <w:rPr>
          <w:rFonts w:hint="eastAsia" w:ascii="微软雅黑" w:hAnsi="微软雅黑" w:eastAsia="微软雅黑" w:cs="微软雅黑"/>
          <w:sz w:val="18"/>
          <w:szCs w:val="18"/>
        </w:rPr>
      </w:pPr>
    </w:p>
    <w:p w14:paraId="5D34B259">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visual diary occupies a core position in the design of this study. The researcher's own diary will become an important tool for tracking creative decisions and emotional changes. It not only records what was done, but also why it was done and the intuition and hesitation at that time. The visual diary of the participants provides a non-verbal expression channel. Especially for those physical sensations that are difficult to describe in words, sketches or photos can often convey them more directly. It is expected that this open-ended recording method will bring certain difficulties to data analysis, as the data forms are diverse and the content varies greatly. However, the flexibility of thematic analysis can precisely cope with this complex situation. Overall, the design of this study acknowledges that unforeseen difficulties may arise during the process and reserves room for iterative adjustments.</w:t>
      </w:r>
    </w:p>
    <w:p w14:paraId="202F7499">
      <w:pPr>
        <w:rPr>
          <w:rFonts w:hint="eastAsia" w:ascii="微软雅黑" w:hAnsi="微软雅黑" w:eastAsia="微软雅黑" w:cs="微软雅黑"/>
          <w:sz w:val="18"/>
          <w:szCs w:val="18"/>
        </w:rPr>
      </w:pPr>
    </w:p>
    <w:p w14:paraId="74A56994">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5.2 Expected Key Findings</w:t>
      </w:r>
    </w:p>
    <w:p w14:paraId="12735529">
      <w:pPr>
        <w:rPr>
          <w:rFonts w:hint="eastAsia" w:ascii="微软雅黑" w:hAnsi="微软雅黑" w:eastAsia="微软雅黑" w:cs="微软雅黑"/>
          <w:sz w:val="18"/>
          <w:szCs w:val="18"/>
        </w:rPr>
      </w:pPr>
    </w:p>
    <w:p w14:paraId="0ED2A3A4">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Based on the theoretical assumptions designed in this study, the expected key findings are: Without providing any symbolic or textual explanations, participants only through spatial scale, fiber tactility, light, envelopment, sound, vibration and interaction, It is possible to report subjective experiences of ritual comfort and emotional relief. Specifically, it is expected that participants will frequently present visual images such as being wrapped, quiet, and time slowing down in visual diary; Describe feelings such as a sense of ceremony, solemnity or inexplicable reassurance in the interview; The observation records will show that the participants stayed for a longer time and their body postures changed from tense to relaxed. If physiological measures are implemented, it is expected that the HRV index will show an upward trend in the middle of the experience, and the GSR may briefly increase due to initial curiosity and then gradually fall back to a level lower than the baseline. These expectations still await empirical verification in the future.</w:t>
      </w:r>
    </w:p>
    <w:p w14:paraId="3EDFF851">
      <w:pPr>
        <w:rPr>
          <w:rFonts w:hint="eastAsia" w:ascii="微软雅黑" w:hAnsi="微软雅黑" w:eastAsia="微软雅黑" w:cs="微软雅黑"/>
          <w:sz w:val="18"/>
          <w:szCs w:val="18"/>
        </w:rPr>
      </w:pPr>
    </w:p>
    <w:p w14:paraId="3BEEF05E">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5.3 Expected Contributions</w:t>
      </w:r>
    </w:p>
    <w:p w14:paraId="421CDD8A">
      <w:pPr>
        <w:rPr>
          <w:rFonts w:hint="eastAsia" w:ascii="微软雅黑" w:hAnsi="微软雅黑" w:eastAsia="微软雅黑" w:cs="微软雅黑"/>
          <w:sz w:val="18"/>
          <w:szCs w:val="18"/>
        </w:rPr>
      </w:pPr>
    </w:p>
    <w:p w14:paraId="3A3E6AAB">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At the theoretical level, if the above expectations are verified, this study will challenge the mainstream assumption that the revitalization of intangible cultural heritage must rely on semantic interpretation. It will demonstrate that sensory environment itself can convey ritual healing, thereby transforming embodied phenomenology from a philosophical proposition into the basis for design practice in the field of cultural heritage.</w:t>
      </w:r>
    </w:p>
    <w:p w14:paraId="152519C0">
      <w:pPr>
        <w:rPr>
          <w:rFonts w:hint="eastAsia" w:ascii="微软雅黑" w:hAnsi="微软雅黑" w:eastAsia="微软雅黑" w:cs="微软雅黑"/>
          <w:sz w:val="18"/>
          <w:szCs w:val="18"/>
        </w:rPr>
      </w:pPr>
    </w:p>
    <w:p w14:paraId="11C159DB">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At the practical level, this study is expected to provide a replicable ritual to sensation translation framework. The design logic of the five modules can be independently disassembled or reassembled, and is applicable to other performative intangible cultural heritage projects facing the risk of solidification, such as Tibetan opera or Japanese Noh opera. Exhibition designers can draw on the language of fibers, sound fields, vibrations and interactions to liberate the spirit of ritual from symbolic interpretation.</w:t>
      </w:r>
    </w:p>
    <w:p w14:paraId="77EB891D">
      <w:pPr>
        <w:rPr>
          <w:rFonts w:hint="eastAsia" w:ascii="微软雅黑" w:hAnsi="微软雅黑" w:eastAsia="微软雅黑" w:cs="微软雅黑"/>
          <w:sz w:val="18"/>
          <w:szCs w:val="18"/>
        </w:rPr>
      </w:pPr>
    </w:p>
    <w:p w14:paraId="5100D7B2">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At the methodological level, This study will demonstrate how to integrate action research, non-structured visual diary, thematic analysis and optional physiological measures into the research of artistic practice. This integrated model can provide a reference for doctoral students engaged in the intersection of art, heritage and healing.</w:t>
      </w:r>
    </w:p>
    <w:p w14:paraId="21BFB346">
      <w:pPr>
        <w:rPr>
          <w:rFonts w:hint="eastAsia" w:ascii="微软雅黑" w:hAnsi="微软雅黑" w:eastAsia="微软雅黑" w:cs="微软雅黑"/>
          <w:sz w:val="18"/>
          <w:szCs w:val="18"/>
        </w:rPr>
      </w:pPr>
    </w:p>
    <w:p w14:paraId="5F8674D3">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5.4 Limitations</w:t>
      </w:r>
    </w:p>
    <w:p w14:paraId="5C1983C2">
      <w:pPr>
        <w:rPr>
          <w:rFonts w:hint="eastAsia" w:ascii="微软雅黑" w:hAnsi="微软雅黑" w:eastAsia="微软雅黑" w:cs="微软雅黑"/>
          <w:sz w:val="18"/>
          <w:szCs w:val="18"/>
        </w:rPr>
      </w:pPr>
    </w:p>
    <w:p w14:paraId="2D9A20D7">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The design of this study has several limitations. Firstly, as it has not yet been implemented, all expectations are at the hypothetical stage, and the actual results may not match the expectations. Secondly, the planned sample size is relatively small, ranging from fifteen to twenty people, from convenience sampling and snowball sampling. The representativeness of the sample is limited, and the generalization of the conclusion needs to be done with caution. Thirdly, the feasibility of physiological measures depends on equipment availability and technical capabilities. High-precision research-grade equipment may not be accessible, and the data reliability of low-precision consumer-grade equipment is insufficient. If it is completely impossible to implement, there will be a lack of objective data dimensions, and only qualitative self-reports can be relied upon. Fourth, the multi-round loop of action research may be limited by time and practical conditions, and the iteration depth may not be as ideal as theoretically. Fifth, although the non-structured visual diary is rich in data, the data quality of the participants may be affected due to differences in writing burden or expression ability. Sixth, the dual roles of researchers as creators and evaluators may introduce biases, although reflective diaries and external coders' checks can partially alleviate this problem.</w:t>
      </w:r>
    </w:p>
    <w:p w14:paraId="000664EF">
      <w:pPr>
        <w:rPr>
          <w:rFonts w:hint="eastAsia" w:ascii="微软雅黑" w:hAnsi="微软雅黑" w:eastAsia="微软雅黑" w:cs="微软雅黑"/>
          <w:sz w:val="18"/>
          <w:szCs w:val="18"/>
        </w:rPr>
      </w:pPr>
    </w:p>
    <w:p w14:paraId="180E874E">
      <w:pPr>
        <w:numPr>
          <w:ilvl w:val="1"/>
          <w:numId w:val="0"/>
        </w:numPr>
        <w:ind w:left="0" w:leftChars="0" w:firstLine="0" w:firstLineChars="0"/>
        <w:rPr>
          <w:rFonts w:hint="eastAsia" w:ascii="微软雅黑" w:hAnsi="微软雅黑" w:eastAsia="微软雅黑" w:cs="微软雅黑"/>
          <w:sz w:val="24"/>
          <w:szCs w:val="24"/>
        </w:rPr>
      </w:pPr>
      <w:r>
        <w:rPr>
          <w:rFonts w:hint="eastAsia" w:ascii="微软雅黑" w:hAnsi="微软雅黑" w:eastAsia="微软雅黑" w:cs="微软雅黑"/>
          <w:sz w:val="24"/>
          <w:szCs w:val="24"/>
        </w:rPr>
        <w:t>5.5 Future research Recommendations</w:t>
      </w:r>
    </w:p>
    <w:p w14:paraId="22D449B8">
      <w:pPr>
        <w:rPr>
          <w:rFonts w:hint="eastAsia" w:ascii="微软雅黑" w:hAnsi="微软雅黑" w:eastAsia="微软雅黑" w:cs="微软雅黑"/>
          <w:sz w:val="18"/>
          <w:szCs w:val="18"/>
        </w:rPr>
      </w:pPr>
    </w:p>
    <w:p w14:paraId="40E8C242">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If conditions permit in the future, this research can be expanded from the following aspects. At the sample level, it can be expanded to participants from different cultural backgrounds and age groups to test the cross-cultural healing effect of the device and the impact of age differences on sensory preferences. In terms of the time dimension, long-term tracking studies can be designed to examine the cumulative effects after multiple experiences rather than just observing a single experience. In terms of technical means, eye-tracking can be introduced to analyze the distribution of participants' visual attention in space, as well as high-density EEG to explore deeper cognitive and emotional states. In terms of physiological measurement, if research-grade equipment becomes accessible, more rigorous experimental protocols can be designed, with physiological indicators serving as one of the main pieces of evidence. In terms of application scope, this design framework can be attempted to be applied to other similar rituals, such as Tibetan opera, Japanese Noh or European folk rituals, to test its universality and cultural adaptability. In addition, some modules of this device can be simplified or digitized to develop low-cost self-service healing Spaces, which can be applied to community mental health services or school stress management projects.</w:t>
      </w:r>
    </w:p>
    <w:p w14:paraId="1278B6CB">
      <w:pPr>
        <w:rPr>
          <w:rFonts w:hint="eastAsia" w:ascii="微软雅黑" w:hAnsi="微软雅黑" w:eastAsia="微软雅黑" w:cs="微软雅黑"/>
          <w:sz w:val="18"/>
          <w:szCs w:val="18"/>
        </w:rPr>
      </w:pPr>
    </w:p>
    <w:p w14:paraId="66C4F1AD">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Overall, this paper presents a doctoral research design that is in the planning stage. Through the system integration of fiber devices, sound fields, vibrations and interactive participation, this study hopes to provide a healing path based on sensory heritage in the era of anxiety. The revitalization of intangible cultural heritage should not be confined to symbols and texts, but should return to the body and senses. This belief will drive subsequent research practices.</w:t>
      </w:r>
    </w:p>
    <w:p w14:paraId="5C84A0E5">
      <w:pPr>
        <w:rPr>
          <w:rFonts w:hint="eastAsia" w:ascii="微软雅黑" w:hAnsi="微软雅黑" w:eastAsia="微软雅黑" w:cs="微软雅黑"/>
          <w:sz w:val="18"/>
          <w:szCs w:val="18"/>
        </w:rPr>
      </w:pPr>
    </w:p>
    <w:p w14:paraId="5AA9DAD8">
      <w:pPr>
        <w:rPr>
          <w:rFonts w:hint="eastAsia" w:ascii="微软雅黑" w:hAnsi="微软雅黑" w:eastAsia="微软雅黑" w:cs="微软雅黑"/>
          <w:sz w:val="18"/>
          <w:szCs w:val="18"/>
        </w:rPr>
      </w:pPr>
    </w:p>
    <w:p w14:paraId="2A2C8F04">
      <w:pPr>
        <w:rPr>
          <w:rFonts w:hint="eastAsia" w:ascii="微软雅黑" w:hAnsi="微软雅黑" w:eastAsia="微软雅黑" w:cs="微软雅黑"/>
          <w:sz w:val="18"/>
          <w:szCs w:val="18"/>
        </w:rPr>
      </w:pPr>
    </w:p>
    <w:p w14:paraId="4CFC1CD4">
      <w:pPr>
        <w:rPr>
          <w:rFonts w:hint="eastAsia" w:ascii="微软雅黑" w:hAnsi="微软雅黑" w:eastAsia="微软雅黑" w:cs="微软雅黑"/>
          <w:sz w:val="18"/>
          <w:szCs w:val="18"/>
        </w:rPr>
      </w:pPr>
    </w:p>
    <w:p w14:paraId="6B9422A2">
      <w:pPr>
        <w:rPr>
          <w:rFonts w:hint="eastAsia" w:ascii="微软雅黑" w:hAnsi="微软雅黑" w:eastAsia="微软雅黑" w:cs="微软雅黑"/>
          <w:sz w:val="18"/>
          <w:szCs w:val="18"/>
        </w:rPr>
      </w:pPr>
    </w:p>
    <w:p w14:paraId="7B444332">
      <w:pPr>
        <w:rPr>
          <w:rFonts w:hint="eastAsia" w:ascii="微软雅黑" w:hAnsi="微软雅黑" w:eastAsia="微软雅黑" w:cs="微软雅黑"/>
          <w:sz w:val="18"/>
          <w:szCs w:val="18"/>
        </w:rPr>
      </w:pPr>
    </w:p>
    <w:p w14:paraId="031A2F91">
      <w:pPr>
        <w:rPr>
          <w:rFonts w:hint="eastAsia" w:ascii="微软雅黑" w:hAnsi="微软雅黑" w:eastAsia="微软雅黑" w:cs="微软雅黑"/>
          <w:sz w:val="18"/>
          <w:szCs w:val="18"/>
        </w:rPr>
      </w:pPr>
    </w:p>
    <w:p w14:paraId="7B6F911F">
      <w:pPr>
        <w:rPr>
          <w:rFonts w:hint="eastAsia" w:ascii="微软雅黑" w:hAnsi="微软雅黑" w:eastAsia="微软雅黑" w:cs="微软雅黑"/>
          <w:sz w:val="18"/>
          <w:szCs w:val="18"/>
        </w:rPr>
      </w:pPr>
    </w:p>
    <w:p w14:paraId="70591F9E">
      <w:pPr>
        <w:rPr>
          <w:rFonts w:hint="eastAsia" w:ascii="微软雅黑" w:hAnsi="微软雅黑" w:eastAsia="微软雅黑" w:cs="微软雅黑"/>
          <w:sz w:val="18"/>
          <w:szCs w:val="18"/>
        </w:rPr>
      </w:pPr>
    </w:p>
    <w:p w14:paraId="7FC45CA9">
      <w:pPr>
        <w:rPr>
          <w:rFonts w:hint="eastAsia" w:ascii="微软雅黑" w:hAnsi="微软雅黑" w:eastAsia="微软雅黑" w:cs="微软雅黑"/>
          <w:sz w:val="18"/>
          <w:szCs w:val="18"/>
        </w:rPr>
      </w:pPr>
    </w:p>
    <w:p w14:paraId="4868E523">
      <w:pPr>
        <w:rPr>
          <w:rFonts w:hint="eastAsia" w:ascii="微软雅黑" w:hAnsi="微软雅黑" w:eastAsia="微软雅黑" w:cs="微软雅黑"/>
          <w:sz w:val="18"/>
          <w:szCs w:val="18"/>
        </w:rPr>
      </w:pPr>
    </w:p>
    <w:p w14:paraId="2F33E6E5">
      <w:pPr>
        <w:rPr>
          <w:rFonts w:hint="eastAsia" w:ascii="微软雅黑" w:hAnsi="微软雅黑" w:eastAsia="微软雅黑" w:cs="微软雅黑"/>
          <w:sz w:val="18"/>
          <w:szCs w:val="18"/>
        </w:rPr>
      </w:pPr>
    </w:p>
    <w:p w14:paraId="5FA2679E">
      <w:pPr>
        <w:rPr>
          <w:rFonts w:hint="eastAsia" w:ascii="微软雅黑" w:hAnsi="微软雅黑" w:eastAsia="微软雅黑" w:cs="微软雅黑"/>
          <w:sz w:val="18"/>
          <w:szCs w:val="18"/>
        </w:rPr>
      </w:pPr>
    </w:p>
    <w:p w14:paraId="3DDCB6B5">
      <w:pPr>
        <w:rPr>
          <w:rFonts w:hint="eastAsia" w:ascii="微软雅黑" w:hAnsi="微软雅黑" w:eastAsia="微软雅黑" w:cs="微软雅黑"/>
          <w:sz w:val="18"/>
          <w:szCs w:val="18"/>
        </w:rPr>
      </w:pPr>
    </w:p>
    <w:p w14:paraId="41FD713D">
      <w:pPr>
        <w:rPr>
          <w:rFonts w:hint="eastAsia" w:ascii="微软雅黑" w:hAnsi="微软雅黑" w:eastAsia="微软雅黑" w:cs="微软雅黑"/>
          <w:sz w:val="18"/>
          <w:szCs w:val="18"/>
        </w:rPr>
      </w:pPr>
    </w:p>
    <w:p w14:paraId="725CACAA">
      <w:pPr>
        <w:rPr>
          <w:rFonts w:hint="eastAsia" w:ascii="微软雅黑" w:hAnsi="微软雅黑" w:eastAsia="微软雅黑" w:cs="微软雅黑"/>
          <w:sz w:val="18"/>
          <w:szCs w:val="18"/>
        </w:rPr>
      </w:pPr>
    </w:p>
    <w:p w14:paraId="4ADA7FC6">
      <w:pPr>
        <w:rPr>
          <w:rFonts w:hint="eastAsia" w:ascii="微软雅黑" w:hAnsi="微软雅黑" w:eastAsia="微软雅黑" w:cs="微软雅黑"/>
          <w:sz w:val="18"/>
          <w:szCs w:val="18"/>
        </w:rPr>
      </w:pPr>
    </w:p>
    <w:p w14:paraId="0354C5B6">
      <w:pPr>
        <w:rPr>
          <w:rFonts w:hint="eastAsia" w:ascii="微软雅黑" w:hAnsi="微软雅黑" w:eastAsia="微软雅黑" w:cs="微软雅黑"/>
          <w:sz w:val="18"/>
          <w:szCs w:val="18"/>
        </w:rPr>
      </w:pPr>
    </w:p>
    <w:p w14:paraId="382CCB9B">
      <w:pPr>
        <w:rPr>
          <w:rFonts w:hint="eastAsia" w:ascii="微软雅黑" w:hAnsi="微软雅黑" w:eastAsia="微软雅黑" w:cs="微软雅黑"/>
          <w:sz w:val="18"/>
          <w:szCs w:val="18"/>
        </w:rPr>
      </w:pPr>
    </w:p>
    <w:p w14:paraId="2B793FDD">
      <w:pPr>
        <w:rPr>
          <w:rFonts w:hint="eastAsia" w:ascii="微软雅黑" w:hAnsi="微软雅黑" w:eastAsia="微软雅黑" w:cs="微软雅黑"/>
          <w:sz w:val="18"/>
          <w:szCs w:val="18"/>
        </w:rPr>
      </w:pPr>
    </w:p>
    <w:p w14:paraId="23CC12C7">
      <w:pPr>
        <w:rPr>
          <w:rFonts w:hint="eastAsia" w:ascii="微软雅黑" w:hAnsi="微软雅黑" w:eastAsia="微软雅黑" w:cs="微软雅黑"/>
          <w:sz w:val="18"/>
          <w:szCs w:val="18"/>
        </w:rPr>
      </w:pPr>
    </w:p>
    <w:p w14:paraId="2309ECF1">
      <w:pPr>
        <w:rPr>
          <w:rFonts w:hint="eastAsia" w:ascii="微软雅黑" w:hAnsi="微软雅黑" w:eastAsia="微软雅黑" w:cs="微软雅黑"/>
          <w:sz w:val="18"/>
          <w:szCs w:val="18"/>
        </w:rPr>
      </w:pPr>
    </w:p>
    <w:p w14:paraId="0331D59D">
      <w:pPr>
        <w:rPr>
          <w:rFonts w:hint="eastAsia" w:ascii="微软雅黑" w:hAnsi="微软雅黑" w:eastAsia="微软雅黑" w:cs="微软雅黑"/>
          <w:sz w:val="18"/>
          <w:szCs w:val="18"/>
        </w:rPr>
      </w:pPr>
    </w:p>
    <w:p w14:paraId="62B7A9B0">
      <w:pPr>
        <w:rPr>
          <w:rFonts w:hint="eastAsia" w:ascii="微软雅黑" w:hAnsi="微软雅黑" w:eastAsia="微软雅黑" w:cs="微软雅黑"/>
          <w:sz w:val="18"/>
          <w:szCs w:val="18"/>
        </w:rPr>
      </w:pPr>
    </w:p>
    <w:p w14:paraId="57541BDB">
      <w:pPr>
        <w:rPr>
          <w:rFonts w:hint="eastAsia" w:ascii="微软雅黑" w:hAnsi="微软雅黑" w:eastAsia="微软雅黑" w:cs="微软雅黑"/>
          <w:sz w:val="18"/>
          <w:szCs w:val="18"/>
        </w:rPr>
      </w:pPr>
    </w:p>
    <w:p w14:paraId="2FC024D6">
      <w:pPr>
        <w:rPr>
          <w:rFonts w:hint="eastAsia" w:ascii="微软雅黑" w:hAnsi="微软雅黑" w:eastAsia="微软雅黑" w:cs="微软雅黑"/>
          <w:sz w:val="18"/>
          <w:szCs w:val="18"/>
        </w:rPr>
      </w:pPr>
    </w:p>
    <w:p w14:paraId="4B386B7D">
      <w:pPr>
        <w:rPr>
          <w:rFonts w:hint="eastAsia" w:ascii="微软雅黑" w:hAnsi="微软雅黑" w:eastAsia="微软雅黑" w:cs="微软雅黑"/>
          <w:sz w:val="18"/>
          <w:szCs w:val="18"/>
        </w:rPr>
      </w:pPr>
    </w:p>
    <w:p w14:paraId="060FCC87">
      <w:pPr>
        <w:rPr>
          <w:rFonts w:hint="eastAsia" w:ascii="微软雅黑" w:hAnsi="微软雅黑" w:eastAsia="微软雅黑" w:cs="微软雅黑"/>
          <w:sz w:val="18"/>
          <w:szCs w:val="18"/>
        </w:rPr>
      </w:pPr>
    </w:p>
    <w:p w14:paraId="3794DD64">
      <w:pPr>
        <w:rPr>
          <w:rFonts w:hint="eastAsia" w:ascii="微软雅黑" w:hAnsi="微软雅黑" w:eastAsia="微软雅黑" w:cs="微软雅黑"/>
          <w:sz w:val="18"/>
          <w:szCs w:val="18"/>
        </w:rPr>
      </w:pPr>
    </w:p>
    <w:p w14:paraId="63CB5B9C">
      <w:pPr>
        <w:rPr>
          <w:rFonts w:hint="eastAsia" w:ascii="微软雅黑" w:hAnsi="微软雅黑" w:eastAsia="微软雅黑" w:cs="微软雅黑"/>
          <w:sz w:val="18"/>
          <w:szCs w:val="18"/>
        </w:rPr>
      </w:pPr>
    </w:p>
    <w:p w14:paraId="1CFC3A1E">
      <w:pPr>
        <w:rPr>
          <w:rFonts w:hint="eastAsia" w:ascii="微软雅黑" w:hAnsi="微软雅黑" w:eastAsia="微软雅黑" w:cs="微软雅黑"/>
          <w:sz w:val="18"/>
          <w:szCs w:val="18"/>
        </w:rPr>
      </w:pPr>
    </w:p>
    <w:p w14:paraId="3D03826D">
      <w:pPr>
        <w:rPr>
          <w:rFonts w:hint="eastAsia" w:ascii="微软雅黑" w:hAnsi="微软雅黑" w:eastAsia="微软雅黑" w:cs="微软雅黑"/>
          <w:sz w:val="18"/>
          <w:szCs w:val="18"/>
        </w:rPr>
      </w:pPr>
    </w:p>
    <w:p w14:paraId="5C375EE4">
      <w:pPr>
        <w:rPr>
          <w:rFonts w:hint="eastAsia" w:ascii="微软雅黑" w:hAnsi="微软雅黑" w:eastAsia="微软雅黑" w:cs="微软雅黑"/>
          <w:sz w:val="18"/>
          <w:szCs w:val="18"/>
        </w:rPr>
      </w:pPr>
    </w:p>
    <w:p w14:paraId="786A4F1E">
      <w:pPr>
        <w:rPr>
          <w:rFonts w:hint="eastAsia" w:ascii="微软雅黑" w:hAnsi="微软雅黑" w:eastAsia="微软雅黑" w:cs="微软雅黑"/>
          <w:sz w:val="18"/>
          <w:szCs w:val="18"/>
        </w:rPr>
      </w:pPr>
    </w:p>
    <w:p w14:paraId="6EDDBB1D">
      <w:pPr>
        <w:rPr>
          <w:rFonts w:hint="eastAsia" w:ascii="微软雅黑" w:hAnsi="微软雅黑" w:eastAsia="微软雅黑" w:cs="微软雅黑"/>
          <w:sz w:val="18"/>
          <w:szCs w:val="18"/>
        </w:rPr>
      </w:pPr>
    </w:p>
    <w:p w14:paraId="0FEC3CE4">
      <w:pPr>
        <w:rPr>
          <w:rFonts w:hint="eastAsia" w:ascii="微软雅黑" w:hAnsi="微软雅黑" w:eastAsia="微软雅黑" w:cs="微软雅黑"/>
          <w:sz w:val="18"/>
          <w:szCs w:val="18"/>
        </w:rPr>
      </w:pPr>
    </w:p>
    <w:p w14:paraId="78504AC2">
      <w:pPr>
        <w:rPr>
          <w:rFonts w:hint="eastAsia" w:ascii="微软雅黑" w:hAnsi="微软雅黑" w:eastAsia="微软雅黑" w:cs="微软雅黑"/>
          <w:sz w:val="18"/>
          <w:szCs w:val="18"/>
        </w:rPr>
      </w:pPr>
    </w:p>
    <w:p w14:paraId="1C28ACB3">
      <w:pPr>
        <w:rPr>
          <w:rFonts w:hint="eastAsia" w:ascii="微软雅黑" w:hAnsi="微软雅黑" w:eastAsia="微软雅黑" w:cs="微软雅黑"/>
          <w:sz w:val="18"/>
          <w:szCs w:val="18"/>
        </w:rPr>
      </w:pPr>
    </w:p>
    <w:p w14:paraId="1A21EBC8">
      <w:pPr>
        <w:rPr>
          <w:rFonts w:hint="eastAsia" w:ascii="微软雅黑" w:hAnsi="微软雅黑" w:eastAsia="微软雅黑" w:cs="微软雅黑"/>
          <w:sz w:val="18"/>
          <w:szCs w:val="18"/>
        </w:rPr>
      </w:pPr>
    </w:p>
    <w:p w14:paraId="11DBFAD2">
      <w:pPr>
        <w:rPr>
          <w:rFonts w:hint="eastAsia" w:ascii="微软雅黑" w:hAnsi="微软雅黑" w:eastAsia="微软雅黑" w:cs="微软雅黑"/>
          <w:sz w:val="18"/>
          <w:szCs w:val="18"/>
        </w:rPr>
      </w:pPr>
    </w:p>
    <w:p w14:paraId="5E7737C4">
      <w:pPr>
        <w:rPr>
          <w:rFonts w:hint="eastAsia" w:ascii="微软雅黑" w:hAnsi="微软雅黑" w:eastAsia="微软雅黑" w:cs="微软雅黑"/>
          <w:sz w:val="18"/>
          <w:szCs w:val="18"/>
        </w:rPr>
      </w:pPr>
    </w:p>
    <w:p w14:paraId="5E2C3DAC">
      <w:pPr>
        <w:rPr>
          <w:rFonts w:hint="eastAsia" w:ascii="微软雅黑" w:hAnsi="微软雅黑" w:eastAsia="微软雅黑" w:cs="微软雅黑"/>
          <w:sz w:val="28"/>
          <w:szCs w:val="28"/>
          <w:lang w:eastAsia="zh-CN"/>
        </w:rPr>
      </w:pPr>
      <w:r>
        <w:rPr>
          <w:rFonts w:hint="eastAsia" w:ascii="微软雅黑" w:hAnsi="微软雅黑" w:eastAsia="微软雅黑" w:cs="微软雅黑"/>
          <w:sz w:val="28"/>
          <w:szCs w:val="28"/>
        </w:rPr>
        <w:t>References</w:t>
      </w:r>
      <w:r>
        <w:rPr>
          <w:rFonts w:hint="eastAsia" w:ascii="微软雅黑" w:hAnsi="微软雅黑" w:eastAsia="微软雅黑" w:cs="微软雅黑"/>
          <w:sz w:val="28"/>
          <w:szCs w:val="28"/>
          <w:lang w:eastAsia="zh-CN"/>
        </w:rPr>
        <w:t>：</w:t>
      </w:r>
    </w:p>
    <w:p w14:paraId="738F6F13">
      <w:pPr>
        <w:rPr>
          <w:rFonts w:hint="eastAsia" w:ascii="微软雅黑" w:hAnsi="微软雅黑" w:eastAsia="微软雅黑" w:cs="微软雅黑"/>
          <w:sz w:val="18"/>
          <w:szCs w:val="18"/>
          <w:lang w:eastAsia="zh-CN"/>
        </w:rPr>
      </w:pPr>
    </w:p>
    <w:p w14:paraId="4945068B">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Abakanowicz, M. (1980). Abakanowicz: Sculpture. Abbeville Press.</w:t>
      </w:r>
    </w:p>
    <w:p w14:paraId="1D69FDDC">
      <w:pPr>
        <w:rPr>
          <w:rFonts w:hint="eastAsia" w:ascii="微软雅黑" w:hAnsi="微软雅黑" w:eastAsia="微软雅黑" w:cs="微软雅黑"/>
          <w:sz w:val="18"/>
          <w:szCs w:val="18"/>
        </w:rPr>
      </w:pPr>
    </w:p>
    <w:p w14:paraId="054E33C9">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Bal, M. (2002). Travelling Concepts in the Humanities: A Rough Guide. University of Toronto Press.</w:t>
      </w:r>
    </w:p>
    <w:p w14:paraId="6D12044F">
      <w:pPr>
        <w:rPr>
          <w:rFonts w:hint="eastAsia" w:ascii="微软雅黑" w:hAnsi="微软雅黑" w:eastAsia="微软雅黑" w:cs="微软雅黑"/>
          <w:sz w:val="18"/>
          <w:szCs w:val="18"/>
        </w:rPr>
      </w:pPr>
    </w:p>
    <w:p w14:paraId="5D9CC9B4">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Bolger, N., Davis, A., &amp; Rafaeli, E. (2003). Diary methods: Capturing life as it is lived. Annual Review of Psychology, 54(1), 579–616.</w:t>
      </w:r>
    </w:p>
    <w:p w14:paraId="58273D18">
      <w:pPr>
        <w:rPr>
          <w:rFonts w:hint="eastAsia" w:ascii="微软雅黑" w:hAnsi="微软雅黑" w:eastAsia="微软雅黑" w:cs="微软雅黑"/>
          <w:sz w:val="18"/>
          <w:szCs w:val="18"/>
        </w:rPr>
      </w:pPr>
    </w:p>
    <w:p w14:paraId="2BE626D4">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Braun, V., &amp; Clarke, V. (2006)</w:t>
      </w:r>
      <w:bookmarkStart w:id="0" w:name="_GoBack"/>
      <w:bookmarkEnd w:id="0"/>
      <w:r>
        <w:rPr>
          <w:rFonts w:hint="eastAsia" w:ascii="微软雅黑" w:hAnsi="微软雅黑" w:eastAsia="微软雅黑" w:cs="微软雅黑"/>
          <w:sz w:val="18"/>
          <w:szCs w:val="18"/>
        </w:rPr>
        <w:t>. Using thematic analysis in psychology. Qualitative Research in Psychology, 3(2), 77–101.</w:t>
      </w:r>
    </w:p>
    <w:p w14:paraId="406196D0">
      <w:pPr>
        <w:rPr>
          <w:rFonts w:hint="eastAsia" w:ascii="微软雅黑" w:hAnsi="微软雅黑" w:eastAsia="微软雅黑" w:cs="微软雅黑"/>
          <w:sz w:val="18"/>
          <w:szCs w:val="18"/>
        </w:rPr>
      </w:pPr>
    </w:p>
    <w:p w14:paraId="0F83FD15">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Creswell, J. W., &amp; Creswell, J. D. (2018). Research Design: Qualitative, Quantitative, and Mixed Methods Approaches (5th ed.). SAGE Publications.</w:t>
      </w:r>
    </w:p>
    <w:p w14:paraId="06555556">
      <w:pPr>
        <w:rPr>
          <w:rFonts w:hint="eastAsia" w:ascii="微软雅黑" w:hAnsi="微软雅黑" w:eastAsia="微软雅黑" w:cs="微软雅黑"/>
          <w:sz w:val="18"/>
          <w:szCs w:val="18"/>
        </w:rPr>
      </w:pPr>
    </w:p>
    <w:p w14:paraId="3EE915B9">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Hicks, S. (2011). Sheila Hicks: Weaving as Metaphor. Yale University Press.</w:t>
      </w:r>
    </w:p>
    <w:p w14:paraId="58F4B472">
      <w:pPr>
        <w:rPr>
          <w:rFonts w:hint="eastAsia" w:ascii="微软雅黑" w:hAnsi="微软雅黑" w:eastAsia="微软雅黑" w:cs="微软雅黑"/>
          <w:sz w:val="18"/>
          <w:szCs w:val="18"/>
        </w:rPr>
      </w:pPr>
    </w:p>
    <w:p w14:paraId="05146B70">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Kaimal, G., Ray, K., &amp; Muniz, J. (2016). Reduction of cortisol levels and participants’ responses following art making. Art Therapy, 33(2), 74–80.</w:t>
      </w:r>
    </w:p>
    <w:p w14:paraId="1F95F362">
      <w:pPr>
        <w:rPr>
          <w:rFonts w:hint="eastAsia" w:ascii="微软雅黑" w:hAnsi="微软雅黑" w:eastAsia="微软雅黑" w:cs="微软雅黑"/>
          <w:sz w:val="18"/>
          <w:szCs w:val="18"/>
        </w:rPr>
      </w:pPr>
    </w:p>
    <w:p w14:paraId="18830DB9">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Kemmis, S., &amp; McTaggart, R. (1988). The Action Research Planner (3rd ed.). Deakin University Press.</w:t>
      </w:r>
    </w:p>
    <w:p w14:paraId="2C2FD36F">
      <w:pPr>
        <w:rPr>
          <w:rFonts w:hint="eastAsia" w:ascii="微软雅黑" w:hAnsi="微软雅黑" w:eastAsia="微软雅黑" w:cs="微软雅黑"/>
          <w:sz w:val="18"/>
          <w:szCs w:val="18"/>
        </w:rPr>
      </w:pPr>
    </w:p>
    <w:p w14:paraId="5403F33B">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Liu, Z. (2006). A History of Chinese Nuo Opera. China Theatre Press. (Original work published in Chinese)</w:t>
      </w:r>
    </w:p>
    <w:p w14:paraId="420D22EC">
      <w:pPr>
        <w:rPr>
          <w:rFonts w:hint="eastAsia" w:ascii="微软雅黑" w:hAnsi="微软雅黑" w:eastAsia="微软雅黑" w:cs="微软雅黑"/>
          <w:sz w:val="18"/>
          <w:szCs w:val="18"/>
        </w:rPr>
      </w:pPr>
    </w:p>
    <w:p w14:paraId="5FCAF0ED">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Merleau-Ponty, M. (2012). Phenomenology of Perception (D. A. Landes, Trans.). Routledge. (Original work published 1945)</w:t>
      </w:r>
    </w:p>
    <w:p w14:paraId="404B6647">
      <w:pPr>
        <w:rPr>
          <w:rFonts w:hint="eastAsia" w:ascii="微软雅黑" w:hAnsi="微软雅黑" w:eastAsia="微软雅黑" w:cs="微软雅黑"/>
          <w:sz w:val="18"/>
          <w:szCs w:val="18"/>
        </w:rPr>
      </w:pPr>
    </w:p>
    <w:p w14:paraId="224D0C5A">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Reason, P., &amp; Bradbury, H. (Eds.). (2008). The SAGE Handbook of Action Research: Participative Inquiry and Practice (2nd ed.). SAGE Publications.</w:t>
      </w:r>
    </w:p>
    <w:p w14:paraId="05BAC835">
      <w:pPr>
        <w:rPr>
          <w:rFonts w:hint="eastAsia" w:ascii="微软雅黑" w:hAnsi="微软雅黑" w:eastAsia="微软雅黑" w:cs="微软雅黑"/>
          <w:sz w:val="18"/>
          <w:szCs w:val="18"/>
        </w:rPr>
      </w:pPr>
    </w:p>
    <w:p w14:paraId="0B485388">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Salovaara, A., Lyytinen, K., &amp; Penttinen, E. (2019). Diary studies in design research. In The Routledge Companion to Design Research (2nd ed., pp. 345–358). Routledge.</w:t>
      </w:r>
    </w:p>
    <w:p w14:paraId="06B2A918">
      <w:pPr>
        <w:rPr>
          <w:rFonts w:hint="eastAsia" w:ascii="微软雅黑" w:hAnsi="微软雅黑" w:eastAsia="微软雅黑" w:cs="微软雅黑"/>
          <w:sz w:val="18"/>
          <w:szCs w:val="18"/>
        </w:rPr>
      </w:pPr>
    </w:p>
    <w:p w14:paraId="65B5F83F">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Smith, L. (2006). Uses of Heritage. Routledge.</w:t>
      </w:r>
    </w:p>
    <w:p w14:paraId="58C5F2D3">
      <w:pPr>
        <w:rPr>
          <w:rFonts w:hint="eastAsia" w:ascii="微软雅黑" w:hAnsi="微软雅黑" w:eastAsia="微软雅黑" w:cs="微软雅黑"/>
          <w:sz w:val="18"/>
          <w:szCs w:val="18"/>
        </w:rPr>
      </w:pPr>
    </w:p>
    <w:p w14:paraId="20A8B200">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Sturge, K. (2007). Representing Others: Translation, Ethnography and the Museum. St. Jerome Publishing.</w:t>
      </w:r>
    </w:p>
    <w:p w14:paraId="3DAF1601">
      <w:pPr>
        <w:rPr>
          <w:rFonts w:hint="eastAsia" w:ascii="微软雅黑" w:hAnsi="微软雅黑" w:eastAsia="微软雅黑" w:cs="微软雅黑"/>
          <w:sz w:val="18"/>
          <w:szCs w:val="18"/>
        </w:rPr>
      </w:pPr>
    </w:p>
    <w:p w14:paraId="14BEC14B">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Turner, V. (1969). The Ritual Process: Structure and Anti-Structure. Aldine Publishing.</w:t>
      </w:r>
    </w:p>
    <w:p w14:paraId="7810B75C">
      <w:pPr>
        <w:rPr>
          <w:rFonts w:hint="eastAsia" w:ascii="微软雅黑" w:hAnsi="微软雅黑" w:eastAsia="微软雅黑" w:cs="微软雅黑"/>
          <w:sz w:val="18"/>
          <w:szCs w:val="18"/>
        </w:rPr>
      </w:pPr>
    </w:p>
    <w:p w14:paraId="0F1575A0">
      <w:pPr>
        <w:rPr>
          <w:rFonts w:hint="eastAsia" w:ascii="微软雅黑" w:hAnsi="微软雅黑" w:eastAsia="微软雅黑" w:cs="微软雅黑"/>
          <w:sz w:val="18"/>
          <w:szCs w:val="18"/>
        </w:rPr>
      </w:pPr>
      <w:r>
        <w:rPr>
          <w:rFonts w:hint="eastAsia" w:ascii="微软雅黑" w:hAnsi="微软雅黑" w:eastAsia="微软雅黑" w:cs="微软雅黑"/>
          <w:sz w:val="18"/>
          <w:szCs w:val="18"/>
        </w:rPr>
        <w:t>Waterton, E., &amp; Dittmer, J. (2014). The museum as assemblage: Bringing geography into the museum. In D. P. Tolia-Kelly, E. Waterton, &amp; S. Watson (Eds.), Heritage, Affect and Emotion (pp. 159–180). Routledge.</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7"/>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239D19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paragraph" w:styleId="6">
    <w:name w:val="heading 5"/>
    <w:basedOn w:val="1"/>
    <w:next w:val="1"/>
    <w:unhideWhenUsed/>
    <w:qFormat/>
    <w:uiPriority w:val="0"/>
    <w:pPr>
      <w:keepNext/>
      <w:keepLines/>
      <w:spacing w:before="280" w:beforeLines="0" w:beforeAutospacing="0" w:after="290" w:afterLines="0" w:afterAutospacing="0" w:line="372" w:lineRule="auto"/>
      <w:outlineLvl w:val="4"/>
    </w:pPr>
    <w:rPr>
      <w:b/>
      <w:sz w:val="28"/>
    </w:rPr>
  </w:style>
  <w:style w:type="character" w:default="1" w:styleId="8">
    <w:name w:val="Default Paragraph Font"/>
    <w:semiHidden/>
    <w:uiPriority w:val="0"/>
  </w:style>
  <w:style w:type="table" w:default="1" w:styleId="7">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20</Pages>
  <Words>0</Words>
  <Characters>0</Characters>
  <Lines>0</Lines>
  <Paragraphs>0</Paragraphs>
  <TotalTime>22</TotalTime>
  <ScaleCrop>false</ScaleCrop>
  <LinksUpToDate>false</LinksUpToDate>
  <CharactersWithSpaces>0</CharactersWithSpaces>
  <Application>WPS Office_12.1.0.25225_F1E327BC-269C-435d-A152-05C5408002CA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2026-05-05T22:14:54Z</dcterms:created>
  <dc:creator>光影精灵</dc:creator>
  <cp:lastModifiedBy>许雯婷</cp:lastModifiedBy>
  <dcterms:modified xsi:type="dcterms:W3CDTF">2026-05-05T22:37:53Z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2052-12.1.0.25225</vt:lpwstr>
  </property>
  <property fmtid="{D5CDD505-2E9C-101B-9397-08002B2CF9AE}" pid="3" name="KSOTemplateDocerSaveRecord">
    <vt:lpwstr>eyJoZGlkIjoiNzk2MGUxYzBjMGNiY2EzMzA5ZDQyODU0ZmMyZTQzN2YiLCJ1c2VySWQiOiIyNDM1MTE4NzgifQ==</vt:lpwstr>
  </property>
  <property fmtid="{D5CDD505-2E9C-101B-9397-08002B2CF9AE}" pid="4" name="ICV">
    <vt:lpwstr>E8C3E46CB0204249BF08C4C34C8B68CA_12</vt:lpwstr>
  </property>
</Properties>
</file>