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4E0FD650" w:rsidR="009C337F" w:rsidRDefault="0079059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Laura Collins</w:t>
            </w: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6A44E042" w:rsidR="00986B43" w:rsidRDefault="0079059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ljcollins</w:t>
            </w:r>
            <w:r w:rsidR="00CB5A2F">
              <w:rPr>
                <w:rFonts w:ascii="Times New Roman" w:hAnsi="Times New Roman" w:cs="Times New Roman"/>
                <w:b/>
                <w:color w:val="auto"/>
                <w:sz w:val="48"/>
              </w:rPr>
              <w:t>@carmarthenshire.gov.uk</w:t>
            </w: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5E312840" w:rsidR="0085230E" w:rsidRPr="005D3F07" w:rsidRDefault="0079059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020</w:t>
            </w:r>
            <w:r w:rsidR="00D517C5">
              <w:rPr>
                <w:rFonts w:ascii="Times New Roman" w:hAnsi="Times New Roman" w:cs="Times New Roman"/>
                <w:b/>
                <w:color w:val="auto"/>
                <w:sz w:val="48"/>
              </w:rPr>
              <w:t>1215</w:t>
            </w:r>
          </w:p>
          <w:p w14:paraId="5F84129B" w14:textId="15AAB6D8"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w:t>
            </w:r>
            <w:r w:rsidR="00D517C5">
              <w:rPr>
                <w:rFonts w:ascii="Times New Roman" w:hAnsi="Times New Roman" w:cs="Times New Roman"/>
                <w:b/>
                <w:color w:val="auto"/>
                <w:sz w:val="48"/>
              </w:rPr>
              <w:t xml:space="preserve">6 </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6C9DD258" w14:textId="77777777" w:rsidR="00CB5A2F" w:rsidRDefault="00CB5A2F" w:rsidP="00CB5A2F">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68709ED4" w14:textId="0F97EF09" w:rsidR="00CB5A2F" w:rsidRDefault="00CB5A2F" w:rsidP="00CB5A2F">
            <w:pPr>
              <w:spacing w:line="360" w:lineRule="auto"/>
              <w:rPr>
                <w:sz w:val="24"/>
                <w:szCs w:val="24"/>
              </w:rPr>
            </w:pPr>
          </w:p>
          <w:p w14:paraId="5CA24FC5" w14:textId="77777777" w:rsidR="000C6575" w:rsidRDefault="000C6575" w:rsidP="00CB5A2F">
            <w:pPr>
              <w:spacing w:line="360" w:lineRule="auto"/>
              <w:rPr>
                <w:sz w:val="24"/>
                <w:szCs w:val="24"/>
              </w:rPr>
            </w:pPr>
          </w:p>
          <w:p w14:paraId="0DBD08CC" w14:textId="77777777" w:rsidR="00270E41" w:rsidRPr="00270E41" w:rsidRDefault="00270E41" w:rsidP="00270E41">
            <w:pPr>
              <w:spacing w:line="360" w:lineRule="auto"/>
              <w:jc w:val="both"/>
              <w:rPr>
                <w:sz w:val="24"/>
                <w:szCs w:val="24"/>
              </w:rPr>
            </w:pPr>
            <w:r w:rsidRPr="00270E41">
              <w:rPr>
                <w:sz w:val="24"/>
                <w:szCs w:val="24"/>
              </w:rPr>
              <w:t>An area of Social Work, not my main focus, is Children’s services. Knowledge of legislation in all areas is vital to effective working, particularly safeguarding, adhering to the Social Services Code of Practice (SCW, 2017). Many times, in adult social work, we come in to contact with individuals who have children, being aware of legislation to protect them is paramount. Knowledge allows practitioners to recognise potential risks to children, understand thresholds for intervention, and contribute effectively to multi-agency safeguarding arrangements (</w:t>
            </w:r>
            <w:proofErr w:type="spellStart"/>
            <w:r w:rsidRPr="00270E41">
              <w:rPr>
                <w:sz w:val="24"/>
                <w:szCs w:val="24"/>
              </w:rPr>
              <w:t>gov.wales</w:t>
            </w:r>
            <w:proofErr w:type="spellEnd"/>
            <w:r w:rsidRPr="00270E41">
              <w:rPr>
                <w:sz w:val="24"/>
                <w:szCs w:val="24"/>
              </w:rPr>
              <w:t>, 2024)</w:t>
            </w:r>
          </w:p>
          <w:p w14:paraId="28073CDF" w14:textId="77777777" w:rsidR="00270E41" w:rsidRPr="00270E41" w:rsidRDefault="00270E41" w:rsidP="00270E41">
            <w:pPr>
              <w:spacing w:line="360" w:lineRule="auto"/>
              <w:jc w:val="both"/>
              <w:rPr>
                <w:sz w:val="24"/>
                <w:szCs w:val="24"/>
              </w:rPr>
            </w:pPr>
          </w:p>
          <w:p w14:paraId="38B70AC8" w14:textId="5729F6B8" w:rsidR="00270E41" w:rsidRPr="00270E41" w:rsidRDefault="00270E41" w:rsidP="00270E41">
            <w:pPr>
              <w:spacing w:line="360" w:lineRule="auto"/>
              <w:jc w:val="both"/>
              <w:rPr>
                <w:sz w:val="24"/>
                <w:szCs w:val="24"/>
              </w:rPr>
            </w:pPr>
            <w:r w:rsidRPr="00270E41">
              <w:rPr>
                <w:sz w:val="24"/>
                <w:szCs w:val="24"/>
              </w:rPr>
              <w:t>The main legislation in place to protect children within Wales is the CA 198</w:t>
            </w:r>
            <w:r w:rsidR="006B7761">
              <w:rPr>
                <w:sz w:val="24"/>
                <w:szCs w:val="24"/>
              </w:rPr>
              <w:t>9</w:t>
            </w:r>
            <w:r w:rsidRPr="00270E41">
              <w:rPr>
                <w:sz w:val="24"/>
                <w:szCs w:val="24"/>
              </w:rPr>
              <w:t xml:space="preserve"> (legislation.gov.uk, 2011) The CA 1989, establishes children’s welfare is paramount, placing duties on local authorities to safeguard and promote the welfare of children at risk. Section 47 places duty on local authorities to investigate where there is reasonable cause to suspect a child is suffering, or is likely to suffer, significant harm (Cardiff.ac.uk, 2026).</w:t>
            </w:r>
          </w:p>
          <w:p w14:paraId="61257757" w14:textId="77777777" w:rsidR="00270E41" w:rsidRPr="00270E41" w:rsidRDefault="00270E41" w:rsidP="00270E41">
            <w:pPr>
              <w:spacing w:line="360" w:lineRule="auto"/>
              <w:jc w:val="both"/>
              <w:rPr>
                <w:sz w:val="24"/>
                <w:szCs w:val="24"/>
              </w:rPr>
            </w:pPr>
            <w:r w:rsidRPr="00270E41">
              <w:rPr>
                <w:sz w:val="24"/>
                <w:szCs w:val="24"/>
              </w:rPr>
              <w:t xml:space="preserve">In 2004 reforms were made to The CA (2004), following an inquiry into Victoria Climbie’s death, strengthening safeguarding arrangements. Greater emphasis was placed on </w:t>
            </w:r>
            <w:r w:rsidRPr="00270E41">
              <w:rPr>
                <w:sz w:val="24"/>
                <w:szCs w:val="24"/>
              </w:rPr>
              <w:lastRenderedPageBreak/>
              <w:t xml:space="preserve">partnership working and cooperation between agencies in safeguarding children, with improvements to cross agency information sharing (Laming, 2003). </w:t>
            </w:r>
          </w:p>
          <w:p w14:paraId="756038E4" w14:textId="6F9BBF45" w:rsidR="00270E41" w:rsidRPr="00270E41" w:rsidRDefault="00270E41" w:rsidP="00270E41">
            <w:pPr>
              <w:spacing w:line="360" w:lineRule="auto"/>
              <w:jc w:val="both"/>
              <w:rPr>
                <w:sz w:val="24"/>
                <w:szCs w:val="24"/>
              </w:rPr>
            </w:pPr>
            <w:r w:rsidRPr="00270E41">
              <w:rPr>
                <w:sz w:val="24"/>
                <w:szCs w:val="24"/>
              </w:rPr>
              <w:t>In Wales, SSWBA, 2014 provides further frameworks for safeguarding children and promoting well-being. This places children and families at the centre of decision-making, promoting principles of well-being, prevention, voice and control, and multi-agency collaboration. It requires local authorities to assess and meet the needs of children requiring care and support and establishes duties relating to safeguarding (</w:t>
            </w:r>
            <w:proofErr w:type="spellStart"/>
            <w:r w:rsidRPr="00270E41">
              <w:rPr>
                <w:sz w:val="24"/>
                <w:szCs w:val="24"/>
              </w:rPr>
              <w:t>Gov.wales</w:t>
            </w:r>
            <w:proofErr w:type="spellEnd"/>
            <w:r w:rsidRPr="00270E41">
              <w:rPr>
                <w:sz w:val="24"/>
                <w:szCs w:val="24"/>
              </w:rPr>
              <w:t>, 201</w:t>
            </w:r>
            <w:r w:rsidR="006B7761">
              <w:rPr>
                <w:sz w:val="24"/>
                <w:szCs w:val="24"/>
              </w:rPr>
              <w:t>6)</w:t>
            </w:r>
            <w:r w:rsidRPr="00270E41">
              <w:rPr>
                <w:sz w:val="24"/>
                <w:szCs w:val="24"/>
              </w:rPr>
              <w:t xml:space="preserve"> </w:t>
            </w:r>
          </w:p>
          <w:p w14:paraId="07737F70" w14:textId="77777777" w:rsidR="00270E41" w:rsidRPr="00270E41" w:rsidRDefault="00270E41" w:rsidP="00270E41">
            <w:pPr>
              <w:spacing w:line="360" w:lineRule="auto"/>
              <w:jc w:val="both"/>
              <w:rPr>
                <w:sz w:val="24"/>
                <w:szCs w:val="24"/>
              </w:rPr>
            </w:pPr>
            <w:r w:rsidRPr="00270E41">
              <w:rPr>
                <w:sz w:val="24"/>
                <w:szCs w:val="24"/>
              </w:rPr>
              <w:t>To further safeguard children, the Adoption and Children Act was introduced in 2002 (UK parliament, 2002) outlining protecting principles and promoting children’s welfare, when involved in adoption proceedings. It’s important that children’s wishes and feelings are of paramount consideration in decisions relating to the adoption process. These principles are consistent with attachment theory, highlighting the importance of secure, stable and nurturing relationships for children's emotional and developmental wellbeing (Bowlby, 1988)</w:t>
            </w:r>
          </w:p>
          <w:p w14:paraId="74ECA1DC" w14:textId="77777777" w:rsidR="00270E41" w:rsidRPr="00CD24BA" w:rsidRDefault="00270E41" w:rsidP="00270E41">
            <w:pPr>
              <w:spacing w:line="360" w:lineRule="auto"/>
              <w:jc w:val="both"/>
              <w:rPr>
                <w:sz w:val="24"/>
                <w:szCs w:val="24"/>
              </w:rPr>
            </w:pPr>
            <w:r w:rsidRPr="00270E41">
              <w:rPr>
                <w:sz w:val="24"/>
                <w:szCs w:val="24"/>
              </w:rPr>
              <w:t>T</w:t>
            </w:r>
            <w:r w:rsidRPr="00CD24BA">
              <w:rPr>
                <w:sz w:val="24"/>
                <w:szCs w:val="24"/>
              </w:rPr>
              <w:t>he Wales Safeguarding Procedures 2019 (WSP, 2019) provide a framework for identifying, reporting and responding to safeguarding concerns</w:t>
            </w:r>
            <w:r w:rsidRPr="00270E41">
              <w:rPr>
                <w:sz w:val="24"/>
                <w:szCs w:val="24"/>
              </w:rPr>
              <w:t xml:space="preserve">, </w:t>
            </w:r>
            <w:r w:rsidRPr="00CD24BA">
              <w:rPr>
                <w:sz w:val="24"/>
                <w:szCs w:val="24"/>
              </w:rPr>
              <w:t>support</w:t>
            </w:r>
            <w:r w:rsidRPr="00270E41">
              <w:rPr>
                <w:sz w:val="24"/>
                <w:szCs w:val="24"/>
              </w:rPr>
              <w:t>ing</w:t>
            </w:r>
            <w:r w:rsidRPr="00CD24BA">
              <w:rPr>
                <w:sz w:val="24"/>
                <w:szCs w:val="24"/>
              </w:rPr>
              <w:t xml:space="preserve"> the implementation of </w:t>
            </w:r>
            <w:r w:rsidRPr="00270E41">
              <w:rPr>
                <w:sz w:val="24"/>
                <w:szCs w:val="24"/>
              </w:rPr>
              <w:t>SSWBA,</w:t>
            </w:r>
            <w:r w:rsidRPr="00CD24BA">
              <w:rPr>
                <w:sz w:val="24"/>
                <w:szCs w:val="24"/>
              </w:rPr>
              <w:t xml:space="preserve"> 2014 and Working Together to Safeguard People, promoting consistent practice and multi-agency working across Wales. Both place dut</w:t>
            </w:r>
            <w:r w:rsidRPr="00270E41">
              <w:rPr>
                <w:sz w:val="24"/>
                <w:szCs w:val="24"/>
              </w:rPr>
              <w:t>ies</w:t>
            </w:r>
            <w:r w:rsidRPr="00CD24BA">
              <w:rPr>
                <w:sz w:val="24"/>
                <w:szCs w:val="24"/>
              </w:rPr>
              <w:t xml:space="preserve"> on relevant partners to work together to safeguard children and promote wellbeing. The Rights of Children and Young Persons (Wales) Measure 2011 further strengthens rights-based approach</w:t>
            </w:r>
            <w:r w:rsidRPr="00270E41">
              <w:rPr>
                <w:sz w:val="24"/>
                <w:szCs w:val="24"/>
              </w:rPr>
              <w:t>es,</w:t>
            </w:r>
            <w:r w:rsidRPr="00CD24BA">
              <w:rPr>
                <w:sz w:val="24"/>
                <w:szCs w:val="24"/>
              </w:rPr>
              <w:t xml:space="preserve"> embedding the principles of UNCRC. Effective multi-agency working is essential, as no single professional is likely to hold all the information needed to assess and respond to risk (Munro, 2011; Daniel, Wassell and Gilligan, 2010).</w:t>
            </w:r>
          </w:p>
          <w:p w14:paraId="350A5B46" w14:textId="77777777" w:rsidR="00270E41" w:rsidRPr="00270E41" w:rsidRDefault="00270E41" w:rsidP="00270E41">
            <w:pPr>
              <w:spacing w:line="360" w:lineRule="auto"/>
              <w:jc w:val="both"/>
              <w:rPr>
                <w:sz w:val="24"/>
                <w:szCs w:val="24"/>
              </w:rPr>
            </w:pPr>
          </w:p>
          <w:p w14:paraId="695C6B10" w14:textId="77777777" w:rsidR="00270E41" w:rsidRPr="00270E41" w:rsidRDefault="00270E41" w:rsidP="00270E41">
            <w:pPr>
              <w:spacing w:line="360" w:lineRule="auto"/>
              <w:jc w:val="both"/>
              <w:rPr>
                <w:sz w:val="24"/>
                <w:szCs w:val="24"/>
              </w:rPr>
            </w:pPr>
          </w:p>
          <w:p w14:paraId="6ED42FEC" w14:textId="58F1A589" w:rsidR="00270E41" w:rsidRPr="00270E41" w:rsidRDefault="00270E41" w:rsidP="00270E41">
            <w:pPr>
              <w:spacing w:line="360" w:lineRule="auto"/>
              <w:jc w:val="both"/>
              <w:rPr>
                <w:sz w:val="24"/>
                <w:szCs w:val="24"/>
              </w:rPr>
            </w:pPr>
            <w:r w:rsidRPr="00270E41">
              <w:rPr>
                <w:sz w:val="24"/>
                <w:szCs w:val="24"/>
              </w:rPr>
              <w:t>Regional Safeguarding Boards are established under Part 7 of SSWBA, 2014. Boards have a statutory responsibility to safeguard and promote the welfare of children at risk through partnership working</w:t>
            </w:r>
            <w:r w:rsidR="00F66465">
              <w:rPr>
                <w:sz w:val="24"/>
                <w:szCs w:val="24"/>
              </w:rPr>
              <w:t xml:space="preserve">, </w:t>
            </w:r>
            <w:r w:rsidRPr="00270E41">
              <w:rPr>
                <w:sz w:val="24"/>
                <w:szCs w:val="24"/>
              </w:rPr>
              <w:t xml:space="preserve">coordinating safeguarding activities, developing protocols, procedures multi-agency training, supporting practitioners in identifying and responding to concerns. These Boards work in accordance with </w:t>
            </w:r>
            <w:r w:rsidR="004F4C53">
              <w:rPr>
                <w:sz w:val="24"/>
                <w:szCs w:val="24"/>
              </w:rPr>
              <w:t xml:space="preserve">Wales </w:t>
            </w:r>
            <w:r w:rsidRPr="00270E41">
              <w:rPr>
                <w:sz w:val="24"/>
                <w:szCs w:val="24"/>
              </w:rPr>
              <w:t>Safeguarding Procedures</w:t>
            </w:r>
            <w:r w:rsidR="004F4C53">
              <w:rPr>
                <w:sz w:val="24"/>
                <w:szCs w:val="24"/>
              </w:rPr>
              <w:t xml:space="preserve"> (2019)</w:t>
            </w:r>
            <w:r w:rsidRPr="00270E41">
              <w:rPr>
                <w:sz w:val="24"/>
                <w:szCs w:val="24"/>
              </w:rPr>
              <w:t xml:space="preserve"> and Welsh Government guidance, promoting consistency and information sharing across agencies. Local authorities maintain safeguarding policies, outlining referral pathways, thresholds for </w:t>
            </w:r>
            <w:r w:rsidRPr="00270E41">
              <w:rPr>
                <w:sz w:val="24"/>
                <w:szCs w:val="24"/>
              </w:rPr>
              <w:lastRenderedPageBreak/>
              <w:t xml:space="preserve">intervention, escalation procedures and reporting responsibilities, ensuring children at risk receive timely and appropriate support. </w:t>
            </w:r>
          </w:p>
          <w:p w14:paraId="5D3F67A5" w14:textId="77777777" w:rsidR="00270E41" w:rsidRPr="00270E41" w:rsidRDefault="00270E41" w:rsidP="00270E41">
            <w:pPr>
              <w:spacing w:line="360" w:lineRule="auto"/>
              <w:jc w:val="both"/>
              <w:rPr>
                <w:sz w:val="24"/>
                <w:szCs w:val="24"/>
                <w:highlight w:val="yellow"/>
              </w:rPr>
            </w:pPr>
          </w:p>
          <w:p w14:paraId="647808F8" w14:textId="77777777" w:rsidR="00270E41" w:rsidRPr="00270E41" w:rsidRDefault="00270E41" w:rsidP="00270E41">
            <w:pPr>
              <w:spacing w:line="360" w:lineRule="auto"/>
              <w:jc w:val="both"/>
              <w:rPr>
                <w:sz w:val="24"/>
                <w:szCs w:val="24"/>
              </w:rPr>
            </w:pPr>
            <w:r w:rsidRPr="00270E41">
              <w:rPr>
                <w:sz w:val="24"/>
                <w:szCs w:val="24"/>
              </w:rPr>
              <w:t xml:space="preserve">organisational level, employers are responsible for implementing safeguarding policies and procedures, ensuring staff understanding of child protection policies, whistleblowing, information-sharing, safe recruitment, supervision and training, supporting practitioners to recognise signs, record and report concerns accurately and appropriately. </w:t>
            </w:r>
          </w:p>
          <w:p w14:paraId="6BFCFEBD" w14:textId="77777777" w:rsidR="00270E41" w:rsidRPr="00270E41" w:rsidRDefault="00270E41" w:rsidP="00270E41">
            <w:pPr>
              <w:spacing w:line="360" w:lineRule="auto"/>
              <w:jc w:val="both"/>
              <w:rPr>
                <w:sz w:val="24"/>
                <w:szCs w:val="24"/>
              </w:rPr>
            </w:pPr>
            <w:r w:rsidRPr="00270E41">
              <w:rPr>
                <w:sz w:val="24"/>
                <w:szCs w:val="24"/>
              </w:rPr>
              <w:t>Word count: 550</w:t>
            </w:r>
          </w:p>
          <w:p w14:paraId="4882A1BB" w14:textId="77777777" w:rsidR="000C6575" w:rsidRPr="00E63107" w:rsidRDefault="000C6575" w:rsidP="00CB5A2F">
            <w:pPr>
              <w:spacing w:line="360" w:lineRule="auto"/>
              <w:rPr>
                <w:sz w:val="24"/>
                <w:szCs w:val="24"/>
              </w:rPr>
            </w:pPr>
          </w:p>
          <w:p w14:paraId="0318E819" w14:textId="77777777" w:rsidR="00FC0334" w:rsidRDefault="00FC0334" w:rsidP="00FF7EBB">
            <w:pPr>
              <w:jc w:val="both"/>
              <w:rPr>
                <w:sz w:val="24"/>
                <w:szCs w:val="24"/>
              </w:rPr>
            </w:pPr>
          </w:p>
          <w:p w14:paraId="6D8CB8AF" w14:textId="77777777" w:rsidR="00FC0334" w:rsidRDefault="00FC0334" w:rsidP="00FF7EBB">
            <w:pPr>
              <w:jc w:val="both"/>
              <w:rPr>
                <w:sz w:val="24"/>
                <w:szCs w:val="24"/>
              </w:rPr>
            </w:pP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03BD6D93" w14:textId="56AD433A" w:rsidR="007A628F" w:rsidRPr="008B28E7" w:rsidRDefault="007A628F" w:rsidP="00CB5A2F">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3EE36AA5" w14:textId="77777777" w:rsidR="00CB5A2F" w:rsidRDefault="00CB5A2F" w:rsidP="00FC0334">
            <w:pPr>
              <w:jc w:val="both"/>
              <w:rPr>
                <w:sz w:val="24"/>
                <w:szCs w:val="24"/>
              </w:rPr>
            </w:pPr>
          </w:p>
          <w:p w14:paraId="68BDFC74" w14:textId="5B8AE054" w:rsidR="00CB5A2F" w:rsidRDefault="00CB5A2F" w:rsidP="00FC0334">
            <w:pPr>
              <w:jc w:val="both"/>
              <w:rPr>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3472E78C" w14:textId="77777777" w:rsidR="000A75EE" w:rsidRPr="000A75EE" w:rsidRDefault="000A75EE" w:rsidP="000A75EE">
            <w:pPr>
              <w:spacing w:line="360" w:lineRule="auto"/>
              <w:rPr>
                <w:sz w:val="24"/>
                <w:szCs w:val="24"/>
              </w:rPr>
            </w:pPr>
            <w:r w:rsidRPr="000A75EE">
              <w:rPr>
                <w:sz w:val="24"/>
                <w:szCs w:val="24"/>
              </w:rPr>
              <w:t>Reflecting on safeguarding practice, highlights significant differences between adults and children, although both protect individuals from harm, abuse and neglect. Understanding differences is essential for effective practice and ensuring interventions are lawful, proportionate and person-centred (WG, 2022).</w:t>
            </w:r>
          </w:p>
          <w:p w14:paraId="3729B8BB" w14:textId="77777777" w:rsidR="000A75EE" w:rsidRPr="000A75EE" w:rsidRDefault="000A75EE" w:rsidP="000A75EE">
            <w:pPr>
              <w:spacing w:line="360" w:lineRule="auto"/>
              <w:rPr>
                <w:sz w:val="24"/>
                <w:szCs w:val="24"/>
              </w:rPr>
            </w:pPr>
            <w:r w:rsidRPr="000A75EE">
              <w:rPr>
                <w:sz w:val="24"/>
                <w:szCs w:val="24"/>
              </w:rPr>
              <w:t xml:space="preserve">One difference relates to autonomy and decision-making. Children’s services safeguarding primarily focuses on promoting children’s welfare, with their best interest’s paramount, under the Children Act 1989 (CA, 1989). Children are more vulnerable due to age and adult dependence. Professionals have duties to intervene following raised concerns, regarding abuse or neglect, regardless of whether the child agrees with the intervention (HM Government, 2018). Adult safeguarding places greater emphasis on individual rights, choice </w:t>
            </w:r>
            <w:r w:rsidRPr="000A75EE">
              <w:rPr>
                <w:sz w:val="24"/>
                <w:szCs w:val="24"/>
              </w:rPr>
              <w:lastRenderedPageBreak/>
              <w:t>and empowerment. SSWBA, 2014 promotes strengths-based, person-centred approaches, recognising adults with capacity have rights to make decisions regarding their own lives, even where decisions involve risk (WG, 2014), creating a difference between protection and autonomy from those seen in children's safeguarding.</w:t>
            </w:r>
          </w:p>
          <w:p w14:paraId="56A0B3BA" w14:textId="3C188996" w:rsidR="000A75EE" w:rsidRPr="000A75EE" w:rsidRDefault="000A75EE" w:rsidP="000A75EE">
            <w:pPr>
              <w:spacing w:line="360" w:lineRule="auto"/>
              <w:rPr>
                <w:sz w:val="24"/>
                <w:szCs w:val="24"/>
              </w:rPr>
            </w:pPr>
            <w:r w:rsidRPr="000A75EE">
              <w:rPr>
                <w:sz w:val="24"/>
                <w:szCs w:val="24"/>
              </w:rPr>
              <w:t xml:space="preserve">Further differences include the role of mental capacity. In adult services, consideration must be given to whether individuals over 18 have capacity to understand, weigh and communicate decisions around safety. The Mental Capacity Act 2005 provides a framework for assessing and making best-interest decisions when individuals lack capacity (MCA, 2005). In children's services, a child's views and wishes are important and considered according to age and understanding, however safeguarding decisions are often made by adults and professionals acting in the child's best interests (CA, 1989; HM Government, 2018). In addition, when working with young people, Gillick competence must be considered, recognising </w:t>
            </w:r>
            <w:r w:rsidR="00F52690">
              <w:rPr>
                <w:sz w:val="24"/>
                <w:szCs w:val="24"/>
              </w:rPr>
              <w:t xml:space="preserve">that </w:t>
            </w:r>
            <w:r w:rsidRPr="000A75EE">
              <w:rPr>
                <w:sz w:val="24"/>
                <w:szCs w:val="24"/>
              </w:rPr>
              <w:t>children under 16 may be able to make decisions if demonstrating sufficient maturity and understanding (Gillick, 1985),</w:t>
            </w:r>
            <w:r w:rsidR="009B3197">
              <w:rPr>
                <w:sz w:val="24"/>
                <w:szCs w:val="24"/>
              </w:rPr>
              <w:t xml:space="preserve"> </w:t>
            </w:r>
            <w:r w:rsidR="00314239">
              <w:rPr>
                <w:sz w:val="24"/>
                <w:szCs w:val="24"/>
              </w:rPr>
              <w:t>i</w:t>
            </w:r>
            <w:r w:rsidRPr="000A75EE">
              <w:rPr>
                <w:sz w:val="24"/>
                <w:szCs w:val="24"/>
              </w:rPr>
              <w:t xml:space="preserve">f safeguarding is needed, Gillick competencies are overridden to keep the child safe, however the child’s voice is still important. </w:t>
            </w:r>
          </w:p>
          <w:p w14:paraId="6E1BBF95" w14:textId="77777777" w:rsidR="000A75EE" w:rsidRPr="000A75EE" w:rsidRDefault="000A75EE" w:rsidP="000A75EE">
            <w:pPr>
              <w:spacing w:line="360" w:lineRule="auto"/>
              <w:rPr>
                <w:sz w:val="24"/>
                <w:szCs w:val="24"/>
              </w:rPr>
            </w:pPr>
          </w:p>
          <w:p w14:paraId="3991AF3D" w14:textId="19827340" w:rsidR="000A75EE" w:rsidRPr="000A75EE" w:rsidRDefault="000A75EE" w:rsidP="000A75EE">
            <w:pPr>
              <w:spacing w:line="360" w:lineRule="auto"/>
              <w:rPr>
                <w:sz w:val="24"/>
                <w:szCs w:val="24"/>
              </w:rPr>
            </w:pPr>
            <w:r w:rsidRPr="000A75EE">
              <w:rPr>
                <w:sz w:val="24"/>
                <w:szCs w:val="24"/>
              </w:rPr>
              <w:t>Partnership working is essential in all areas. children's safeguarding agencies work together identifying and reducing risks to children, promoting wellbeing, in accordance with statutory guidance such as Working Together to Safeguard Children (HM Government, 2018). Adult safeguarding aims to ensure individuals are the centre of decision-making (</w:t>
            </w:r>
            <w:proofErr w:type="spellStart"/>
            <w:r w:rsidRPr="000A75EE">
              <w:rPr>
                <w:sz w:val="24"/>
                <w:szCs w:val="24"/>
              </w:rPr>
              <w:t>gov.wales</w:t>
            </w:r>
            <w:proofErr w:type="spellEnd"/>
            <w:r w:rsidRPr="000A75EE">
              <w:rPr>
                <w:sz w:val="24"/>
                <w:szCs w:val="24"/>
              </w:rPr>
              <w:t>, 2022), whilst children's safeguarding focuses on coordinating services, reducing risk, promoting positive outcomes for children (WSP, 20</w:t>
            </w:r>
            <w:r w:rsidR="00613D8F">
              <w:rPr>
                <w:sz w:val="24"/>
                <w:szCs w:val="24"/>
              </w:rPr>
              <w:t>19</w:t>
            </w:r>
            <w:r w:rsidRPr="000A75EE">
              <w:rPr>
                <w:sz w:val="24"/>
                <w:szCs w:val="24"/>
              </w:rPr>
              <w:t>).</w:t>
            </w:r>
          </w:p>
          <w:p w14:paraId="24FC9798" w14:textId="77777777" w:rsidR="000A75EE" w:rsidRPr="000A75EE" w:rsidRDefault="000A75EE" w:rsidP="000A75EE">
            <w:pPr>
              <w:spacing w:line="360" w:lineRule="auto"/>
              <w:rPr>
                <w:sz w:val="24"/>
                <w:szCs w:val="24"/>
              </w:rPr>
            </w:pPr>
            <w:r w:rsidRPr="000A75EE">
              <w:rPr>
                <w:sz w:val="24"/>
                <w:szCs w:val="24"/>
              </w:rPr>
              <w:t>Researching legislation for adults and children, helped recognise while safeguarding principles are similar across services, practice differs significantly in issues of capacity, consent and legal rights. Working with adults, needs care taken, avoiding overly protective approaches that undermine rights and independence, whilst remaining alert to situations intervention is necessary preventing significant harm (Preston-Shoot and Cornish, 2014). Developing an understanding of children's safeguarding, strengthens awareness of how ACE’s impact adult wellbeing and vulnerability later in life, reinforcing importance of adopting an approach across the board (PHW, 2015).</w:t>
            </w:r>
          </w:p>
          <w:p w14:paraId="0950734B" w14:textId="77777777" w:rsidR="000A75EE" w:rsidRPr="000A75EE" w:rsidRDefault="000A75EE" w:rsidP="000A75EE">
            <w:pPr>
              <w:spacing w:line="360" w:lineRule="auto"/>
              <w:rPr>
                <w:sz w:val="24"/>
                <w:szCs w:val="24"/>
              </w:rPr>
            </w:pPr>
            <w:r w:rsidRPr="000A75EE">
              <w:rPr>
                <w:sz w:val="24"/>
                <w:szCs w:val="24"/>
              </w:rPr>
              <w:t>Word count: 438</w:t>
            </w:r>
          </w:p>
          <w:p w14:paraId="54466848" w14:textId="77777777" w:rsidR="005D0E19" w:rsidRDefault="005D0E19" w:rsidP="00CB5A2F">
            <w:pPr>
              <w:spacing w:line="360" w:lineRule="auto"/>
              <w:rPr>
                <w:sz w:val="24"/>
                <w:szCs w:val="24"/>
              </w:rPr>
            </w:pPr>
          </w:p>
          <w:p w14:paraId="323EDBF5" w14:textId="77777777" w:rsidR="005D0E19" w:rsidRDefault="005D0E19" w:rsidP="00CB5A2F">
            <w:pPr>
              <w:spacing w:line="360" w:lineRule="auto"/>
              <w:rPr>
                <w:sz w:val="24"/>
                <w:szCs w:val="24"/>
              </w:rPr>
            </w:pPr>
          </w:p>
          <w:p w14:paraId="04285720" w14:textId="28A05379" w:rsidR="00FC0334" w:rsidRDefault="009D2078" w:rsidP="00FC0334">
            <w:pPr>
              <w:jc w:val="both"/>
              <w:rPr>
                <w:sz w:val="24"/>
                <w:szCs w:val="24"/>
              </w:rPr>
            </w:pPr>
            <w:r>
              <w:rPr>
                <w:sz w:val="24"/>
                <w:szCs w:val="24"/>
              </w:rPr>
              <w:t xml:space="preserve"> </w:t>
            </w: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7825BEF2" w:rsidR="00FC0334" w:rsidRDefault="00FC0334" w:rsidP="00FC0334">
            <w:pPr>
              <w:jc w:val="both"/>
              <w:rPr>
                <w:i/>
                <w:sz w:val="24"/>
                <w:szCs w:val="24"/>
              </w:rPr>
            </w:pP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4C93DE" w14:textId="77777777" w:rsidR="005B0186" w:rsidRDefault="005B0186">
      <w:r>
        <w:separator/>
      </w:r>
    </w:p>
  </w:endnote>
  <w:endnote w:type="continuationSeparator" w:id="0">
    <w:p w14:paraId="4A997980" w14:textId="77777777" w:rsidR="005B0186" w:rsidRDefault="005B01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BE23B7" w14:textId="77777777" w:rsidR="005B0186" w:rsidRDefault="005B0186">
      <w:r>
        <w:separator/>
      </w:r>
    </w:p>
  </w:footnote>
  <w:footnote w:type="continuationSeparator" w:id="0">
    <w:p w14:paraId="6939FE42" w14:textId="77777777" w:rsidR="005B0186" w:rsidRDefault="005B01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4A68"/>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A75EE"/>
    <w:rsid w:val="000B2B80"/>
    <w:rsid w:val="000C378F"/>
    <w:rsid w:val="000C6575"/>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2E9C"/>
    <w:rsid w:val="00114F52"/>
    <w:rsid w:val="00130119"/>
    <w:rsid w:val="00132812"/>
    <w:rsid w:val="001347F8"/>
    <w:rsid w:val="001359EE"/>
    <w:rsid w:val="00137BB5"/>
    <w:rsid w:val="00137E05"/>
    <w:rsid w:val="001447F6"/>
    <w:rsid w:val="00147DE3"/>
    <w:rsid w:val="00150794"/>
    <w:rsid w:val="00151DA6"/>
    <w:rsid w:val="00156EB5"/>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1F5F14"/>
    <w:rsid w:val="002019EB"/>
    <w:rsid w:val="00204B58"/>
    <w:rsid w:val="00205051"/>
    <w:rsid w:val="00210676"/>
    <w:rsid w:val="00211F65"/>
    <w:rsid w:val="00214047"/>
    <w:rsid w:val="00216563"/>
    <w:rsid w:val="0021792F"/>
    <w:rsid w:val="00220D06"/>
    <w:rsid w:val="002246A0"/>
    <w:rsid w:val="00230439"/>
    <w:rsid w:val="00232A09"/>
    <w:rsid w:val="002330A5"/>
    <w:rsid w:val="00235176"/>
    <w:rsid w:val="00236061"/>
    <w:rsid w:val="0024100E"/>
    <w:rsid w:val="00241C1B"/>
    <w:rsid w:val="0024288B"/>
    <w:rsid w:val="00243DB0"/>
    <w:rsid w:val="00247265"/>
    <w:rsid w:val="00260663"/>
    <w:rsid w:val="002657E9"/>
    <w:rsid w:val="0026665E"/>
    <w:rsid w:val="00270E41"/>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4239"/>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86927"/>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47BA3"/>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87525"/>
    <w:rsid w:val="004911B4"/>
    <w:rsid w:val="0049196A"/>
    <w:rsid w:val="004923DA"/>
    <w:rsid w:val="00492EEB"/>
    <w:rsid w:val="00493434"/>
    <w:rsid w:val="0049374F"/>
    <w:rsid w:val="004968E2"/>
    <w:rsid w:val="004A2A49"/>
    <w:rsid w:val="004A5A64"/>
    <w:rsid w:val="004B4A8B"/>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C53"/>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0186"/>
    <w:rsid w:val="005B271A"/>
    <w:rsid w:val="005B3A2D"/>
    <w:rsid w:val="005C1567"/>
    <w:rsid w:val="005C28D3"/>
    <w:rsid w:val="005C6CE5"/>
    <w:rsid w:val="005D0E19"/>
    <w:rsid w:val="005D3F07"/>
    <w:rsid w:val="005D4A1E"/>
    <w:rsid w:val="005D4F72"/>
    <w:rsid w:val="005E13EA"/>
    <w:rsid w:val="005E17F1"/>
    <w:rsid w:val="005F64AA"/>
    <w:rsid w:val="005F74E7"/>
    <w:rsid w:val="005F7851"/>
    <w:rsid w:val="00606E27"/>
    <w:rsid w:val="006108C9"/>
    <w:rsid w:val="006118A5"/>
    <w:rsid w:val="00613D8F"/>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B7761"/>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596"/>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3619"/>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197"/>
    <w:rsid w:val="009B3E46"/>
    <w:rsid w:val="009B7136"/>
    <w:rsid w:val="009C337F"/>
    <w:rsid w:val="009C53E7"/>
    <w:rsid w:val="009C6092"/>
    <w:rsid w:val="009C7342"/>
    <w:rsid w:val="009D2078"/>
    <w:rsid w:val="009D4365"/>
    <w:rsid w:val="009D477B"/>
    <w:rsid w:val="009D4E3B"/>
    <w:rsid w:val="009D59C2"/>
    <w:rsid w:val="009D7BC9"/>
    <w:rsid w:val="009E122F"/>
    <w:rsid w:val="009E1982"/>
    <w:rsid w:val="009E27BD"/>
    <w:rsid w:val="009E4D2C"/>
    <w:rsid w:val="009F0978"/>
    <w:rsid w:val="009F3AEC"/>
    <w:rsid w:val="009F6801"/>
    <w:rsid w:val="00A00081"/>
    <w:rsid w:val="00A06422"/>
    <w:rsid w:val="00A10D56"/>
    <w:rsid w:val="00A12AAE"/>
    <w:rsid w:val="00A12F22"/>
    <w:rsid w:val="00A16DD1"/>
    <w:rsid w:val="00A2087F"/>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1E4F"/>
    <w:rsid w:val="00B2292C"/>
    <w:rsid w:val="00B22C3C"/>
    <w:rsid w:val="00B24344"/>
    <w:rsid w:val="00B26769"/>
    <w:rsid w:val="00B2754B"/>
    <w:rsid w:val="00B31C91"/>
    <w:rsid w:val="00B3747F"/>
    <w:rsid w:val="00B42E76"/>
    <w:rsid w:val="00B43194"/>
    <w:rsid w:val="00B436BF"/>
    <w:rsid w:val="00B46CEE"/>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6C0F"/>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5A2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5F0D"/>
    <w:rsid w:val="00D36F00"/>
    <w:rsid w:val="00D37508"/>
    <w:rsid w:val="00D44B67"/>
    <w:rsid w:val="00D44F8E"/>
    <w:rsid w:val="00D517C5"/>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0445"/>
    <w:rsid w:val="00E13887"/>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D6D2E"/>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2690"/>
    <w:rsid w:val="00F53F27"/>
    <w:rsid w:val="00F546D1"/>
    <w:rsid w:val="00F60281"/>
    <w:rsid w:val="00F66272"/>
    <w:rsid w:val="00F66465"/>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48281160">
      <w:bodyDiv w:val="1"/>
      <w:marLeft w:val="0"/>
      <w:marRight w:val="0"/>
      <w:marTop w:val="0"/>
      <w:marBottom w:val="0"/>
      <w:divBdr>
        <w:top w:val="none" w:sz="0" w:space="0" w:color="auto"/>
        <w:left w:val="none" w:sz="0" w:space="0" w:color="auto"/>
        <w:bottom w:val="none" w:sz="0" w:space="0" w:color="auto"/>
        <w:right w:val="none" w:sz="0" w:space="0" w:color="auto"/>
      </w:divBdr>
      <w:divsChild>
        <w:div w:id="1928073907">
          <w:marLeft w:val="0"/>
          <w:marRight w:val="0"/>
          <w:marTop w:val="120"/>
          <w:marBottom w:val="120"/>
          <w:divBdr>
            <w:top w:val="none" w:sz="0" w:space="0" w:color="auto"/>
            <w:left w:val="none" w:sz="0" w:space="0" w:color="auto"/>
            <w:bottom w:val="none" w:sz="0" w:space="0" w:color="auto"/>
            <w:right w:val="none" w:sz="0" w:space="0" w:color="auto"/>
          </w:divBdr>
        </w:div>
        <w:div w:id="1875968071">
          <w:marLeft w:val="0"/>
          <w:marRight w:val="0"/>
          <w:marTop w:val="120"/>
          <w:marBottom w:val="120"/>
          <w:divBdr>
            <w:top w:val="none" w:sz="0" w:space="0" w:color="auto"/>
            <w:left w:val="none" w:sz="0" w:space="0" w:color="auto"/>
            <w:bottom w:val="none" w:sz="0" w:space="0" w:color="auto"/>
            <w:right w:val="none" w:sz="0" w:space="0" w:color="auto"/>
          </w:divBdr>
        </w:div>
        <w:div w:id="700399412">
          <w:marLeft w:val="0"/>
          <w:marRight w:val="0"/>
          <w:marTop w:val="120"/>
          <w:marBottom w:val="120"/>
          <w:divBdr>
            <w:top w:val="none" w:sz="0" w:space="0" w:color="auto"/>
            <w:left w:val="none" w:sz="0" w:space="0" w:color="auto"/>
            <w:bottom w:val="none" w:sz="0" w:space="0" w:color="auto"/>
            <w:right w:val="none" w:sz="0" w:space="0" w:color="auto"/>
          </w:divBdr>
        </w:div>
        <w:div w:id="1406758298">
          <w:marLeft w:val="0"/>
          <w:marRight w:val="0"/>
          <w:marTop w:val="120"/>
          <w:marBottom w:val="120"/>
          <w:divBdr>
            <w:top w:val="none" w:sz="0" w:space="0" w:color="auto"/>
            <w:left w:val="none" w:sz="0" w:space="0" w:color="auto"/>
            <w:bottom w:val="none" w:sz="0" w:space="0" w:color="auto"/>
            <w:right w:val="none" w:sz="0" w:space="0" w:color="auto"/>
          </w:divBdr>
        </w:div>
        <w:div w:id="1620985778">
          <w:marLeft w:val="0"/>
          <w:marRight w:val="0"/>
          <w:marTop w:val="120"/>
          <w:marBottom w:val="120"/>
          <w:divBdr>
            <w:top w:val="none" w:sz="0" w:space="0" w:color="auto"/>
            <w:left w:val="none" w:sz="0" w:space="0" w:color="auto"/>
            <w:bottom w:val="none" w:sz="0" w:space="0" w:color="auto"/>
            <w:right w:val="none" w:sz="0" w:space="0" w:color="auto"/>
          </w:divBdr>
        </w:div>
        <w:div w:id="158815150">
          <w:marLeft w:val="0"/>
          <w:marRight w:val="0"/>
          <w:marTop w:val="120"/>
          <w:marBottom w:val="120"/>
          <w:divBdr>
            <w:top w:val="none" w:sz="0" w:space="0" w:color="auto"/>
            <w:left w:val="none" w:sz="0" w:space="0" w:color="auto"/>
            <w:bottom w:val="none" w:sz="0" w:space="0" w:color="auto"/>
            <w:right w:val="none" w:sz="0" w:space="0" w:color="auto"/>
          </w:divBdr>
        </w:div>
        <w:div w:id="1447852755">
          <w:marLeft w:val="0"/>
          <w:marRight w:val="0"/>
          <w:marTop w:val="120"/>
          <w:marBottom w:val="120"/>
          <w:divBdr>
            <w:top w:val="none" w:sz="0" w:space="0" w:color="auto"/>
            <w:left w:val="none" w:sz="0" w:space="0" w:color="auto"/>
            <w:bottom w:val="none" w:sz="0" w:space="0" w:color="auto"/>
            <w:right w:val="none" w:sz="0" w:space="0" w:color="auto"/>
          </w:divBdr>
        </w:div>
        <w:div w:id="712584841">
          <w:marLeft w:val="0"/>
          <w:marRight w:val="0"/>
          <w:marTop w:val="120"/>
          <w:marBottom w:val="120"/>
          <w:divBdr>
            <w:top w:val="none" w:sz="0" w:space="0" w:color="auto"/>
            <w:left w:val="none" w:sz="0" w:space="0" w:color="auto"/>
            <w:bottom w:val="none" w:sz="0" w:space="0" w:color="auto"/>
            <w:right w:val="none" w:sz="0" w:space="0" w:color="auto"/>
          </w:divBdr>
        </w:div>
      </w:divsChild>
    </w:div>
    <w:div w:id="1525553921">
      <w:bodyDiv w:val="1"/>
      <w:marLeft w:val="0"/>
      <w:marRight w:val="0"/>
      <w:marTop w:val="0"/>
      <w:marBottom w:val="0"/>
      <w:divBdr>
        <w:top w:val="none" w:sz="0" w:space="0" w:color="auto"/>
        <w:left w:val="none" w:sz="0" w:space="0" w:color="auto"/>
        <w:bottom w:val="none" w:sz="0" w:space="0" w:color="auto"/>
        <w:right w:val="none" w:sz="0" w:space="0" w:color="auto"/>
      </w:divBdr>
      <w:divsChild>
        <w:div w:id="1024788640">
          <w:marLeft w:val="0"/>
          <w:marRight w:val="0"/>
          <w:marTop w:val="120"/>
          <w:marBottom w:val="120"/>
          <w:divBdr>
            <w:top w:val="none" w:sz="0" w:space="0" w:color="auto"/>
            <w:left w:val="none" w:sz="0" w:space="0" w:color="auto"/>
            <w:bottom w:val="none" w:sz="0" w:space="0" w:color="auto"/>
            <w:right w:val="none" w:sz="0" w:space="0" w:color="auto"/>
          </w:divBdr>
        </w:div>
        <w:div w:id="1788548416">
          <w:marLeft w:val="0"/>
          <w:marRight w:val="0"/>
          <w:marTop w:val="120"/>
          <w:marBottom w:val="120"/>
          <w:divBdr>
            <w:top w:val="none" w:sz="0" w:space="0" w:color="auto"/>
            <w:left w:val="none" w:sz="0" w:space="0" w:color="auto"/>
            <w:bottom w:val="none" w:sz="0" w:space="0" w:color="auto"/>
            <w:right w:val="none" w:sz="0" w:space="0" w:color="auto"/>
          </w:divBdr>
        </w:div>
        <w:div w:id="969633593">
          <w:marLeft w:val="0"/>
          <w:marRight w:val="0"/>
          <w:marTop w:val="120"/>
          <w:marBottom w:val="120"/>
          <w:divBdr>
            <w:top w:val="none" w:sz="0" w:space="0" w:color="auto"/>
            <w:left w:val="none" w:sz="0" w:space="0" w:color="auto"/>
            <w:bottom w:val="none" w:sz="0" w:space="0" w:color="auto"/>
            <w:right w:val="none" w:sz="0" w:space="0" w:color="auto"/>
          </w:divBdr>
        </w:div>
        <w:div w:id="1976787377">
          <w:marLeft w:val="0"/>
          <w:marRight w:val="0"/>
          <w:marTop w:val="120"/>
          <w:marBottom w:val="120"/>
          <w:divBdr>
            <w:top w:val="none" w:sz="0" w:space="0" w:color="auto"/>
            <w:left w:val="none" w:sz="0" w:space="0" w:color="auto"/>
            <w:bottom w:val="none" w:sz="0" w:space="0" w:color="auto"/>
            <w:right w:val="none" w:sz="0" w:space="0" w:color="auto"/>
          </w:divBdr>
        </w:div>
        <w:div w:id="2037734165">
          <w:marLeft w:val="0"/>
          <w:marRight w:val="0"/>
          <w:marTop w:val="120"/>
          <w:marBottom w:val="120"/>
          <w:divBdr>
            <w:top w:val="none" w:sz="0" w:space="0" w:color="auto"/>
            <w:left w:val="none" w:sz="0" w:space="0" w:color="auto"/>
            <w:bottom w:val="none" w:sz="0" w:space="0" w:color="auto"/>
            <w:right w:val="none" w:sz="0" w:space="0" w:color="auto"/>
          </w:divBdr>
        </w:div>
        <w:div w:id="1297026560">
          <w:marLeft w:val="0"/>
          <w:marRight w:val="0"/>
          <w:marTop w:val="120"/>
          <w:marBottom w:val="120"/>
          <w:divBdr>
            <w:top w:val="none" w:sz="0" w:space="0" w:color="auto"/>
            <w:left w:val="none" w:sz="0" w:space="0" w:color="auto"/>
            <w:bottom w:val="none" w:sz="0" w:space="0" w:color="auto"/>
            <w:right w:val="none" w:sz="0" w:space="0" w:color="auto"/>
          </w:divBdr>
        </w:div>
        <w:div w:id="312028798">
          <w:marLeft w:val="0"/>
          <w:marRight w:val="0"/>
          <w:marTop w:val="120"/>
          <w:marBottom w:val="120"/>
          <w:divBdr>
            <w:top w:val="none" w:sz="0" w:space="0" w:color="auto"/>
            <w:left w:val="none" w:sz="0" w:space="0" w:color="auto"/>
            <w:bottom w:val="none" w:sz="0" w:space="0" w:color="auto"/>
            <w:right w:val="none" w:sz="0" w:space="0" w:color="auto"/>
          </w:divBdr>
        </w:div>
        <w:div w:id="510949997">
          <w:marLeft w:val="0"/>
          <w:marRight w:val="0"/>
          <w:marTop w:val="120"/>
          <w:marBottom w:val="120"/>
          <w:divBdr>
            <w:top w:val="none" w:sz="0" w:space="0" w:color="auto"/>
            <w:left w:val="none" w:sz="0" w:space="0" w:color="auto"/>
            <w:bottom w:val="none" w:sz="0" w:space="0" w:color="auto"/>
            <w:right w:val="none" w:sz="0" w:space="0" w:color="auto"/>
          </w:divBdr>
        </w:div>
      </w:divsChild>
    </w:div>
    <w:div w:id="1785227256">
      <w:bodyDiv w:val="1"/>
      <w:marLeft w:val="0"/>
      <w:marRight w:val="0"/>
      <w:marTop w:val="0"/>
      <w:marBottom w:val="0"/>
      <w:divBdr>
        <w:top w:val="none" w:sz="0" w:space="0" w:color="auto"/>
        <w:left w:val="none" w:sz="0" w:space="0" w:color="auto"/>
        <w:bottom w:val="none" w:sz="0" w:space="0" w:color="auto"/>
        <w:right w:val="none" w:sz="0" w:space="0" w:color="auto"/>
      </w:divBdr>
      <w:divsChild>
        <w:div w:id="1213811151">
          <w:marLeft w:val="0"/>
          <w:marRight w:val="0"/>
          <w:marTop w:val="120"/>
          <w:marBottom w:val="120"/>
          <w:divBdr>
            <w:top w:val="none" w:sz="0" w:space="0" w:color="auto"/>
            <w:left w:val="none" w:sz="0" w:space="0" w:color="auto"/>
            <w:bottom w:val="none" w:sz="0" w:space="0" w:color="auto"/>
            <w:right w:val="none" w:sz="0" w:space="0" w:color="auto"/>
          </w:divBdr>
        </w:div>
        <w:div w:id="511917949">
          <w:marLeft w:val="0"/>
          <w:marRight w:val="0"/>
          <w:marTop w:val="120"/>
          <w:marBottom w:val="120"/>
          <w:divBdr>
            <w:top w:val="none" w:sz="0" w:space="0" w:color="auto"/>
            <w:left w:val="none" w:sz="0" w:space="0" w:color="auto"/>
            <w:bottom w:val="none" w:sz="0" w:space="0" w:color="auto"/>
            <w:right w:val="none" w:sz="0" w:space="0" w:color="auto"/>
          </w:divBdr>
        </w:div>
        <w:div w:id="1145396189">
          <w:marLeft w:val="0"/>
          <w:marRight w:val="0"/>
          <w:marTop w:val="120"/>
          <w:marBottom w:val="120"/>
          <w:divBdr>
            <w:top w:val="none" w:sz="0" w:space="0" w:color="auto"/>
            <w:left w:val="none" w:sz="0" w:space="0" w:color="auto"/>
            <w:bottom w:val="none" w:sz="0" w:space="0" w:color="auto"/>
            <w:right w:val="none" w:sz="0" w:space="0" w:color="auto"/>
          </w:divBdr>
        </w:div>
        <w:div w:id="1046754314">
          <w:marLeft w:val="0"/>
          <w:marRight w:val="0"/>
          <w:marTop w:val="120"/>
          <w:marBottom w:val="120"/>
          <w:divBdr>
            <w:top w:val="none" w:sz="0" w:space="0" w:color="auto"/>
            <w:left w:val="none" w:sz="0" w:space="0" w:color="auto"/>
            <w:bottom w:val="none" w:sz="0" w:space="0" w:color="auto"/>
            <w:right w:val="none" w:sz="0" w:space="0" w:color="auto"/>
          </w:divBdr>
        </w:div>
        <w:div w:id="43868997">
          <w:marLeft w:val="0"/>
          <w:marRight w:val="0"/>
          <w:marTop w:val="120"/>
          <w:marBottom w:val="120"/>
          <w:divBdr>
            <w:top w:val="none" w:sz="0" w:space="0" w:color="auto"/>
            <w:left w:val="none" w:sz="0" w:space="0" w:color="auto"/>
            <w:bottom w:val="none" w:sz="0" w:space="0" w:color="auto"/>
            <w:right w:val="none" w:sz="0" w:space="0" w:color="auto"/>
          </w:divBdr>
        </w:div>
        <w:div w:id="1643458273">
          <w:marLeft w:val="0"/>
          <w:marRight w:val="0"/>
          <w:marTop w:val="120"/>
          <w:marBottom w:val="120"/>
          <w:divBdr>
            <w:top w:val="none" w:sz="0" w:space="0" w:color="auto"/>
            <w:left w:val="none" w:sz="0" w:space="0" w:color="auto"/>
            <w:bottom w:val="none" w:sz="0" w:space="0" w:color="auto"/>
            <w:right w:val="none" w:sz="0" w:space="0" w:color="auto"/>
          </w:divBdr>
        </w:div>
        <w:div w:id="2066643012">
          <w:marLeft w:val="0"/>
          <w:marRight w:val="0"/>
          <w:marTop w:val="120"/>
          <w:marBottom w:val="12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37790920">
      <w:bodyDiv w:val="1"/>
      <w:marLeft w:val="0"/>
      <w:marRight w:val="0"/>
      <w:marTop w:val="0"/>
      <w:marBottom w:val="0"/>
      <w:divBdr>
        <w:top w:val="none" w:sz="0" w:space="0" w:color="auto"/>
        <w:left w:val="none" w:sz="0" w:space="0" w:color="auto"/>
        <w:bottom w:val="none" w:sz="0" w:space="0" w:color="auto"/>
        <w:right w:val="none" w:sz="0" w:space="0" w:color="auto"/>
      </w:divBdr>
      <w:divsChild>
        <w:div w:id="1387140250">
          <w:marLeft w:val="0"/>
          <w:marRight w:val="0"/>
          <w:marTop w:val="120"/>
          <w:marBottom w:val="120"/>
          <w:divBdr>
            <w:top w:val="none" w:sz="0" w:space="0" w:color="auto"/>
            <w:left w:val="none" w:sz="0" w:space="0" w:color="auto"/>
            <w:bottom w:val="none" w:sz="0" w:space="0" w:color="auto"/>
            <w:right w:val="none" w:sz="0" w:space="0" w:color="auto"/>
          </w:divBdr>
        </w:div>
        <w:div w:id="2002349424">
          <w:marLeft w:val="0"/>
          <w:marRight w:val="0"/>
          <w:marTop w:val="120"/>
          <w:marBottom w:val="120"/>
          <w:divBdr>
            <w:top w:val="none" w:sz="0" w:space="0" w:color="auto"/>
            <w:left w:val="none" w:sz="0" w:space="0" w:color="auto"/>
            <w:bottom w:val="none" w:sz="0" w:space="0" w:color="auto"/>
            <w:right w:val="none" w:sz="0" w:space="0" w:color="auto"/>
          </w:divBdr>
        </w:div>
        <w:div w:id="220211772">
          <w:marLeft w:val="0"/>
          <w:marRight w:val="0"/>
          <w:marTop w:val="120"/>
          <w:marBottom w:val="120"/>
          <w:divBdr>
            <w:top w:val="none" w:sz="0" w:space="0" w:color="auto"/>
            <w:left w:val="none" w:sz="0" w:space="0" w:color="auto"/>
            <w:bottom w:val="none" w:sz="0" w:space="0" w:color="auto"/>
            <w:right w:val="none" w:sz="0" w:space="0" w:color="auto"/>
          </w:divBdr>
        </w:div>
        <w:div w:id="1258833133">
          <w:marLeft w:val="0"/>
          <w:marRight w:val="0"/>
          <w:marTop w:val="120"/>
          <w:marBottom w:val="120"/>
          <w:divBdr>
            <w:top w:val="none" w:sz="0" w:space="0" w:color="auto"/>
            <w:left w:val="none" w:sz="0" w:space="0" w:color="auto"/>
            <w:bottom w:val="none" w:sz="0" w:space="0" w:color="auto"/>
            <w:right w:val="none" w:sz="0" w:space="0" w:color="auto"/>
          </w:divBdr>
        </w:div>
        <w:div w:id="1250043380">
          <w:marLeft w:val="0"/>
          <w:marRight w:val="0"/>
          <w:marTop w:val="120"/>
          <w:marBottom w:val="120"/>
          <w:divBdr>
            <w:top w:val="none" w:sz="0" w:space="0" w:color="auto"/>
            <w:left w:val="none" w:sz="0" w:space="0" w:color="auto"/>
            <w:bottom w:val="none" w:sz="0" w:space="0" w:color="auto"/>
            <w:right w:val="none" w:sz="0" w:space="0" w:color="auto"/>
          </w:divBdr>
        </w:div>
        <w:div w:id="53090327">
          <w:marLeft w:val="0"/>
          <w:marRight w:val="0"/>
          <w:marTop w:val="120"/>
          <w:marBottom w:val="120"/>
          <w:divBdr>
            <w:top w:val="none" w:sz="0" w:space="0" w:color="auto"/>
            <w:left w:val="none" w:sz="0" w:space="0" w:color="auto"/>
            <w:bottom w:val="none" w:sz="0" w:space="0" w:color="auto"/>
            <w:right w:val="none" w:sz="0" w:space="0" w:color="auto"/>
          </w:divBdr>
        </w:div>
        <w:div w:id="786240486">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D9968FE7E4AD147928C56F4E3E703B4" ma:contentTypeVersion="4" ma:contentTypeDescription="Create a new document." ma:contentTypeScope="" ma:versionID="89a2b7a783f17fe59ac3399f2b4a5dda">
  <xsd:schema xmlns:xsd="http://www.w3.org/2001/XMLSchema" xmlns:xs="http://www.w3.org/2001/XMLSchema" xmlns:p="http://schemas.microsoft.com/office/2006/metadata/properties" xmlns:ns2="26efbe58-47b3-4718-9b64-083ac342c32b" targetNamespace="http://schemas.microsoft.com/office/2006/metadata/properties" ma:root="true" ma:fieldsID="81d0d0136f12139e3be5d69f2ea94d99" ns2:_="">
    <xsd:import namespace="26efbe58-47b3-4718-9b64-083ac342c32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efbe58-47b3-4718-9b64-083ac342c3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E274E46C-312D-4585-8BBF-B1B9D73A48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32930D6-468A-4572-B81F-FA0685794F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efbe58-47b3-4718-9b64-083ac342c3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6</Pages>
  <Words>1317</Words>
  <Characters>7512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Laura J Collins</cp:lastModifiedBy>
  <cp:revision>16</cp:revision>
  <cp:lastPrinted>2020-02-11T19:20:00Z</cp:lastPrinted>
  <dcterms:created xsi:type="dcterms:W3CDTF">2026-10-05T17:52:00Z</dcterms:created>
  <dcterms:modified xsi:type="dcterms:W3CDTF">2026-10-06T13:04:00Z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0x0101007D9968FE7E4AD147928C56F4E3E703B4</vt:lpwstr>
  </property>
  <property fmtid="{D5CDD505-2E9C-101B-9397-08002B2CF9AE}" pid="3" name="GrammarlyDocumentId">
    <vt:lpwstr>e14742a5-2740-4c88-94be-cd63bacf5663</vt:lpwstr>
  </property>
</Properties>
</file>