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18968792"/>
        <w:docPartObj>
          <w:docPartGallery w:val="Cover Pages"/>
          <w:docPartUnique/>
        </w:docPartObj>
      </w:sdtPr>
      <w:sdtContent>
        <w:p w14:paraId="78795180" w14:textId="39996506" w:rsidR="00B23BF7" w:rsidRDefault="00B23BF7">
          <w:r>
            <w:rPr>
              <w:noProof/>
            </w:rPr>
            <mc:AlternateContent>
              <mc:Choice Requires="wps">
                <w:drawing>
                  <wp:anchor distT="0" distB="0" distL="114300" distR="114300" simplePos="0" relativeHeight="251659264" behindDoc="1" locked="0" layoutInCell="1" allowOverlap="1" wp14:anchorId="61388E4A" wp14:editId="51B79136">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B23BF7" w14:paraId="0856F6C6" w14:textId="77777777">
                                  <w:trPr>
                                    <w:trHeight w:val="2376"/>
                                  </w:trPr>
                                  <w:tc>
                                    <w:tcPr>
                                      <w:tcW w:w="370" w:type="pct"/>
                                      <w:shd w:val="clear" w:color="auto" w:fill="4472C4" w:themeFill="accent1"/>
                                    </w:tcPr>
                                    <w:p w14:paraId="6AA142D0" w14:textId="77777777" w:rsidR="00B23BF7" w:rsidRDefault="00B23BF7"/>
                                  </w:tc>
                                  <w:sdt>
                                    <w:sdtPr>
                                      <w:rPr>
                                        <w:rFonts w:asciiTheme="majorHAnsi" w:hAnsiTheme="majorHAnsi"/>
                                        <w:color w:val="FFFFFF" w:themeColor="background1"/>
                                        <w:sz w:val="96"/>
                                        <w:szCs w:val="96"/>
                                      </w:rPr>
                                      <w:alias w:val="Title"/>
                                      <w:tag w:val=""/>
                                      <w:id w:val="739824258"/>
                                      <w:placeholder>
                                        <w:docPart w:val="CC95B0F2EDC14C35AFE938F40433239C"/>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478D071E" w14:textId="2F950F61" w:rsidR="00B23BF7" w:rsidRDefault="00B23BF7" w:rsidP="00B23BF7">
                                          <w:pPr>
                                            <w:pStyle w:val="NoSpacing"/>
                                            <w:spacing w:before="240" w:line="216" w:lineRule="auto"/>
                                            <w:ind w:left="360" w:right="360"/>
                                            <w:contextualSpacing/>
                                            <w:jc w:val="center"/>
                                            <w:rPr>
                                              <w:rFonts w:asciiTheme="majorHAnsi" w:hAnsiTheme="majorHAnsi"/>
                                              <w:color w:val="FFFFFF" w:themeColor="background1"/>
                                              <w:sz w:val="96"/>
                                              <w:szCs w:val="96"/>
                                            </w:rPr>
                                          </w:pPr>
                                          <w:r>
                                            <w:rPr>
                                              <w:rFonts w:asciiTheme="majorHAnsi" w:hAnsiTheme="majorHAnsi"/>
                                              <w:color w:val="FFFFFF" w:themeColor="background1"/>
                                              <w:sz w:val="96"/>
                                              <w:szCs w:val="96"/>
                                            </w:rPr>
                                            <w:t>CHANGE MANAGEMENT PORTFOLIO</w:t>
                                          </w:r>
                                        </w:p>
                                      </w:tc>
                                    </w:sdtContent>
                                  </w:sdt>
                                </w:tr>
                                <w:tr w:rsidR="00B23BF7" w14:paraId="3849E9CC" w14:textId="77777777">
                                  <w:trPr>
                                    <w:trHeight w:hRule="exact" w:val="648"/>
                                  </w:trPr>
                                  <w:tc>
                                    <w:tcPr>
                                      <w:tcW w:w="370" w:type="pct"/>
                                      <w:shd w:val="clear" w:color="auto" w:fill="4472C4" w:themeFill="accent1"/>
                                    </w:tcPr>
                                    <w:p w14:paraId="0B45BA7D" w14:textId="77777777" w:rsidR="00B23BF7" w:rsidRDefault="00B23BF7"/>
                                  </w:tc>
                                  <w:tc>
                                    <w:tcPr>
                                      <w:tcW w:w="4630" w:type="pct"/>
                                      <w:shd w:val="clear" w:color="auto" w:fill="404040" w:themeFill="text1" w:themeFillTint="BF"/>
                                      <w:vAlign w:val="bottom"/>
                                    </w:tcPr>
                                    <w:p w14:paraId="0D0FF580" w14:textId="77777777" w:rsidR="00B23BF7" w:rsidRDefault="00B23BF7">
                                      <w:pPr>
                                        <w:ind w:left="360" w:right="360"/>
                                        <w:rPr>
                                          <w:color w:val="FFFFFF" w:themeColor="background1"/>
                                          <w:sz w:val="28"/>
                                          <w:szCs w:val="28"/>
                                        </w:rPr>
                                      </w:pPr>
                                    </w:p>
                                  </w:tc>
                                </w:tr>
                                <w:tr w:rsidR="00B23BF7" w14:paraId="38B88DF1" w14:textId="77777777">
                                  <w:tc>
                                    <w:tcPr>
                                      <w:tcW w:w="370" w:type="pct"/>
                                      <w:shd w:val="clear" w:color="auto" w:fill="4472C4" w:themeFill="accent1"/>
                                    </w:tcPr>
                                    <w:p w14:paraId="069AF6BA" w14:textId="77777777" w:rsidR="00B23BF7" w:rsidRDefault="00B23BF7"/>
                                  </w:tc>
                                  <w:tc>
                                    <w:tcPr>
                                      <w:tcW w:w="4630" w:type="pct"/>
                                      <w:shd w:val="clear" w:color="auto" w:fill="404040" w:themeFill="text1" w:themeFillTint="BF"/>
                                      <w:vAlign w:val="bottom"/>
                                    </w:tcPr>
                                    <w:p w14:paraId="01F7F938" w14:textId="2AFF8E1A" w:rsidR="00B23BF7"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FF5F788A2048461A87CBA5C02187AE7C"/>
                                          </w:placeholder>
                                          <w:dataBinding w:prefixMappings="xmlns:ns0='http://purl.org/dc/elements/1.1/' xmlns:ns1='http://schemas.openxmlformats.org/package/2006/metadata/core-properties' " w:xpath="/ns1:coreProperties[1]/ns0:creator[1]" w:storeItemID="{6C3C8BC8-F283-45AE-878A-BAB7291924A1}"/>
                                          <w:text/>
                                        </w:sdtPr>
                                        <w:sdtContent>
                                          <w:r w:rsidR="00B23BF7">
                                            <w:rPr>
                                              <w:color w:val="FFFFFF" w:themeColor="background1"/>
                                              <w:sz w:val="28"/>
                                              <w:szCs w:val="28"/>
                                            </w:rPr>
                                            <w:t>Student: Mariana Grigorita</w:t>
                                          </w:r>
                                        </w:sdtContent>
                                      </w:sdt>
                                    </w:p>
                                    <w:sdt>
                                      <w:sdtPr>
                                        <w:rPr>
                                          <w:color w:val="FFFFFF" w:themeColor="background1"/>
                                          <w:sz w:val="28"/>
                                          <w:szCs w:val="28"/>
                                        </w:rPr>
                                        <w:alias w:val="Course title"/>
                                        <w:tag w:val=""/>
                                        <w:id w:val="-15923909"/>
                                        <w:placeholder>
                                          <w:docPart w:val="0AAF2FD42A914EA98792E8E41379A904"/>
                                        </w:placeholder>
                                        <w:dataBinding w:prefixMappings="xmlns:ns0='http://purl.org/dc/elements/1.1/' xmlns:ns1='http://schemas.openxmlformats.org/package/2006/metadata/core-properties' " w:xpath="/ns1:coreProperties[1]/ns1:category[1]" w:storeItemID="{6C3C8BC8-F283-45AE-878A-BAB7291924A1}"/>
                                        <w:text/>
                                      </w:sdtPr>
                                      <w:sdtContent>
                                        <w:p w14:paraId="21207CF0" w14:textId="146AA72B" w:rsidR="00B23BF7" w:rsidRDefault="00B23BF7">
                                          <w:pPr>
                                            <w:pStyle w:val="NoSpacing"/>
                                            <w:spacing w:line="288" w:lineRule="auto"/>
                                            <w:ind w:left="360" w:right="360"/>
                                            <w:rPr>
                                              <w:color w:val="FFFFFF" w:themeColor="background1"/>
                                              <w:sz w:val="28"/>
                                              <w:szCs w:val="28"/>
                                            </w:rPr>
                                          </w:pPr>
                                          <w:r>
                                            <w:rPr>
                                              <w:color w:val="FFFFFF" w:themeColor="background1"/>
                                              <w:sz w:val="28"/>
                                              <w:szCs w:val="28"/>
                                            </w:rPr>
                                            <w:t xml:space="preserve">Lecturer: Dennis </w:t>
                                          </w:r>
                                          <w:proofErr w:type="spellStart"/>
                                          <w:r>
                                            <w:rPr>
                                              <w:color w:val="FFFFFF" w:themeColor="background1"/>
                                              <w:sz w:val="28"/>
                                              <w:szCs w:val="28"/>
                                            </w:rPr>
                                            <w:t>Pepple</w:t>
                                          </w:r>
                                          <w:proofErr w:type="spellEnd"/>
                                        </w:p>
                                      </w:sdtContent>
                                    </w:sdt>
                                    <w:sdt>
                                      <w:sdtPr>
                                        <w:rPr>
                                          <w:color w:val="FFFFFF" w:themeColor="background1"/>
                                          <w:sz w:val="28"/>
                                          <w:szCs w:val="28"/>
                                        </w:rPr>
                                        <w:alias w:val="Date"/>
                                        <w:tag w:val=""/>
                                        <w:id w:val="748164578"/>
                                        <w:placeholder>
                                          <w:docPart w:val="83387EC3162341AD944C69A309A192E2"/>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7665C161" w14:textId="750E4EB6" w:rsidR="00B23BF7" w:rsidRDefault="00B23BF7">
                                          <w:pPr>
                                            <w:pStyle w:val="NoSpacing"/>
                                            <w:spacing w:after="240" w:line="288" w:lineRule="auto"/>
                                            <w:ind w:left="360" w:right="360"/>
                                            <w:rPr>
                                              <w:color w:val="FFFFFF" w:themeColor="background1"/>
                                              <w:sz w:val="28"/>
                                              <w:szCs w:val="28"/>
                                            </w:rPr>
                                          </w:pPr>
                                          <w:r>
                                            <w:rPr>
                                              <w:color w:val="FFFFFF" w:themeColor="background1"/>
                                              <w:sz w:val="28"/>
                                              <w:szCs w:val="28"/>
                                            </w:rPr>
                                            <w:t>Module Code: BMSW6103</w:t>
                                          </w:r>
                                        </w:p>
                                      </w:sdtContent>
                                    </w:sdt>
                                  </w:tc>
                                </w:tr>
                              </w:tbl>
                              <w:p w14:paraId="1B2A1904" w14:textId="77777777" w:rsidR="00B23BF7" w:rsidRDefault="00B23BF7"/>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61388E4A"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B23BF7" w14:paraId="0856F6C6" w14:textId="77777777">
                            <w:trPr>
                              <w:trHeight w:val="2376"/>
                            </w:trPr>
                            <w:tc>
                              <w:tcPr>
                                <w:tcW w:w="370" w:type="pct"/>
                                <w:shd w:val="clear" w:color="auto" w:fill="4472C4" w:themeFill="accent1"/>
                              </w:tcPr>
                              <w:p w14:paraId="6AA142D0" w14:textId="77777777" w:rsidR="00B23BF7" w:rsidRDefault="00B23BF7"/>
                            </w:tc>
                            <w:sdt>
                              <w:sdtPr>
                                <w:rPr>
                                  <w:rFonts w:asciiTheme="majorHAnsi" w:hAnsiTheme="majorHAnsi"/>
                                  <w:color w:val="FFFFFF" w:themeColor="background1"/>
                                  <w:sz w:val="96"/>
                                  <w:szCs w:val="96"/>
                                </w:rPr>
                                <w:alias w:val="Title"/>
                                <w:tag w:val=""/>
                                <w:id w:val="739824258"/>
                                <w:placeholder>
                                  <w:docPart w:val="CC95B0F2EDC14C35AFE938F40433239C"/>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478D071E" w14:textId="2F950F61" w:rsidR="00B23BF7" w:rsidRDefault="00B23BF7" w:rsidP="00B23BF7">
                                    <w:pPr>
                                      <w:pStyle w:val="NoSpacing"/>
                                      <w:spacing w:before="240" w:line="216" w:lineRule="auto"/>
                                      <w:ind w:left="360" w:right="360"/>
                                      <w:contextualSpacing/>
                                      <w:jc w:val="center"/>
                                      <w:rPr>
                                        <w:rFonts w:asciiTheme="majorHAnsi" w:hAnsiTheme="majorHAnsi"/>
                                        <w:color w:val="FFFFFF" w:themeColor="background1"/>
                                        <w:sz w:val="96"/>
                                        <w:szCs w:val="96"/>
                                      </w:rPr>
                                    </w:pPr>
                                    <w:r>
                                      <w:rPr>
                                        <w:rFonts w:asciiTheme="majorHAnsi" w:hAnsiTheme="majorHAnsi"/>
                                        <w:color w:val="FFFFFF" w:themeColor="background1"/>
                                        <w:sz w:val="96"/>
                                        <w:szCs w:val="96"/>
                                      </w:rPr>
                                      <w:t>CHANGE MANAGEMENT PORTFOLIO</w:t>
                                    </w:r>
                                  </w:p>
                                </w:tc>
                              </w:sdtContent>
                            </w:sdt>
                          </w:tr>
                          <w:tr w:rsidR="00B23BF7" w14:paraId="3849E9CC" w14:textId="77777777">
                            <w:trPr>
                              <w:trHeight w:hRule="exact" w:val="648"/>
                            </w:trPr>
                            <w:tc>
                              <w:tcPr>
                                <w:tcW w:w="370" w:type="pct"/>
                                <w:shd w:val="clear" w:color="auto" w:fill="4472C4" w:themeFill="accent1"/>
                              </w:tcPr>
                              <w:p w14:paraId="0B45BA7D" w14:textId="77777777" w:rsidR="00B23BF7" w:rsidRDefault="00B23BF7"/>
                            </w:tc>
                            <w:tc>
                              <w:tcPr>
                                <w:tcW w:w="4630" w:type="pct"/>
                                <w:shd w:val="clear" w:color="auto" w:fill="404040" w:themeFill="text1" w:themeFillTint="BF"/>
                                <w:vAlign w:val="bottom"/>
                              </w:tcPr>
                              <w:p w14:paraId="0D0FF580" w14:textId="77777777" w:rsidR="00B23BF7" w:rsidRDefault="00B23BF7">
                                <w:pPr>
                                  <w:ind w:left="360" w:right="360"/>
                                  <w:rPr>
                                    <w:color w:val="FFFFFF" w:themeColor="background1"/>
                                    <w:sz w:val="28"/>
                                    <w:szCs w:val="28"/>
                                  </w:rPr>
                                </w:pPr>
                              </w:p>
                            </w:tc>
                          </w:tr>
                          <w:tr w:rsidR="00B23BF7" w14:paraId="38B88DF1" w14:textId="77777777">
                            <w:tc>
                              <w:tcPr>
                                <w:tcW w:w="370" w:type="pct"/>
                                <w:shd w:val="clear" w:color="auto" w:fill="4472C4" w:themeFill="accent1"/>
                              </w:tcPr>
                              <w:p w14:paraId="069AF6BA" w14:textId="77777777" w:rsidR="00B23BF7" w:rsidRDefault="00B23BF7"/>
                            </w:tc>
                            <w:tc>
                              <w:tcPr>
                                <w:tcW w:w="4630" w:type="pct"/>
                                <w:shd w:val="clear" w:color="auto" w:fill="404040" w:themeFill="text1" w:themeFillTint="BF"/>
                                <w:vAlign w:val="bottom"/>
                              </w:tcPr>
                              <w:p w14:paraId="01F7F938" w14:textId="2AFF8E1A" w:rsidR="00B23BF7"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FF5F788A2048461A87CBA5C02187AE7C"/>
                                    </w:placeholder>
                                    <w:dataBinding w:prefixMappings="xmlns:ns0='http://purl.org/dc/elements/1.1/' xmlns:ns1='http://schemas.openxmlformats.org/package/2006/metadata/core-properties' " w:xpath="/ns1:coreProperties[1]/ns0:creator[1]" w:storeItemID="{6C3C8BC8-F283-45AE-878A-BAB7291924A1}"/>
                                    <w:text/>
                                  </w:sdtPr>
                                  <w:sdtContent>
                                    <w:r w:rsidR="00B23BF7">
                                      <w:rPr>
                                        <w:color w:val="FFFFFF" w:themeColor="background1"/>
                                        <w:sz w:val="28"/>
                                        <w:szCs w:val="28"/>
                                      </w:rPr>
                                      <w:t>Student: Mariana Grigorita</w:t>
                                    </w:r>
                                  </w:sdtContent>
                                </w:sdt>
                              </w:p>
                              <w:sdt>
                                <w:sdtPr>
                                  <w:rPr>
                                    <w:color w:val="FFFFFF" w:themeColor="background1"/>
                                    <w:sz w:val="28"/>
                                    <w:szCs w:val="28"/>
                                  </w:rPr>
                                  <w:alias w:val="Course title"/>
                                  <w:tag w:val=""/>
                                  <w:id w:val="-15923909"/>
                                  <w:placeholder>
                                    <w:docPart w:val="0AAF2FD42A914EA98792E8E41379A904"/>
                                  </w:placeholder>
                                  <w:dataBinding w:prefixMappings="xmlns:ns0='http://purl.org/dc/elements/1.1/' xmlns:ns1='http://schemas.openxmlformats.org/package/2006/metadata/core-properties' " w:xpath="/ns1:coreProperties[1]/ns1:category[1]" w:storeItemID="{6C3C8BC8-F283-45AE-878A-BAB7291924A1}"/>
                                  <w:text/>
                                </w:sdtPr>
                                <w:sdtContent>
                                  <w:p w14:paraId="21207CF0" w14:textId="146AA72B" w:rsidR="00B23BF7" w:rsidRDefault="00B23BF7">
                                    <w:pPr>
                                      <w:pStyle w:val="NoSpacing"/>
                                      <w:spacing w:line="288" w:lineRule="auto"/>
                                      <w:ind w:left="360" w:right="360"/>
                                      <w:rPr>
                                        <w:color w:val="FFFFFF" w:themeColor="background1"/>
                                        <w:sz w:val="28"/>
                                        <w:szCs w:val="28"/>
                                      </w:rPr>
                                    </w:pPr>
                                    <w:r>
                                      <w:rPr>
                                        <w:color w:val="FFFFFF" w:themeColor="background1"/>
                                        <w:sz w:val="28"/>
                                        <w:szCs w:val="28"/>
                                      </w:rPr>
                                      <w:t xml:space="preserve">Lecturer: Dennis </w:t>
                                    </w:r>
                                    <w:proofErr w:type="spellStart"/>
                                    <w:r>
                                      <w:rPr>
                                        <w:color w:val="FFFFFF" w:themeColor="background1"/>
                                        <w:sz w:val="28"/>
                                        <w:szCs w:val="28"/>
                                      </w:rPr>
                                      <w:t>Pepple</w:t>
                                    </w:r>
                                    <w:proofErr w:type="spellEnd"/>
                                  </w:p>
                                </w:sdtContent>
                              </w:sdt>
                              <w:sdt>
                                <w:sdtPr>
                                  <w:rPr>
                                    <w:color w:val="FFFFFF" w:themeColor="background1"/>
                                    <w:sz w:val="28"/>
                                    <w:szCs w:val="28"/>
                                  </w:rPr>
                                  <w:alias w:val="Date"/>
                                  <w:tag w:val=""/>
                                  <w:id w:val="748164578"/>
                                  <w:placeholder>
                                    <w:docPart w:val="83387EC3162341AD944C69A309A192E2"/>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7665C161" w14:textId="750E4EB6" w:rsidR="00B23BF7" w:rsidRDefault="00B23BF7">
                                    <w:pPr>
                                      <w:pStyle w:val="NoSpacing"/>
                                      <w:spacing w:after="240" w:line="288" w:lineRule="auto"/>
                                      <w:ind w:left="360" w:right="360"/>
                                      <w:rPr>
                                        <w:color w:val="FFFFFF" w:themeColor="background1"/>
                                        <w:sz w:val="28"/>
                                        <w:szCs w:val="28"/>
                                      </w:rPr>
                                    </w:pPr>
                                    <w:r>
                                      <w:rPr>
                                        <w:color w:val="FFFFFF" w:themeColor="background1"/>
                                        <w:sz w:val="28"/>
                                        <w:szCs w:val="28"/>
                                      </w:rPr>
                                      <w:t>Module Code: BMSW6103</w:t>
                                    </w:r>
                                  </w:p>
                                </w:sdtContent>
                              </w:sdt>
                            </w:tc>
                          </w:tr>
                        </w:tbl>
                        <w:p w14:paraId="1B2A1904" w14:textId="77777777" w:rsidR="00B23BF7" w:rsidRDefault="00B23BF7"/>
                      </w:txbxContent>
                    </v:textbox>
                    <w10:wrap anchorx="page" anchory="page"/>
                  </v:shape>
                </w:pict>
              </mc:Fallback>
            </mc:AlternateContent>
          </w:r>
        </w:p>
        <w:p w14:paraId="79E8FBD7" w14:textId="2BAA009A" w:rsidR="00B23BF7" w:rsidRDefault="00B23BF7">
          <w:r>
            <w:br w:type="page"/>
          </w:r>
        </w:p>
      </w:sdtContent>
    </w:sdt>
    <w:sdt>
      <w:sdtPr>
        <w:rPr>
          <w:rFonts w:asciiTheme="minorHAnsi" w:eastAsiaTheme="minorHAnsi" w:hAnsiTheme="minorHAnsi" w:cstheme="minorBidi"/>
          <w:color w:val="auto"/>
          <w:kern w:val="2"/>
          <w:sz w:val="22"/>
          <w:szCs w:val="22"/>
          <w:lang w:val="en-GB"/>
          <w14:ligatures w14:val="standardContextual"/>
        </w:rPr>
        <w:id w:val="-1706634170"/>
        <w:docPartObj>
          <w:docPartGallery w:val="Table of Contents"/>
          <w:docPartUnique/>
        </w:docPartObj>
      </w:sdtPr>
      <w:sdtEndPr>
        <w:rPr>
          <w:b/>
          <w:bCs/>
          <w:noProof/>
        </w:rPr>
      </w:sdtEndPr>
      <w:sdtContent>
        <w:p w14:paraId="7195CC5F" w14:textId="63624CA7" w:rsidR="00B23BF7" w:rsidRPr="00881EBF" w:rsidRDefault="00B23BF7">
          <w:pPr>
            <w:pStyle w:val="TOCHeading"/>
            <w:rPr>
              <w:rFonts w:ascii="Arial" w:hAnsi="Arial" w:cs="Arial"/>
              <w:sz w:val="36"/>
              <w:szCs w:val="36"/>
            </w:rPr>
          </w:pPr>
          <w:r w:rsidRPr="00881EBF">
            <w:rPr>
              <w:rFonts w:ascii="Arial" w:hAnsi="Arial" w:cs="Arial"/>
              <w:sz w:val="36"/>
              <w:szCs w:val="36"/>
            </w:rPr>
            <w:t>Table of Contents</w:t>
          </w:r>
        </w:p>
        <w:p w14:paraId="148C64C7" w14:textId="373C7F61" w:rsidR="00030A7D" w:rsidRDefault="00B23BF7" w:rsidP="00030A7D">
          <w:pPr>
            <w:pStyle w:val="TOC1"/>
            <w:tabs>
              <w:tab w:val="right" w:leader="dot" w:pos="9016"/>
            </w:tabs>
            <w:spacing w:line="360" w:lineRule="auto"/>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139544527" w:history="1">
            <w:r w:rsidR="00030A7D" w:rsidRPr="009B4AF2">
              <w:rPr>
                <w:rStyle w:val="Hyperlink"/>
                <w:noProof/>
              </w:rPr>
              <w:t>Introduction</w:t>
            </w:r>
            <w:r w:rsidR="00030A7D">
              <w:rPr>
                <w:noProof/>
                <w:webHidden/>
              </w:rPr>
              <w:tab/>
            </w:r>
            <w:r w:rsidR="00030A7D">
              <w:rPr>
                <w:noProof/>
                <w:webHidden/>
              </w:rPr>
              <w:fldChar w:fldCharType="begin"/>
            </w:r>
            <w:r w:rsidR="00030A7D">
              <w:rPr>
                <w:noProof/>
                <w:webHidden/>
              </w:rPr>
              <w:instrText xml:space="preserve"> PAGEREF _Toc139544527 \h </w:instrText>
            </w:r>
            <w:r w:rsidR="00030A7D">
              <w:rPr>
                <w:noProof/>
                <w:webHidden/>
              </w:rPr>
            </w:r>
            <w:r w:rsidR="00030A7D">
              <w:rPr>
                <w:noProof/>
                <w:webHidden/>
              </w:rPr>
              <w:fldChar w:fldCharType="separate"/>
            </w:r>
            <w:r w:rsidR="00030A7D">
              <w:rPr>
                <w:noProof/>
                <w:webHidden/>
              </w:rPr>
              <w:t>2</w:t>
            </w:r>
            <w:r w:rsidR="00030A7D">
              <w:rPr>
                <w:noProof/>
                <w:webHidden/>
              </w:rPr>
              <w:fldChar w:fldCharType="end"/>
            </w:r>
          </w:hyperlink>
        </w:p>
        <w:p w14:paraId="6902EBF9" w14:textId="26C1943D" w:rsidR="00030A7D" w:rsidRDefault="00000000" w:rsidP="00030A7D">
          <w:pPr>
            <w:pStyle w:val="TOC1"/>
            <w:tabs>
              <w:tab w:val="right" w:leader="dot" w:pos="9016"/>
            </w:tabs>
            <w:spacing w:line="360" w:lineRule="auto"/>
            <w:rPr>
              <w:rFonts w:asciiTheme="minorHAnsi" w:eastAsiaTheme="minorEastAsia" w:hAnsiTheme="minorHAnsi" w:cstheme="minorBidi"/>
              <w:noProof/>
              <w:kern w:val="2"/>
              <w:lang w:val="en-GB" w:eastAsia="en-GB"/>
              <w14:ligatures w14:val="standardContextual"/>
            </w:rPr>
          </w:pPr>
          <w:hyperlink w:anchor="_Toc139544528" w:history="1">
            <w:r w:rsidR="00030A7D" w:rsidRPr="009B4AF2">
              <w:rPr>
                <w:rStyle w:val="Hyperlink"/>
                <w:noProof/>
              </w:rPr>
              <w:t>Findings from Interview</w:t>
            </w:r>
            <w:r w:rsidR="00030A7D">
              <w:rPr>
                <w:noProof/>
                <w:webHidden/>
              </w:rPr>
              <w:tab/>
            </w:r>
            <w:r w:rsidR="00030A7D">
              <w:rPr>
                <w:noProof/>
                <w:webHidden/>
              </w:rPr>
              <w:fldChar w:fldCharType="begin"/>
            </w:r>
            <w:r w:rsidR="00030A7D">
              <w:rPr>
                <w:noProof/>
                <w:webHidden/>
              </w:rPr>
              <w:instrText xml:space="preserve"> PAGEREF _Toc139544528 \h </w:instrText>
            </w:r>
            <w:r w:rsidR="00030A7D">
              <w:rPr>
                <w:noProof/>
                <w:webHidden/>
              </w:rPr>
            </w:r>
            <w:r w:rsidR="00030A7D">
              <w:rPr>
                <w:noProof/>
                <w:webHidden/>
              </w:rPr>
              <w:fldChar w:fldCharType="separate"/>
            </w:r>
            <w:r w:rsidR="00030A7D">
              <w:rPr>
                <w:noProof/>
                <w:webHidden/>
              </w:rPr>
              <w:t>2</w:t>
            </w:r>
            <w:r w:rsidR="00030A7D">
              <w:rPr>
                <w:noProof/>
                <w:webHidden/>
              </w:rPr>
              <w:fldChar w:fldCharType="end"/>
            </w:r>
          </w:hyperlink>
        </w:p>
        <w:p w14:paraId="3023ACD0" w14:textId="6C54EE2B" w:rsidR="00030A7D" w:rsidRDefault="00000000" w:rsidP="00030A7D">
          <w:pPr>
            <w:pStyle w:val="TOC1"/>
            <w:tabs>
              <w:tab w:val="right" w:leader="dot" w:pos="9016"/>
            </w:tabs>
            <w:spacing w:line="360" w:lineRule="auto"/>
            <w:rPr>
              <w:rFonts w:asciiTheme="minorHAnsi" w:eastAsiaTheme="minorEastAsia" w:hAnsiTheme="minorHAnsi" w:cstheme="minorBidi"/>
              <w:noProof/>
              <w:kern w:val="2"/>
              <w:lang w:val="en-GB" w:eastAsia="en-GB"/>
              <w14:ligatures w14:val="standardContextual"/>
            </w:rPr>
          </w:pPr>
          <w:hyperlink w:anchor="_Toc139544529" w:history="1">
            <w:r w:rsidR="00030A7D" w:rsidRPr="009B4AF2">
              <w:rPr>
                <w:rStyle w:val="Hyperlink"/>
                <w:noProof/>
              </w:rPr>
              <w:t>Identifications of stakeholders</w:t>
            </w:r>
            <w:r w:rsidR="00030A7D">
              <w:rPr>
                <w:noProof/>
                <w:webHidden/>
              </w:rPr>
              <w:tab/>
            </w:r>
            <w:r w:rsidR="00030A7D">
              <w:rPr>
                <w:noProof/>
                <w:webHidden/>
              </w:rPr>
              <w:fldChar w:fldCharType="begin"/>
            </w:r>
            <w:r w:rsidR="00030A7D">
              <w:rPr>
                <w:noProof/>
                <w:webHidden/>
              </w:rPr>
              <w:instrText xml:space="preserve"> PAGEREF _Toc139544529 \h </w:instrText>
            </w:r>
            <w:r w:rsidR="00030A7D">
              <w:rPr>
                <w:noProof/>
                <w:webHidden/>
              </w:rPr>
            </w:r>
            <w:r w:rsidR="00030A7D">
              <w:rPr>
                <w:noProof/>
                <w:webHidden/>
              </w:rPr>
              <w:fldChar w:fldCharType="separate"/>
            </w:r>
            <w:r w:rsidR="00030A7D">
              <w:rPr>
                <w:noProof/>
                <w:webHidden/>
              </w:rPr>
              <w:t>5</w:t>
            </w:r>
            <w:r w:rsidR="00030A7D">
              <w:rPr>
                <w:noProof/>
                <w:webHidden/>
              </w:rPr>
              <w:fldChar w:fldCharType="end"/>
            </w:r>
          </w:hyperlink>
        </w:p>
        <w:p w14:paraId="63A97CFB" w14:textId="0364A13F" w:rsidR="00030A7D" w:rsidRDefault="00000000" w:rsidP="00030A7D">
          <w:pPr>
            <w:pStyle w:val="TOC2"/>
            <w:tabs>
              <w:tab w:val="right" w:leader="dot" w:pos="9016"/>
            </w:tabs>
            <w:spacing w:line="360" w:lineRule="auto"/>
            <w:rPr>
              <w:rFonts w:eastAsiaTheme="minorEastAsia"/>
              <w:noProof/>
              <w:lang w:eastAsia="en-GB"/>
            </w:rPr>
          </w:pPr>
          <w:hyperlink w:anchor="_Toc139544530" w:history="1">
            <w:r w:rsidR="00030A7D" w:rsidRPr="009B4AF2">
              <w:rPr>
                <w:rStyle w:val="Hyperlink"/>
                <w:rFonts w:ascii="Arial" w:hAnsi="Arial" w:cs="Arial"/>
                <w:noProof/>
              </w:rPr>
              <w:t>Influence of internal consultants</w:t>
            </w:r>
            <w:r w:rsidR="00030A7D">
              <w:rPr>
                <w:noProof/>
                <w:webHidden/>
              </w:rPr>
              <w:tab/>
            </w:r>
            <w:r w:rsidR="00030A7D">
              <w:rPr>
                <w:noProof/>
                <w:webHidden/>
              </w:rPr>
              <w:fldChar w:fldCharType="begin"/>
            </w:r>
            <w:r w:rsidR="00030A7D">
              <w:rPr>
                <w:noProof/>
                <w:webHidden/>
              </w:rPr>
              <w:instrText xml:space="preserve"> PAGEREF _Toc139544530 \h </w:instrText>
            </w:r>
            <w:r w:rsidR="00030A7D">
              <w:rPr>
                <w:noProof/>
                <w:webHidden/>
              </w:rPr>
            </w:r>
            <w:r w:rsidR="00030A7D">
              <w:rPr>
                <w:noProof/>
                <w:webHidden/>
              </w:rPr>
              <w:fldChar w:fldCharType="separate"/>
            </w:r>
            <w:r w:rsidR="00030A7D">
              <w:rPr>
                <w:noProof/>
                <w:webHidden/>
              </w:rPr>
              <w:t>6</w:t>
            </w:r>
            <w:r w:rsidR="00030A7D">
              <w:rPr>
                <w:noProof/>
                <w:webHidden/>
              </w:rPr>
              <w:fldChar w:fldCharType="end"/>
            </w:r>
          </w:hyperlink>
        </w:p>
        <w:p w14:paraId="782C85B8" w14:textId="74E23712" w:rsidR="00030A7D" w:rsidRDefault="00000000" w:rsidP="00030A7D">
          <w:pPr>
            <w:pStyle w:val="TOC2"/>
            <w:tabs>
              <w:tab w:val="right" w:leader="dot" w:pos="9016"/>
            </w:tabs>
            <w:spacing w:line="360" w:lineRule="auto"/>
            <w:rPr>
              <w:rFonts w:eastAsiaTheme="minorEastAsia"/>
              <w:noProof/>
              <w:lang w:eastAsia="en-GB"/>
            </w:rPr>
          </w:pPr>
          <w:hyperlink w:anchor="_Toc139544531" w:history="1">
            <w:r w:rsidR="00030A7D" w:rsidRPr="009B4AF2">
              <w:rPr>
                <w:rStyle w:val="Hyperlink"/>
                <w:rFonts w:ascii="Arial" w:hAnsi="Arial" w:cs="Arial"/>
                <w:noProof/>
              </w:rPr>
              <w:t>Influence of external consultants</w:t>
            </w:r>
            <w:r w:rsidR="00030A7D">
              <w:rPr>
                <w:noProof/>
                <w:webHidden/>
              </w:rPr>
              <w:tab/>
            </w:r>
            <w:r w:rsidR="00030A7D">
              <w:rPr>
                <w:noProof/>
                <w:webHidden/>
              </w:rPr>
              <w:fldChar w:fldCharType="begin"/>
            </w:r>
            <w:r w:rsidR="00030A7D">
              <w:rPr>
                <w:noProof/>
                <w:webHidden/>
              </w:rPr>
              <w:instrText xml:space="preserve"> PAGEREF _Toc139544531 \h </w:instrText>
            </w:r>
            <w:r w:rsidR="00030A7D">
              <w:rPr>
                <w:noProof/>
                <w:webHidden/>
              </w:rPr>
            </w:r>
            <w:r w:rsidR="00030A7D">
              <w:rPr>
                <w:noProof/>
                <w:webHidden/>
              </w:rPr>
              <w:fldChar w:fldCharType="separate"/>
            </w:r>
            <w:r w:rsidR="00030A7D">
              <w:rPr>
                <w:noProof/>
                <w:webHidden/>
              </w:rPr>
              <w:t>10</w:t>
            </w:r>
            <w:r w:rsidR="00030A7D">
              <w:rPr>
                <w:noProof/>
                <w:webHidden/>
              </w:rPr>
              <w:fldChar w:fldCharType="end"/>
            </w:r>
          </w:hyperlink>
        </w:p>
        <w:p w14:paraId="5F12CA32" w14:textId="4FBA3BF0" w:rsidR="00030A7D" w:rsidRDefault="00000000" w:rsidP="00030A7D">
          <w:pPr>
            <w:pStyle w:val="TOC1"/>
            <w:tabs>
              <w:tab w:val="right" w:leader="dot" w:pos="9016"/>
            </w:tabs>
            <w:spacing w:line="360" w:lineRule="auto"/>
            <w:rPr>
              <w:rFonts w:asciiTheme="minorHAnsi" w:eastAsiaTheme="minorEastAsia" w:hAnsiTheme="minorHAnsi" w:cstheme="minorBidi"/>
              <w:noProof/>
              <w:kern w:val="2"/>
              <w:lang w:val="en-GB" w:eastAsia="en-GB"/>
              <w14:ligatures w14:val="standardContextual"/>
            </w:rPr>
          </w:pPr>
          <w:hyperlink w:anchor="_Toc139544532" w:history="1">
            <w:r w:rsidR="00030A7D" w:rsidRPr="009B4AF2">
              <w:rPr>
                <w:rStyle w:val="Hyperlink"/>
                <w:noProof/>
              </w:rPr>
              <w:t>Different ways for change agent success</w:t>
            </w:r>
            <w:r w:rsidR="00030A7D">
              <w:rPr>
                <w:noProof/>
                <w:webHidden/>
              </w:rPr>
              <w:tab/>
            </w:r>
            <w:r w:rsidR="00030A7D">
              <w:rPr>
                <w:noProof/>
                <w:webHidden/>
              </w:rPr>
              <w:fldChar w:fldCharType="begin"/>
            </w:r>
            <w:r w:rsidR="00030A7D">
              <w:rPr>
                <w:noProof/>
                <w:webHidden/>
              </w:rPr>
              <w:instrText xml:space="preserve"> PAGEREF _Toc139544532 \h </w:instrText>
            </w:r>
            <w:r w:rsidR="00030A7D">
              <w:rPr>
                <w:noProof/>
                <w:webHidden/>
              </w:rPr>
            </w:r>
            <w:r w:rsidR="00030A7D">
              <w:rPr>
                <w:noProof/>
                <w:webHidden/>
              </w:rPr>
              <w:fldChar w:fldCharType="separate"/>
            </w:r>
            <w:r w:rsidR="00030A7D">
              <w:rPr>
                <w:noProof/>
                <w:webHidden/>
              </w:rPr>
              <w:t>12</w:t>
            </w:r>
            <w:r w:rsidR="00030A7D">
              <w:rPr>
                <w:noProof/>
                <w:webHidden/>
              </w:rPr>
              <w:fldChar w:fldCharType="end"/>
            </w:r>
          </w:hyperlink>
        </w:p>
        <w:p w14:paraId="6EE3BECC" w14:textId="72C76AC5" w:rsidR="00030A7D" w:rsidRDefault="00000000" w:rsidP="00030A7D">
          <w:pPr>
            <w:pStyle w:val="TOC1"/>
            <w:tabs>
              <w:tab w:val="right" w:leader="dot" w:pos="9016"/>
            </w:tabs>
            <w:spacing w:line="360" w:lineRule="auto"/>
            <w:rPr>
              <w:rFonts w:asciiTheme="minorHAnsi" w:eastAsiaTheme="minorEastAsia" w:hAnsiTheme="minorHAnsi" w:cstheme="minorBidi"/>
              <w:noProof/>
              <w:kern w:val="2"/>
              <w:lang w:val="en-GB" w:eastAsia="en-GB"/>
              <w14:ligatures w14:val="standardContextual"/>
            </w:rPr>
          </w:pPr>
          <w:hyperlink w:anchor="_Toc139544533" w:history="1">
            <w:r w:rsidR="00030A7D" w:rsidRPr="009B4AF2">
              <w:rPr>
                <w:rStyle w:val="Hyperlink"/>
                <w:noProof/>
              </w:rPr>
              <w:t>Conclusion</w:t>
            </w:r>
            <w:r w:rsidR="00030A7D">
              <w:rPr>
                <w:noProof/>
                <w:webHidden/>
              </w:rPr>
              <w:tab/>
            </w:r>
            <w:r w:rsidR="00030A7D">
              <w:rPr>
                <w:noProof/>
                <w:webHidden/>
              </w:rPr>
              <w:fldChar w:fldCharType="begin"/>
            </w:r>
            <w:r w:rsidR="00030A7D">
              <w:rPr>
                <w:noProof/>
                <w:webHidden/>
              </w:rPr>
              <w:instrText xml:space="preserve"> PAGEREF _Toc139544533 \h </w:instrText>
            </w:r>
            <w:r w:rsidR="00030A7D">
              <w:rPr>
                <w:noProof/>
                <w:webHidden/>
              </w:rPr>
            </w:r>
            <w:r w:rsidR="00030A7D">
              <w:rPr>
                <w:noProof/>
                <w:webHidden/>
              </w:rPr>
              <w:fldChar w:fldCharType="separate"/>
            </w:r>
            <w:r w:rsidR="00030A7D">
              <w:rPr>
                <w:noProof/>
                <w:webHidden/>
              </w:rPr>
              <w:t>15</w:t>
            </w:r>
            <w:r w:rsidR="00030A7D">
              <w:rPr>
                <w:noProof/>
                <w:webHidden/>
              </w:rPr>
              <w:fldChar w:fldCharType="end"/>
            </w:r>
          </w:hyperlink>
        </w:p>
        <w:p w14:paraId="321B81C2" w14:textId="2A9BA546" w:rsidR="00030A7D" w:rsidRDefault="00000000" w:rsidP="00030A7D">
          <w:pPr>
            <w:pStyle w:val="TOC1"/>
            <w:tabs>
              <w:tab w:val="right" w:leader="dot" w:pos="9016"/>
            </w:tabs>
            <w:spacing w:line="360" w:lineRule="auto"/>
            <w:rPr>
              <w:rFonts w:asciiTheme="minorHAnsi" w:eastAsiaTheme="minorEastAsia" w:hAnsiTheme="minorHAnsi" w:cstheme="minorBidi"/>
              <w:noProof/>
              <w:kern w:val="2"/>
              <w:lang w:val="en-GB" w:eastAsia="en-GB"/>
              <w14:ligatures w14:val="standardContextual"/>
            </w:rPr>
          </w:pPr>
          <w:hyperlink w:anchor="_Toc139544534" w:history="1">
            <w:r w:rsidR="00030A7D" w:rsidRPr="009B4AF2">
              <w:rPr>
                <w:rStyle w:val="Hyperlink"/>
                <w:noProof/>
              </w:rPr>
              <w:t>Recommendation</w:t>
            </w:r>
            <w:r w:rsidR="00030A7D">
              <w:rPr>
                <w:noProof/>
                <w:webHidden/>
              </w:rPr>
              <w:tab/>
            </w:r>
            <w:r w:rsidR="00030A7D">
              <w:rPr>
                <w:noProof/>
                <w:webHidden/>
              </w:rPr>
              <w:fldChar w:fldCharType="begin"/>
            </w:r>
            <w:r w:rsidR="00030A7D">
              <w:rPr>
                <w:noProof/>
                <w:webHidden/>
              </w:rPr>
              <w:instrText xml:space="preserve"> PAGEREF _Toc139544534 \h </w:instrText>
            </w:r>
            <w:r w:rsidR="00030A7D">
              <w:rPr>
                <w:noProof/>
                <w:webHidden/>
              </w:rPr>
            </w:r>
            <w:r w:rsidR="00030A7D">
              <w:rPr>
                <w:noProof/>
                <w:webHidden/>
              </w:rPr>
              <w:fldChar w:fldCharType="separate"/>
            </w:r>
            <w:r w:rsidR="00030A7D">
              <w:rPr>
                <w:noProof/>
                <w:webHidden/>
              </w:rPr>
              <w:t>16</w:t>
            </w:r>
            <w:r w:rsidR="00030A7D">
              <w:rPr>
                <w:noProof/>
                <w:webHidden/>
              </w:rPr>
              <w:fldChar w:fldCharType="end"/>
            </w:r>
          </w:hyperlink>
        </w:p>
        <w:p w14:paraId="644DCDCF" w14:textId="648E6CF3" w:rsidR="00030A7D" w:rsidRDefault="00000000" w:rsidP="00030A7D">
          <w:pPr>
            <w:pStyle w:val="TOC1"/>
            <w:tabs>
              <w:tab w:val="right" w:leader="dot" w:pos="9016"/>
            </w:tabs>
            <w:spacing w:line="360" w:lineRule="auto"/>
            <w:rPr>
              <w:rFonts w:asciiTheme="minorHAnsi" w:eastAsiaTheme="minorEastAsia" w:hAnsiTheme="minorHAnsi" w:cstheme="minorBidi"/>
              <w:noProof/>
              <w:kern w:val="2"/>
              <w:lang w:val="en-GB" w:eastAsia="en-GB"/>
              <w14:ligatures w14:val="standardContextual"/>
            </w:rPr>
          </w:pPr>
          <w:hyperlink w:anchor="_Toc139544535" w:history="1">
            <w:r w:rsidR="00030A7D" w:rsidRPr="009B4AF2">
              <w:rPr>
                <w:rStyle w:val="Hyperlink"/>
                <w:noProof/>
              </w:rPr>
              <w:t>Reference list</w:t>
            </w:r>
            <w:r w:rsidR="00030A7D">
              <w:rPr>
                <w:noProof/>
                <w:webHidden/>
              </w:rPr>
              <w:tab/>
            </w:r>
            <w:r w:rsidR="00030A7D">
              <w:rPr>
                <w:noProof/>
                <w:webHidden/>
              </w:rPr>
              <w:fldChar w:fldCharType="begin"/>
            </w:r>
            <w:r w:rsidR="00030A7D">
              <w:rPr>
                <w:noProof/>
                <w:webHidden/>
              </w:rPr>
              <w:instrText xml:space="preserve"> PAGEREF _Toc139544535 \h </w:instrText>
            </w:r>
            <w:r w:rsidR="00030A7D">
              <w:rPr>
                <w:noProof/>
                <w:webHidden/>
              </w:rPr>
            </w:r>
            <w:r w:rsidR="00030A7D">
              <w:rPr>
                <w:noProof/>
                <w:webHidden/>
              </w:rPr>
              <w:fldChar w:fldCharType="separate"/>
            </w:r>
            <w:r w:rsidR="00030A7D">
              <w:rPr>
                <w:noProof/>
                <w:webHidden/>
              </w:rPr>
              <w:t>16</w:t>
            </w:r>
            <w:r w:rsidR="00030A7D">
              <w:rPr>
                <w:noProof/>
                <w:webHidden/>
              </w:rPr>
              <w:fldChar w:fldCharType="end"/>
            </w:r>
          </w:hyperlink>
        </w:p>
        <w:p w14:paraId="17DD7257" w14:textId="6514B1EC" w:rsidR="00030A7D" w:rsidRDefault="00000000" w:rsidP="00030A7D">
          <w:pPr>
            <w:pStyle w:val="TOC1"/>
            <w:tabs>
              <w:tab w:val="right" w:leader="dot" w:pos="9016"/>
            </w:tabs>
            <w:spacing w:line="360" w:lineRule="auto"/>
            <w:rPr>
              <w:rFonts w:asciiTheme="minorHAnsi" w:eastAsiaTheme="minorEastAsia" w:hAnsiTheme="minorHAnsi" w:cstheme="minorBidi"/>
              <w:noProof/>
              <w:kern w:val="2"/>
              <w:lang w:val="en-GB" w:eastAsia="en-GB"/>
              <w14:ligatures w14:val="standardContextual"/>
            </w:rPr>
          </w:pPr>
          <w:hyperlink w:anchor="_Toc139544536" w:history="1">
            <w:r w:rsidR="00030A7D" w:rsidRPr="009B4AF2">
              <w:rPr>
                <w:rStyle w:val="Hyperlink"/>
                <w:noProof/>
              </w:rPr>
              <w:t>Appendix 1</w:t>
            </w:r>
            <w:r w:rsidR="00030A7D">
              <w:rPr>
                <w:noProof/>
                <w:webHidden/>
              </w:rPr>
              <w:tab/>
            </w:r>
            <w:r w:rsidR="00030A7D">
              <w:rPr>
                <w:noProof/>
                <w:webHidden/>
              </w:rPr>
              <w:fldChar w:fldCharType="begin"/>
            </w:r>
            <w:r w:rsidR="00030A7D">
              <w:rPr>
                <w:noProof/>
                <w:webHidden/>
              </w:rPr>
              <w:instrText xml:space="preserve"> PAGEREF _Toc139544536 \h </w:instrText>
            </w:r>
            <w:r w:rsidR="00030A7D">
              <w:rPr>
                <w:noProof/>
                <w:webHidden/>
              </w:rPr>
            </w:r>
            <w:r w:rsidR="00030A7D">
              <w:rPr>
                <w:noProof/>
                <w:webHidden/>
              </w:rPr>
              <w:fldChar w:fldCharType="separate"/>
            </w:r>
            <w:r w:rsidR="00030A7D">
              <w:rPr>
                <w:noProof/>
                <w:webHidden/>
              </w:rPr>
              <w:t>21</w:t>
            </w:r>
            <w:r w:rsidR="00030A7D">
              <w:rPr>
                <w:noProof/>
                <w:webHidden/>
              </w:rPr>
              <w:fldChar w:fldCharType="end"/>
            </w:r>
          </w:hyperlink>
        </w:p>
        <w:p w14:paraId="1ACE5160" w14:textId="25783BEA" w:rsidR="00B23BF7" w:rsidRDefault="00B23BF7">
          <w:r>
            <w:rPr>
              <w:b/>
              <w:bCs/>
              <w:noProof/>
            </w:rPr>
            <w:fldChar w:fldCharType="end"/>
          </w:r>
        </w:p>
      </w:sdtContent>
    </w:sdt>
    <w:p w14:paraId="2B2FCF99" w14:textId="77777777" w:rsidR="00EF40F6" w:rsidRDefault="00EF40F6"/>
    <w:p w14:paraId="664D3A4E" w14:textId="77777777" w:rsidR="00B23BF7" w:rsidRDefault="00B23BF7"/>
    <w:p w14:paraId="3968FCE9" w14:textId="77777777" w:rsidR="00B23BF7" w:rsidRDefault="00B23BF7"/>
    <w:p w14:paraId="298D536E" w14:textId="77777777" w:rsidR="00B23BF7" w:rsidRDefault="00B23BF7"/>
    <w:p w14:paraId="31BD2102" w14:textId="77777777" w:rsidR="00B23BF7" w:rsidRDefault="00B23BF7"/>
    <w:p w14:paraId="307A8293" w14:textId="77777777" w:rsidR="00B23BF7" w:rsidRDefault="00B23BF7"/>
    <w:p w14:paraId="208C16A7" w14:textId="77777777" w:rsidR="00B23BF7" w:rsidRDefault="00B23BF7"/>
    <w:p w14:paraId="7616EFAE" w14:textId="77777777" w:rsidR="00B23BF7" w:rsidRDefault="00B23BF7"/>
    <w:p w14:paraId="3992E4EA" w14:textId="77777777" w:rsidR="00B23BF7" w:rsidRDefault="00B23BF7"/>
    <w:p w14:paraId="5ABDFF38" w14:textId="77777777" w:rsidR="00B23BF7" w:rsidRDefault="00B23BF7"/>
    <w:p w14:paraId="5FD6E994" w14:textId="77777777" w:rsidR="00B23BF7" w:rsidRDefault="00B23BF7"/>
    <w:p w14:paraId="6DE282DD" w14:textId="77777777" w:rsidR="00B23BF7" w:rsidRDefault="00B23BF7"/>
    <w:p w14:paraId="4D4F9CD2" w14:textId="77777777" w:rsidR="00B23BF7" w:rsidRDefault="00B23BF7"/>
    <w:p w14:paraId="6DAB96A6" w14:textId="77777777" w:rsidR="00B23BF7" w:rsidRDefault="00B23BF7"/>
    <w:p w14:paraId="45FC1F21" w14:textId="77777777" w:rsidR="00B23BF7" w:rsidRDefault="00B23BF7"/>
    <w:p w14:paraId="4C184720" w14:textId="77777777" w:rsidR="00B23BF7" w:rsidRDefault="00B23BF7"/>
    <w:p w14:paraId="35A27E55" w14:textId="77777777" w:rsidR="00B23BF7" w:rsidRDefault="00B23BF7"/>
    <w:p w14:paraId="7178ED69" w14:textId="77777777" w:rsidR="00B23BF7" w:rsidRDefault="00B23BF7"/>
    <w:p w14:paraId="492EA2DA" w14:textId="450596AA" w:rsidR="00B23BF7" w:rsidRPr="00B23BF7" w:rsidRDefault="00B23BF7" w:rsidP="00B23BF7">
      <w:pPr>
        <w:pStyle w:val="Heading1"/>
        <w:spacing w:line="360" w:lineRule="auto"/>
        <w:jc w:val="both"/>
        <w:rPr>
          <w:rFonts w:ascii="Arial" w:hAnsi="Arial" w:cs="Arial"/>
          <w:sz w:val="36"/>
          <w:szCs w:val="36"/>
        </w:rPr>
      </w:pPr>
      <w:bookmarkStart w:id="0" w:name="_Toc137660217"/>
      <w:r w:rsidRPr="00B23BF7">
        <w:rPr>
          <w:rFonts w:ascii="Arial" w:hAnsi="Arial" w:cs="Arial"/>
          <w:sz w:val="36"/>
          <w:szCs w:val="36"/>
        </w:rPr>
        <w:lastRenderedPageBreak/>
        <w:t xml:space="preserve"> </w:t>
      </w:r>
      <w:bookmarkStart w:id="1" w:name="_Toc139544527"/>
      <w:r w:rsidRPr="00B23BF7">
        <w:rPr>
          <w:rFonts w:ascii="Arial" w:hAnsi="Arial" w:cs="Arial"/>
          <w:sz w:val="36"/>
          <w:szCs w:val="36"/>
        </w:rPr>
        <w:t>Introduction</w:t>
      </w:r>
      <w:bookmarkEnd w:id="0"/>
      <w:bookmarkEnd w:id="1"/>
    </w:p>
    <w:p w14:paraId="1D2A5A77" w14:textId="77777777" w:rsidR="00B23BF7" w:rsidRDefault="00B23BF7" w:rsidP="00650993">
      <w:pPr>
        <w:pStyle w:val="Normal1"/>
        <w:spacing w:line="360" w:lineRule="auto"/>
        <w:jc w:val="both"/>
        <w:rPr>
          <w:color w:val="000000" w:themeColor="text1"/>
          <w:lang w:val="en-GB"/>
        </w:rPr>
      </w:pPr>
      <w:r w:rsidRPr="00B23BF7">
        <w:rPr>
          <w:color w:val="000000" w:themeColor="text1"/>
          <w:lang w:val="en-GB"/>
        </w:rPr>
        <w:t xml:space="preserve">The post office in the UK is going to maintain an organizational change agent consultant and it is known that a change agent consultant has the responsibility to catalyst and maintain the change activities in workplaces. Different people have various opinions about workplace change activities and according to their opinions implementation of change can be maintained. Appropriate stakeholders are identified and different ways to maintain power and politics for change agent success are evaluated. This discussion is effective because it helps to understand the factors in workplace change implementation and recommendations for post office development are effective for better work management. </w:t>
      </w:r>
    </w:p>
    <w:p w14:paraId="680D6ABF" w14:textId="77777777" w:rsidR="000A27D6" w:rsidRDefault="000A27D6" w:rsidP="00851469">
      <w:pPr>
        <w:pStyle w:val="Heading1"/>
        <w:spacing w:line="360" w:lineRule="auto"/>
        <w:rPr>
          <w:rFonts w:ascii="Arial" w:hAnsi="Arial" w:cs="Arial"/>
          <w:sz w:val="36"/>
          <w:szCs w:val="36"/>
        </w:rPr>
      </w:pPr>
      <w:bookmarkStart w:id="2" w:name="_Toc137660218"/>
    </w:p>
    <w:p w14:paraId="334E0F13" w14:textId="69687996" w:rsidR="00851469" w:rsidRDefault="00851469" w:rsidP="00851469">
      <w:pPr>
        <w:pStyle w:val="Heading1"/>
        <w:spacing w:line="360" w:lineRule="auto"/>
        <w:rPr>
          <w:rFonts w:ascii="Arial" w:hAnsi="Arial" w:cs="Arial"/>
          <w:sz w:val="36"/>
          <w:szCs w:val="36"/>
        </w:rPr>
      </w:pPr>
      <w:r w:rsidRPr="00851469">
        <w:rPr>
          <w:rFonts w:ascii="Arial" w:hAnsi="Arial" w:cs="Arial"/>
          <w:sz w:val="36"/>
          <w:szCs w:val="36"/>
        </w:rPr>
        <w:t xml:space="preserve"> </w:t>
      </w:r>
      <w:bookmarkStart w:id="3" w:name="_Toc139544528"/>
      <w:r w:rsidRPr="00851469">
        <w:rPr>
          <w:rFonts w:ascii="Arial" w:hAnsi="Arial" w:cs="Arial"/>
          <w:sz w:val="36"/>
          <w:szCs w:val="36"/>
        </w:rPr>
        <w:t>Findings from Interview</w:t>
      </w:r>
      <w:bookmarkEnd w:id="2"/>
      <w:bookmarkEnd w:id="3"/>
      <w:r w:rsidRPr="00851469">
        <w:rPr>
          <w:rFonts w:ascii="Arial" w:hAnsi="Arial" w:cs="Arial"/>
          <w:sz w:val="36"/>
          <w:szCs w:val="36"/>
        </w:rPr>
        <w:t xml:space="preserve"> </w:t>
      </w:r>
    </w:p>
    <w:p w14:paraId="5F90C333" w14:textId="2FAFA816" w:rsidR="005C1983" w:rsidRPr="005C1983" w:rsidRDefault="005C1983" w:rsidP="005C1983">
      <w:pPr>
        <w:spacing w:line="360" w:lineRule="auto"/>
        <w:jc w:val="both"/>
        <w:rPr>
          <w:rFonts w:ascii="Arial" w:hAnsi="Arial" w:cs="Arial"/>
        </w:rPr>
      </w:pPr>
      <w:r w:rsidRPr="005C1983">
        <w:rPr>
          <w:rFonts w:ascii="Arial" w:hAnsi="Arial" w:cs="Arial"/>
        </w:rPr>
        <w:t xml:space="preserve">The interview of a class member is helpful to understand the critical factors that are present in maintaining change agent consultants in post offices and to gather knowledge some questions are asked of a member. The first question is to know about the member and as per the interview, </w:t>
      </w:r>
      <w:r>
        <w:rPr>
          <w:rFonts w:ascii="Arial" w:hAnsi="Arial" w:cs="Arial"/>
        </w:rPr>
        <w:t>his name is Alexandru Dragomir</w:t>
      </w:r>
      <w:r w:rsidRPr="005C1983">
        <w:rPr>
          <w:rFonts w:ascii="Arial" w:hAnsi="Arial" w:cs="Arial"/>
        </w:rPr>
        <w:t>. It is important for the post office to understand the internal and external factors and according to it, the changes should be done. The second question in the interview is to understand the issues that are faced by post offices and as per the member “</w:t>
      </w:r>
      <w:r w:rsidRPr="00C76006">
        <w:rPr>
          <w:rFonts w:ascii="Arial" w:hAnsi="Arial" w:cs="Arial"/>
          <w:i/>
          <w:iCs/>
        </w:rPr>
        <w:t xml:space="preserve">work management is the main issue in the post </w:t>
      </w:r>
      <w:r w:rsidR="00E53A33" w:rsidRPr="00C76006">
        <w:rPr>
          <w:rFonts w:ascii="Arial" w:hAnsi="Arial" w:cs="Arial"/>
          <w:i/>
          <w:iCs/>
        </w:rPr>
        <w:t>offices</w:t>
      </w:r>
      <w:r w:rsidRPr="00C76006">
        <w:rPr>
          <w:rFonts w:ascii="Arial" w:hAnsi="Arial" w:cs="Arial"/>
          <w:i/>
          <w:iCs/>
        </w:rPr>
        <w:t xml:space="preserve">. The delivery systems are not effective in the post office and the work culture and leadership of the post office are not effective </w:t>
      </w:r>
      <w:r w:rsidR="00E53A33">
        <w:rPr>
          <w:rFonts w:ascii="Arial" w:hAnsi="Arial" w:cs="Arial"/>
        </w:rPr>
        <w:t>“</w:t>
      </w:r>
      <w:r w:rsidRPr="005C1983">
        <w:rPr>
          <w:rFonts w:ascii="Arial" w:hAnsi="Arial" w:cs="Arial"/>
        </w:rPr>
        <w:t xml:space="preserve">[Refers to appendix 1]. Digitalization is maintained in the post office properly and the efficiency of employees in the post office is causing issues in work management. As opined by </w:t>
      </w:r>
      <w:proofErr w:type="spellStart"/>
      <w:r w:rsidRPr="005C1983">
        <w:rPr>
          <w:rFonts w:ascii="Arial" w:hAnsi="Arial" w:cs="Arial"/>
        </w:rPr>
        <w:t>Errida</w:t>
      </w:r>
      <w:proofErr w:type="spellEnd"/>
      <w:r w:rsidRPr="005C1983">
        <w:rPr>
          <w:rFonts w:ascii="Arial" w:hAnsi="Arial" w:cs="Arial"/>
        </w:rPr>
        <w:t xml:space="preserve"> and </w:t>
      </w:r>
      <w:proofErr w:type="spellStart"/>
      <w:r w:rsidRPr="005C1983">
        <w:rPr>
          <w:rFonts w:ascii="Arial" w:hAnsi="Arial" w:cs="Arial"/>
        </w:rPr>
        <w:t>Lotfi</w:t>
      </w:r>
      <w:proofErr w:type="spellEnd"/>
      <w:r w:rsidRPr="005C1983">
        <w:rPr>
          <w:rFonts w:ascii="Arial" w:hAnsi="Arial" w:cs="Arial"/>
        </w:rPr>
        <w:t xml:space="preserve"> (2021), these issues should be analysed and removed to maintain a proper work culture in post offices. The knowledge of issues in the post office is useful to gather knowledge about the factors that are causing issues in work management, and it is important for increasing the efficiency of employees in the post offices. </w:t>
      </w:r>
    </w:p>
    <w:p w14:paraId="4F9D6ADF" w14:textId="778DB6F5" w:rsidR="005C1983" w:rsidRPr="005C1983" w:rsidRDefault="005C1983" w:rsidP="005C1983">
      <w:pPr>
        <w:spacing w:line="360" w:lineRule="auto"/>
        <w:jc w:val="both"/>
        <w:rPr>
          <w:rFonts w:ascii="Arial" w:hAnsi="Arial" w:cs="Arial"/>
        </w:rPr>
      </w:pPr>
      <w:r w:rsidRPr="005C1983">
        <w:rPr>
          <w:rFonts w:ascii="Arial" w:hAnsi="Arial" w:cs="Arial"/>
        </w:rPr>
        <w:t xml:space="preserve">The third question is to understand the concept of pay crisis and as per the member, </w:t>
      </w:r>
      <w:r w:rsidRPr="00136246">
        <w:rPr>
          <w:rFonts w:ascii="Arial" w:hAnsi="Arial" w:cs="Arial"/>
          <w:i/>
          <w:iCs/>
        </w:rPr>
        <w:t xml:space="preserve">“pay crisis indicates the inefficiency in maintaining the salary of </w:t>
      </w:r>
      <w:r w:rsidR="00E53A33" w:rsidRPr="00136246">
        <w:rPr>
          <w:rFonts w:ascii="Arial" w:hAnsi="Arial" w:cs="Arial"/>
          <w:i/>
          <w:iCs/>
        </w:rPr>
        <w:t>employees</w:t>
      </w:r>
      <w:r w:rsidR="00E53A33" w:rsidRPr="005C1983">
        <w:rPr>
          <w:rFonts w:ascii="Arial" w:hAnsi="Arial" w:cs="Arial"/>
        </w:rPr>
        <w:t>”</w:t>
      </w:r>
      <w:r w:rsidR="00E53A33">
        <w:rPr>
          <w:rFonts w:ascii="Arial" w:hAnsi="Arial" w:cs="Arial"/>
        </w:rPr>
        <w:t xml:space="preserve"> [Refers to appendix 1]</w:t>
      </w:r>
      <w:r w:rsidRPr="005C1983">
        <w:rPr>
          <w:rFonts w:ascii="Arial" w:hAnsi="Arial" w:cs="Arial"/>
        </w:rPr>
        <w:t xml:space="preserve">. The low rate of salary as per work can be seen as a pay crisis and the salary scale of employees is decreasing and it is very effective for economic control. The pay crisis is very effective for middle-class and poor people because the salary scale has decreased and fulfilment of essential requirements of people is difficult for the pay crisis. As stated by Mansaray (2019), the knowledge of the impact of the pay crisis is effective in maintaining the financial condition of the employees and the way of development can be found. The </w:t>
      </w:r>
      <w:r w:rsidRPr="005C1983">
        <w:rPr>
          <w:rFonts w:ascii="Arial" w:hAnsi="Arial" w:cs="Arial"/>
        </w:rPr>
        <w:lastRenderedPageBreak/>
        <w:t xml:space="preserve">knowledge of the pay crisis helps to understand the factors that are related to employees and salary management because it is important for the financial stability of employees and the economy of the nation can be developed. </w:t>
      </w:r>
    </w:p>
    <w:p w14:paraId="6519C3B4" w14:textId="78E1EC7F" w:rsidR="005C1983" w:rsidRPr="005C1983" w:rsidRDefault="005C1983" w:rsidP="005C1983">
      <w:pPr>
        <w:spacing w:line="360" w:lineRule="auto"/>
        <w:jc w:val="both"/>
        <w:rPr>
          <w:rFonts w:ascii="Arial" w:hAnsi="Arial" w:cs="Arial"/>
        </w:rPr>
      </w:pPr>
      <w:r w:rsidRPr="005C1983">
        <w:rPr>
          <w:rFonts w:ascii="Arial" w:hAnsi="Arial" w:cs="Arial"/>
        </w:rPr>
        <w:t>The fourth question indicates the process of consultants in minimizing the issues and as per the member “</w:t>
      </w:r>
      <w:r w:rsidRPr="00136246">
        <w:rPr>
          <w:rFonts w:ascii="Arial" w:hAnsi="Arial" w:cs="Arial"/>
          <w:i/>
          <w:iCs/>
        </w:rPr>
        <w:t>a consultant can identify the issues that are causing the pay crisis and a change in management can be done</w:t>
      </w:r>
      <w:r w:rsidRPr="005C1983">
        <w:rPr>
          <w:rFonts w:ascii="Arial" w:hAnsi="Arial" w:cs="Arial"/>
        </w:rPr>
        <w:t>”</w:t>
      </w:r>
      <w:r w:rsidR="00E53A33" w:rsidRPr="00E53A33">
        <w:rPr>
          <w:rFonts w:ascii="Arial" w:hAnsi="Arial" w:cs="Arial"/>
        </w:rPr>
        <w:t xml:space="preserve"> </w:t>
      </w:r>
      <w:r w:rsidR="00E53A33" w:rsidRPr="005C1983">
        <w:rPr>
          <w:rFonts w:ascii="Arial" w:hAnsi="Arial" w:cs="Arial"/>
        </w:rPr>
        <w:t>[Refers to appendix 1].</w:t>
      </w:r>
      <w:r w:rsidRPr="005C1983">
        <w:rPr>
          <w:rFonts w:ascii="Arial" w:hAnsi="Arial" w:cs="Arial"/>
        </w:rPr>
        <w:t xml:space="preserve"> Change in work culture can be done by a consultant and it is important for minimizing pay crises and financial factors can be analysed and improved by </w:t>
      </w:r>
      <w:r w:rsidR="00E53A33" w:rsidRPr="005C1983">
        <w:rPr>
          <w:rFonts w:ascii="Arial" w:hAnsi="Arial" w:cs="Arial"/>
        </w:rPr>
        <w:t>consultants</w:t>
      </w:r>
      <w:r w:rsidR="00E53A33">
        <w:rPr>
          <w:rFonts w:ascii="Arial" w:hAnsi="Arial" w:cs="Arial"/>
        </w:rPr>
        <w:t>.</w:t>
      </w:r>
      <w:r w:rsidR="00E53A33" w:rsidRPr="005C1983">
        <w:rPr>
          <w:rFonts w:ascii="Arial" w:hAnsi="Arial" w:cs="Arial"/>
        </w:rPr>
        <w:t xml:space="preserve"> Issues</w:t>
      </w:r>
      <w:r w:rsidRPr="005C1983">
        <w:rPr>
          <w:rFonts w:ascii="Arial" w:hAnsi="Arial" w:cs="Arial"/>
        </w:rPr>
        <w:t xml:space="preserve"> of financial management can be determined by consultants and pay crises can be solved and an understanding of factors that can reflect an impact on pay management can be developed by a consultant. As opined by Mitra et al. (2019), these processes can be effective for the post office to minimize the issues with the help of consultants. The ability of consultants is beneficial to improve the condition of the post office and it is important for minimizing the issues in the workplace and change can be maintained by consultants. The fifth question refers to the comparison between internal and external consultants in improving the condition of the post office. According to the member, </w:t>
      </w:r>
      <w:r w:rsidRPr="00136246">
        <w:rPr>
          <w:rFonts w:ascii="Arial" w:hAnsi="Arial" w:cs="Arial"/>
          <w:i/>
          <w:iCs/>
        </w:rPr>
        <w:t xml:space="preserve">“an external consultant is the most suited for a change </w:t>
      </w:r>
      <w:r w:rsidR="00E53A33" w:rsidRPr="00136246">
        <w:rPr>
          <w:rFonts w:ascii="Arial" w:hAnsi="Arial" w:cs="Arial"/>
          <w:i/>
          <w:iCs/>
        </w:rPr>
        <w:t>agent</w:t>
      </w:r>
      <w:r w:rsidR="00E53A33" w:rsidRPr="005C1983">
        <w:rPr>
          <w:rFonts w:ascii="Arial" w:hAnsi="Arial" w:cs="Arial"/>
        </w:rPr>
        <w:t>”</w:t>
      </w:r>
      <w:r w:rsidR="00E53A33">
        <w:rPr>
          <w:rFonts w:ascii="Arial" w:hAnsi="Arial" w:cs="Arial"/>
        </w:rPr>
        <w:t xml:space="preserve"> [Refers to appendix 1]</w:t>
      </w:r>
      <w:r w:rsidRPr="005C1983">
        <w:rPr>
          <w:rFonts w:ascii="Arial" w:hAnsi="Arial" w:cs="Arial"/>
        </w:rPr>
        <w:t xml:space="preserve">. As stated by </w:t>
      </w:r>
      <w:proofErr w:type="spellStart"/>
      <w:r w:rsidRPr="005C1983">
        <w:rPr>
          <w:rFonts w:ascii="Arial" w:hAnsi="Arial" w:cs="Arial"/>
        </w:rPr>
        <w:t>Oreg</w:t>
      </w:r>
      <w:proofErr w:type="spellEnd"/>
      <w:r w:rsidRPr="005C1983">
        <w:rPr>
          <w:rFonts w:ascii="Arial" w:hAnsi="Arial" w:cs="Arial"/>
        </w:rPr>
        <w:t xml:space="preserve"> and </w:t>
      </w:r>
      <w:proofErr w:type="spellStart"/>
      <w:r w:rsidRPr="005C1983">
        <w:rPr>
          <w:rFonts w:ascii="Arial" w:hAnsi="Arial" w:cs="Arial"/>
        </w:rPr>
        <w:t>Berson</w:t>
      </w:r>
      <w:proofErr w:type="spellEnd"/>
      <w:r w:rsidRPr="005C1983">
        <w:rPr>
          <w:rFonts w:ascii="Arial" w:hAnsi="Arial" w:cs="Arial"/>
        </w:rPr>
        <w:t xml:space="preserve">, (2019), the knowledge of external consultants can be very effective in increasing the efficiency of post offices. Different clients and organizations are handled by external consultants and this knowledge is effective for increasing the work culture of the post office. </w:t>
      </w:r>
    </w:p>
    <w:p w14:paraId="2875B04D" w14:textId="5E450637" w:rsidR="005C1983" w:rsidRPr="005C1983" w:rsidRDefault="005C1983" w:rsidP="005C1983">
      <w:pPr>
        <w:spacing w:line="360" w:lineRule="auto"/>
        <w:jc w:val="both"/>
        <w:rPr>
          <w:rFonts w:ascii="Arial" w:hAnsi="Arial" w:cs="Arial"/>
        </w:rPr>
      </w:pPr>
      <w:r w:rsidRPr="005C1983">
        <w:rPr>
          <w:rFonts w:ascii="Arial" w:hAnsi="Arial" w:cs="Arial"/>
        </w:rPr>
        <w:t xml:space="preserve">The sixth question indicates the challenges that are faced by internal or external consultants and as per the member, </w:t>
      </w:r>
      <w:r w:rsidRPr="00136246">
        <w:rPr>
          <w:rFonts w:ascii="Arial" w:hAnsi="Arial" w:cs="Arial"/>
          <w:i/>
          <w:iCs/>
        </w:rPr>
        <w:t>“identification of the issues that are present in the organizational management and implementation of change factors can be difficult</w:t>
      </w:r>
      <w:r w:rsidRPr="005C1983">
        <w:rPr>
          <w:rFonts w:ascii="Arial" w:hAnsi="Arial" w:cs="Arial"/>
        </w:rPr>
        <w:t>”</w:t>
      </w:r>
      <w:r w:rsidR="00E53A33" w:rsidRPr="00E53A33">
        <w:rPr>
          <w:rFonts w:ascii="Arial" w:hAnsi="Arial" w:cs="Arial"/>
        </w:rPr>
        <w:t xml:space="preserve"> </w:t>
      </w:r>
      <w:r w:rsidR="00E53A33" w:rsidRPr="005C1983">
        <w:rPr>
          <w:rFonts w:ascii="Arial" w:hAnsi="Arial" w:cs="Arial"/>
        </w:rPr>
        <w:t>[Refers to appendix 1]</w:t>
      </w:r>
      <w:r w:rsidRPr="005C1983">
        <w:rPr>
          <w:rFonts w:ascii="Arial" w:hAnsi="Arial" w:cs="Arial"/>
        </w:rPr>
        <w:t xml:space="preserve">. Proper implementation of change strategies can be difficult for internal/external consultants and innovation in the workplace management can also be </w:t>
      </w:r>
      <w:r w:rsidR="00E53A33" w:rsidRPr="005C1983">
        <w:rPr>
          <w:rFonts w:ascii="Arial" w:hAnsi="Arial" w:cs="Arial"/>
        </w:rPr>
        <w:t>difficult.</w:t>
      </w:r>
      <w:r w:rsidR="00E53A33">
        <w:rPr>
          <w:rFonts w:ascii="Arial" w:hAnsi="Arial" w:cs="Arial"/>
        </w:rPr>
        <w:t xml:space="preserve"> </w:t>
      </w:r>
      <w:r w:rsidRPr="005C1983">
        <w:rPr>
          <w:rFonts w:ascii="Arial" w:hAnsi="Arial" w:cs="Arial"/>
        </w:rPr>
        <w:t xml:space="preserve">As opined by Malhotra et al. (2021), evaluation of the factors that are causing major issues in organizations and implementation of new ideas along with issues minimization can be very difficult for internal/external consultants. The challenges in change management of the post office are faced by internal and external consultants because different organizations have various issues and financial factors are difficult to analyse by consultants. </w:t>
      </w:r>
    </w:p>
    <w:p w14:paraId="45F940A1" w14:textId="07227402" w:rsidR="005C1983" w:rsidRPr="005C1983" w:rsidRDefault="005C1983" w:rsidP="005C1983">
      <w:pPr>
        <w:spacing w:line="360" w:lineRule="auto"/>
        <w:jc w:val="both"/>
        <w:rPr>
          <w:rFonts w:ascii="Arial" w:hAnsi="Arial" w:cs="Arial"/>
        </w:rPr>
      </w:pPr>
      <w:r w:rsidRPr="005C1983">
        <w:rPr>
          <w:rFonts w:ascii="Arial" w:hAnsi="Arial" w:cs="Arial"/>
        </w:rPr>
        <w:t>The seventh question is related to identifying the resources that can reflect an impact on change management in the workplace of the post office. According to the member, “</w:t>
      </w:r>
      <w:r w:rsidRPr="00136246">
        <w:rPr>
          <w:rFonts w:ascii="Arial" w:hAnsi="Arial" w:cs="Arial"/>
          <w:i/>
          <w:iCs/>
        </w:rPr>
        <w:t xml:space="preserve">they can get businessmen and high-profile people as </w:t>
      </w:r>
      <w:r w:rsidR="00030A7D" w:rsidRPr="00136246">
        <w:rPr>
          <w:rFonts w:ascii="Arial" w:hAnsi="Arial" w:cs="Arial"/>
          <w:i/>
          <w:iCs/>
        </w:rPr>
        <w:t>investors</w:t>
      </w:r>
      <w:r w:rsidR="00030A7D" w:rsidRPr="005C1983">
        <w:rPr>
          <w:rFonts w:ascii="Arial" w:hAnsi="Arial" w:cs="Arial"/>
        </w:rPr>
        <w:t>”</w:t>
      </w:r>
      <w:r w:rsidR="00030A7D">
        <w:rPr>
          <w:rFonts w:ascii="Arial" w:hAnsi="Arial" w:cs="Arial"/>
        </w:rPr>
        <w:t xml:space="preserve"> [</w:t>
      </w:r>
      <w:r w:rsidR="00F075F9">
        <w:rPr>
          <w:rFonts w:ascii="Arial" w:hAnsi="Arial" w:cs="Arial"/>
        </w:rPr>
        <w:t>Refers to appendix 1]</w:t>
      </w:r>
      <w:r w:rsidRPr="005C1983">
        <w:rPr>
          <w:rFonts w:ascii="Arial" w:hAnsi="Arial" w:cs="Arial"/>
        </w:rPr>
        <w:t xml:space="preserve">. The organization can get help from rich people in getting investments and there are not so many resources for change management because of the high cost expect of some specific people. </w:t>
      </w:r>
      <w:r w:rsidRPr="005C1983">
        <w:rPr>
          <w:rFonts w:ascii="Arial" w:hAnsi="Arial" w:cs="Arial"/>
        </w:rPr>
        <w:lastRenderedPageBreak/>
        <w:t xml:space="preserve">As stated by </w:t>
      </w:r>
      <w:proofErr w:type="spellStart"/>
      <w:r w:rsidRPr="005C1983">
        <w:rPr>
          <w:rFonts w:ascii="Arial" w:hAnsi="Arial" w:cs="Arial"/>
        </w:rPr>
        <w:t>Sayyadi</w:t>
      </w:r>
      <w:proofErr w:type="spellEnd"/>
      <w:r w:rsidRPr="005C1983">
        <w:rPr>
          <w:rFonts w:ascii="Arial" w:hAnsi="Arial" w:cs="Arial"/>
        </w:rPr>
        <w:t xml:space="preserve"> (2019), the post office can gather resources to maintain the change in an organization from the businessmen can be effective in investing the factors and it is important for developing the current condition of the post office and financial stability can be maintained. The eighth question refers to the process of identification of issues and as per the member, “</w:t>
      </w:r>
      <w:r w:rsidRPr="00136246">
        <w:rPr>
          <w:rFonts w:ascii="Arial" w:hAnsi="Arial" w:cs="Arial"/>
          <w:i/>
          <w:iCs/>
        </w:rPr>
        <w:t>communication with employees and stakeholders can be effective for problem identification</w:t>
      </w:r>
      <w:r w:rsidRPr="005C1983">
        <w:rPr>
          <w:rFonts w:ascii="Arial" w:hAnsi="Arial" w:cs="Arial"/>
        </w:rPr>
        <w:t>”</w:t>
      </w:r>
      <w:r w:rsidR="00F075F9" w:rsidRPr="00F075F9">
        <w:rPr>
          <w:rFonts w:ascii="Arial" w:hAnsi="Arial" w:cs="Arial"/>
        </w:rPr>
        <w:t xml:space="preserve"> </w:t>
      </w:r>
      <w:r w:rsidR="00F075F9" w:rsidRPr="005C1983">
        <w:rPr>
          <w:rFonts w:ascii="Arial" w:hAnsi="Arial" w:cs="Arial"/>
        </w:rPr>
        <w:t>[Refers to appendix 1]</w:t>
      </w:r>
      <w:r w:rsidRPr="005C1983">
        <w:rPr>
          <w:rFonts w:ascii="Arial" w:hAnsi="Arial" w:cs="Arial"/>
        </w:rPr>
        <w:t>. Detailed analysis of the financial reports and discussion with stakeholders can be helpful and employees can be effective in identifying the issues that are present in management control</w:t>
      </w:r>
      <w:r w:rsidR="00F075F9">
        <w:rPr>
          <w:rFonts w:ascii="Arial" w:hAnsi="Arial" w:cs="Arial"/>
        </w:rPr>
        <w:t xml:space="preserve">. </w:t>
      </w:r>
      <w:r w:rsidRPr="005C1983">
        <w:rPr>
          <w:rFonts w:ascii="Arial" w:hAnsi="Arial" w:cs="Arial"/>
        </w:rPr>
        <w:t xml:space="preserve">As opined by von Thiele Schwarz et al. (2021), stakeholders and higher authorities can be effective in maintaining reports and issues can be diagnosed and analysis of financial reports can be useful. In the post office, there are different issues in management, and identification of the issues can be difficult. The reason is all reports </w:t>
      </w:r>
      <w:r w:rsidR="00F075F9" w:rsidRPr="005C1983">
        <w:rPr>
          <w:rFonts w:ascii="Arial" w:hAnsi="Arial" w:cs="Arial"/>
        </w:rPr>
        <w:t>must</w:t>
      </w:r>
      <w:r w:rsidRPr="005C1983">
        <w:rPr>
          <w:rFonts w:ascii="Arial" w:hAnsi="Arial" w:cs="Arial"/>
        </w:rPr>
        <w:t xml:space="preserve"> be analysed properly and communication with stakeholders is not easy and discussion of issues can be time-consuming and difficult. </w:t>
      </w:r>
    </w:p>
    <w:p w14:paraId="06314558" w14:textId="76660A85" w:rsidR="005C1983" w:rsidRPr="005C1983" w:rsidRDefault="005C1983" w:rsidP="005C1983">
      <w:pPr>
        <w:spacing w:line="360" w:lineRule="auto"/>
        <w:jc w:val="both"/>
        <w:rPr>
          <w:rFonts w:ascii="Arial" w:hAnsi="Arial" w:cs="Arial"/>
        </w:rPr>
      </w:pPr>
      <w:r w:rsidRPr="005C1983">
        <w:rPr>
          <w:rFonts w:ascii="Arial" w:hAnsi="Arial" w:cs="Arial"/>
        </w:rPr>
        <w:t>The ninth question is helpful to understand the efficiency of consultants in exploring problems and according to the member, “</w:t>
      </w:r>
      <w:r w:rsidRPr="00136246">
        <w:rPr>
          <w:rFonts w:ascii="Arial" w:hAnsi="Arial" w:cs="Arial"/>
          <w:i/>
          <w:iCs/>
        </w:rPr>
        <w:t>consultants have innovative and creative ideas to identify the factors that can cause problems and analysis of reports with experience can be effective</w:t>
      </w:r>
      <w:r w:rsidRPr="005C1983">
        <w:rPr>
          <w:rFonts w:ascii="Arial" w:hAnsi="Arial" w:cs="Arial"/>
        </w:rPr>
        <w:t>”</w:t>
      </w:r>
      <w:r w:rsidR="00F075F9" w:rsidRPr="00F075F9">
        <w:rPr>
          <w:rFonts w:ascii="Arial" w:hAnsi="Arial" w:cs="Arial"/>
        </w:rPr>
        <w:t xml:space="preserve"> </w:t>
      </w:r>
      <w:r w:rsidR="00F075F9" w:rsidRPr="005C1983">
        <w:rPr>
          <w:rFonts w:ascii="Arial" w:hAnsi="Arial" w:cs="Arial"/>
        </w:rPr>
        <w:t>[Refers to appendix 1]</w:t>
      </w:r>
      <w:r w:rsidRPr="005C1983">
        <w:rPr>
          <w:rFonts w:ascii="Arial" w:hAnsi="Arial" w:cs="Arial"/>
        </w:rPr>
        <w:t xml:space="preserve">. A Comparison of the condition and efficiency of the organization can be done by </w:t>
      </w:r>
      <w:r w:rsidR="00F075F9" w:rsidRPr="005C1983">
        <w:rPr>
          <w:rFonts w:ascii="Arial" w:hAnsi="Arial" w:cs="Arial"/>
        </w:rPr>
        <w:t>consultants,</w:t>
      </w:r>
      <w:r w:rsidRPr="005C1983">
        <w:rPr>
          <w:rFonts w:ascii="Arial" w:hAnsi="Arial" w:cs="Arial"/>
        </w:rPr>
        <w:t xml:space="preserve"> and it can explore the issues properly</w:t>
      </w:r>
      <w:r w:rsidR="00F075F9">
        <w:rPr>
          <w:rFonts w:ascii="Arial" w:hAnsi="Arial" w:cs="Arial"/>
        </w:rPr>
        <w:t xml:space="preserve">. </w:t>
      </w:r>
      <w:r w:rsidRPr="005C1983">
        <w:rPr>
          <w:rFonts w:ascii="Arial" w:hAnsi="Arial" w:cs="Arial"/>
        </w:rPr>
        <w:t xml:space="preserve">As stated by Men et al. (2020), financial and management-related factors can be properly analysed by consultants with their different techniques and creative ideas for the analysis of reports and the knowledge of requirements can be helpful in problem analysis. Consultants are experienced and effective in maintaining internal and external factors in organizations and they can be used to analyse the issues and better change management can be maintained. </w:t>
      </w:r>
    </w:p>
    <w:p w14:paraId="2B3E072E" w14:textId="51973900" w:rsidR="005C1983" w:rsidRPr="005C1983" w:rsidRDefault="005C1983" w:rsidP="005C1983">
      <w:pPr>
        <w:spacing w:line="360" w:lineRule="auto"/>
        <w:jc w:val="both"/>
        <w:rPr>
          <w:rFonts w:ascii="Arial" w:hAnsi="Arial" w:cs="Arial"/>
        </w:rPr>
      </w:pPr>
      <w:r w:rsidRPr="005C1983">
        <w:rPr>
          <w:rFonts w:ascii="Arial" w:hAnsi="Arial" w:cs="Arial"/>
        </w:rPr>
        <w:t xml:space="preserve">The tenth question indicates the efficiency of consultants in maintaining the change and as per the member, </w:t>
      </w:r>
      <w:r w:rsidRPr="00136246">
        <w:rPr>
          <w:rFonts w:ascii="Arial" w:hAnsi="Arial" w:cs="Arial"/>
          <w:i/>
          <w:iCs/>
        </w:rPr>
        <w:t>“knowledge of market requirements along with change requirements can be properly used by consultants”</w:t>
      </w:r>
      <w:r w:rsidR="00F075F9" w:rsidRPr="00F075F9">
        <w:rPr>
          <w:rFonts w:ascii="Arial" w:hAnsi="Arial" w:cs="Arial"/>
        </w:rPr>
        <w:t xml:space="preserve"> </w:t>
      </w:r>
      <w:r w:rsidR="00F075F9" w:rsidRPr="005C1983">
        <w:rPr>
          <w:rFonts w:ascii="Arial" w:hAnsi="Arial" w:cs="Arial"/>
        </w:rPr>
        <w:t>[Refers to appendix 1]</w:t>
      </w:r>
      <w:r w:rsidRPr="005C1983">
        <w:rPr>
          <w:rFonts w:ascii="Arial" w:hAnsi="Arial" w:cs="Arial"/>
        </w:rPr>
        <w:t>. Clients of different organizations help to understand the processes to improve the condition and innovation and creative ideas can be useful in achieving the scope of consultants</w:t>
      </w:r>
      <w:r w:rsidR="00F075F9">
        <w:rPr>
          <w:rFonts w:ascii="Arial" w:hAnsi="Arial" w:cs="Arial"/>
        </w:rPr>
        <w:t xml:space="preserve">. </w:t>
      </w:r>
      <w:r w:rsidRPr="005C1983">
        <w:rPr>
          <w:rFonts w:ascii="Arial" w:hAnsi="Arial" w:cs="Arial"/>
        </w:rPr>
        <w:t xml:space="preserve">As opined by Tang and Tang, (2019), a detailed understanding of change factors and implementation processes helps to improve change management. According to the current condition of organizations and requirements of workplace change, consultants can achieve the scope. </w:t>
      </w:r>
    </w:p>
    <w:p w14:paraId="05A62AC2" w14:textId="3D2E63F8" w:rsidR="005C1983" w:rsidRPr="005C1983" w:rsidRDefault="005C1983" w:rsidP="005C1983">
      <w:pPr>
        <w:spacing w:line="360" w:lineRule="auto"/>
        <w:jc w:val="both"/>
        <w:rPr>
          <w:rFonts w:ascii="Arial" w:hAnsi="Arial" w:cs="Arial"/>
        </w:rPr>
      </w:pPr>
      <w:r w:rsidRPr="005C1983">
        <w:rPr>
          <w:rFonts w:ascii="Arial" w:hAnsi="Arial" w:cs="Arial"/>
        </w:rPr>
        <w:t>The eleventh question is effective to understand the process of increasing the efficiency of consultants and as per the member, “</w:t>
      </w:r>
      <w:r w:rsidRPr="00136246">
        <w:rPr>
          <w:rFonts w:ascii="Arial" w:hAnsi="Arial" w:cs="Arial"/>
          <w:i/>
          <w:iCs/>
        </w:rPr>
        <w:t>system-specific knowledge should be present in consults to maintain the change factors of organizations in control</w:t>
      </w:r>
      <w:r w:rsidRPr="005C1983">
        <w:rPr>
          <w:rFonts w:ascii="Arial" w:hAnsi="Arial" w:cs="Arial"/>
        </w:rPr>
        <w:t>”</w:t>
      </w:r>
      <w:r w:rsidR="00F075F9" w:rsidRPr="00F075F9">
        <w:rPr>
          <w:rFonts w:ascii="Arial" w:hAnsi="Arial" w:cs="Arial"/>
        </w:rPr>
        <w:t xml:space="preserve"> </w:t>
      </w:r>
      <w:r w:rsidR="00F075F9" w:rsidRPr="005C1983">
        <w:rPr>
          <w:rFonts w:ascii="Arial" w:hAnsi="Arial" w:cs="Arial"/>
        </w:rPr>
        <w:t>[Refers to appendix 1]</w:t>
      </w:r>
      <w:r w:rsidRPr="005C1983">
        <w:rPr>
          <w:rFonts w:ascii="Arial" w:hAnsi="Arial" w:cs="Arial"/>
        </w:rPr>
        <w:t xml:space="preserve">. Experience and efficiency in maintaining organizational goals and proper knowledge can be helpful and </w:t>
      </w:r>
      <w:r w:rsidRPr="005C1983">
        <w:rPr>
          <w:rFonts w:ascii="Arial" w:hAnsi="Arial" w:cs="Arial"/>
        </w:rPr>
        <w:lastRenderedPageBreak/>
        <w:t>the way of client management should be analysed to understand the efficiency in maintaining organizational achievement</w:t>
      </w:r>
      <w:r w:rsidR="00F075F9">
        <w:rPr>
          <w:rFonts w:ascii="Arial" w:hAnsi="Arial" w:cs="Arial"/>
        </w:rPr>
        <w:t xml:space="preserve">. </w:t>
      </w:r>
      <w:r w:rsidRPr="005C1983">
        <w:rPr>
          <w:rFonts w:ascii="Arial" w:hAnsi="Arial" w:cs="Arial"/>
        </w:rPr>
        <w:t xml:space="preserve">As stated by </w:t>
      </w:r>
      <w:proofErr w:type="spellStart"/>
      <w:r w:rsidRPr="005C1983">
        <w:rPr>
          <w:rFonts w:ascii="Arial" w:hAnsi="Arial" w:cs="Arial"/>
        </w:rPr>
        <w:t>Mosonyi</w:t>
      </w:r>
      <w:proofErr w:type="spellEnd"/>
      <w:r w:rsidRPr="005C1983">
        <w:rPr>
          <w:rFonts w:ascii="Arial" w:hAnsi="Arial" w:cs="Arial"/>
        </w:rPr>
        <w:t xml:space="preserve"> et al. (2020), the work history of consultants should be analysed and according to the goals of an organization, consultants should be selected. The efficiency and experience of consultants should be analysed because they can be beneficial for organizational change. </w:t>
      </w:r>
    </w:p>
    <w:p w14:paraId="4F646395" w14:textId="181924B4" w:rsidR="005C1983" w:rsidRPr="005C1983" w:rsidRDefault="005C1983" w:rsidP="005C1983">
      <w:pPr>
        <w:spacing w:line="360" w:lineRule="auto"/>
        <w:jc w:val="both"/>
        <w:rPr>
          <w:rFonts w:ascii="Arial" w:hAnsi="Arial" w:cs="Arial"/>
        </w:rPr>
      </w:pPr>
      <w:r w:rsidRPr="005C1983">
        <w:rPr>
          <w:rFonts w:ascii="Arial" w:hAnsi="Arial" w:cs="Arial"/>
        </w:rPr>
        <w:t>The last question is to get recommendations for development and as per the member, “</w:t>
      </w:r>
      <w:r w:rsidRPr="00136246">
        <w:rPr>
          <w:rFonts w:ascii="Arial" w:hAnsi="Arial" w:cs="Arial"/>
          <w:i/>
          <w:iCs/>
        </w:rPr>
        <w:t>better examination of internal and external factors of organizations can be useful for consultants in change implementation</w:t>
      </w:r>
      <w:r w:rsidRPr="005C1983">
        <w:rPr>
          <w:rFonts w:ascii="Arial" w:hAnsi="Arial" w:cs="Arial"/>
        </w:rPr>
        <w:t>”</w:t>
      </w:r>
      <w:r w:rsidR="00F075F9" w:rsidRPr="00F075F9">
        <w:rPr>
          <w:rFonts w:ascii="Arial" w:hAnsi="Arial" w:cs="Arial"/>
        </w:rPr>
        <w:t xml:space="preserve"> </w:t>
      </w:r>
      <w:r w:rsidR="00F075F9" w:rsidRPr="005C1983">
        <w:rPr>
          <w:rFonts w:ascii="Arial" w:hAnsi="Arial" w:cs="Arial"/>
        </w:rPr>
        <w:t>[Refers to appendix 1]</w:t>
      </w:r>
      <w:r w:rsidRPr="005C1983">
        <w:rPr>
          <w:rFonts w:ascii="Arial" w:hAnsi="Arial" w:cs="Arial"/>
        </w:rPr>
        <w:t>. Proper knowledge of market requirements and the current condition of organizations should be analysed, and innovation and creative knowledge should be present in consultants for better change control</w:t>
      </w:r>
      <w:r w:rsidR="00F075F9">
        <w:rPr>
          <w:rFonts w:ascii="Arial" w:hAnsi="Arial" w:cs="Arial"/>
        </w:rPr>
        <w:t xml:space="preserve">. </w:t>
      </w:r>
      <w:r w:rsidRPr="005C1983">
        <w:rPr>
          <w:rFonts w:ascii="Arial" w:hAnsi="Arial" w:cs="Arial"/>
        </w:rPr>
        <w:t>Experience and efficiency in client management should be maintained by the consultants and the work history of consultants should be analysed before the implementation of change management. The suggested processes can be effective in maintaining the efficiency of consultants in maintaining change management in the workplace and it is beneficial for improving the condition of the post office.</w:t>
      </w:r>
    </w:p>
    <w:p w14:paraId="7E5F5D78" w14:textId="77777777" w:rsidR="005C1983" w:rsidRDefault="005C1983" w:rsidP="005C1983"/>
    <w:p w14:paraId="48498537" w14:textId="77777777" w:rsidR="00F075F9" w:rsidRDefault="00F075F9" w:rsidP="005C1983"/>
    <w:p w14:paraId="55A6036B" w14:textId="77777777" w:rsidR="00F075F9" w:rsidRDefault="00F075F9" w:rsidP="005C1983"/>
    <w:p w14:paraId="4D930C54" w14:textId="77777777" w:rsidR="00F075F9" w:rsidRDefault="00F075F9" w:rsidP="005C1983"/>
    <w:p w14:paraId="266DEF0D" w14:textId="77777777" w:rsidR="00F075F9" w:rsidRDefault="00F075F9" w:rsidP="005C1983"/>
    <w:p w14:paraId="46356403" w14:textId="77777777" w:rsidR="00F075F9" w:rsidRDefault="00F075F9" w:rsidP="005C1983"/>
    <w:p w14:paraId="11935F0A" w14:textId="77777777" w:rsidR="00F075F9" w:rsidRDefault="00F075F9" w:rsidP="005C1983"/>
    <w:p w14:paraId="0498CDE0" w14:textId="77777777" w:rsidR="00F075F9" w:rsidRDefault="00F075F9" w:rsidP="005C1983"/>
    <w:p w14:paraId="3746874A" w14:textId="77777777" w:rsidR="00F075F9" w:rsidRDefault="00F075F9" w:rsidP="005C1983"/>
    <w:p w14:paraId="3282AE80" w14:textId="77777777" w:rsidR="00F075F9" w:rsidRDefault="00F075F9" w:rsidP="005C1983"/>
    <w:p w14:paraId="2951400F" w14:textId="77777777" w:rsidR="00F075F9" w:rsidRDefault="00F075F9" w:rsidP="005C1983"/>
    <w:p w14:paraId="57C5DB0A" w14:textId="77777777" w:rsidR="00F075F9" w:rsidRDefault="00F075F9" w:rsidP="005C1983"/>
    <w:p w14:paraId="75565BD0" w14:textId="77777777" w:rsidR="00F075F9" w:rsidRDefault="00F075F9" w:rsidP="005C1983"/>
    <w:p w14:paraId="73A1037F" w14:textId="77777777" w:rsidR="00030A7D" w:rsidRPr="005C1983" w:rsidRDefault="00030A7D" w:rsidP="005C1983"/>
    <w:p w14:paraId="3E2C05E5" w14:textId="77777777" w:rsidR="00C20C63" w:rsidRPr="00C20C63" w:rsidRDefault="00C20C63" w:rsidP="00C20C63">
      <w:pPr>
        <w:rPr>
          <w:rFonts w:ascii="Arial" w:hAnsi="Arial" w:cs="Arial"/>
        </w:rPr>
      </w:pPr>
    </w:p>
    <w:p w14:paraId="0E58D621" w14:textId="294C5EB3" w:rsidR="000A27D6" w:rsidRDefault="000A27D6" w:rsidP="00F075F9">
      <w:pPr>
        <w:pStyle w:val="Heading1"/>
        <w:spacing w:line="360" w:lineRule="auto"/>
        <w:jc w:val="both"/>
        <w:rPr>
          <w:rFonts w:ascii="Arial" w:hAnsi="Arial" w:cs="Arial"/>
          <w:sz w:val="36"/>
          <w:szCs w:val="36"/>
        </w:rPr>
      </w:pPr>
      <w:bookmarkStart w:id="4" w:name="_Toc137660219"/>
      <w:bookmarkStart w:id="5" w:name="_Toc139544529"/>
      <w:r w:rsidRPr="000A27D6">
        <w:rPr>
          <w:rFonts w:ascii="Arial" w:hAnsi="Arial" w:cs="Arial"/>
          <w:sz w:val="36"/>
          <w:szCs w:val="36"/>
        </w:rPr>
        <w:lastRenderedPageBreak/>
        <w:t>Identifications of stakeholders</w:t>
      </w:r>
      <w:bookmarkEnd w:id="4"/>
      <w:bookmarkEnd w:id="5"/>
    </w:p>
    <w:p w14:paraId="6DAE60A3" w14:textId="77777777" w:rsidR="00F075F9" w:rsidRPr="00F075F9" w:rsidRDefault="00F075F9" w:rsidP="00F075F9">
      <w:pPr>
        <w:spacing w:line="360" w:lineRule="auto"/>
        <w:jc w:val="both"/>
        <w:rPr>
          <w:rFonts w:ascii="Arial" w:hAnsi="Arial" w:cs="Arial"/>
        </w:rPr>
      </w:pPr>
      <w:r w:rsidRPr="00F075F9">
        <w:rPr>
          <w:rFonts w:ascii="Arial" w:hAnsi="Arial" w:cs="Arial"/>
        </w:rPr>
        <w:t>Power interest matrix helps to maintain communication with stakeholders according to operation requirements.</w:t>
      </w:r>
    </w:p>
    <w:p w14:paraId="55BE348A" w14:textId="77777777" w:rsidR="00F075F9" w:rsidRPr="00F075F9" w:rsidRDefault="00F075F9" w:rsidP="00F075F9">
      <w:pPr>
        <w:rPr>
          <w:rFonts w:ascii="Arial" w:hAnsi="Arial" w:cs="Arial"/>
        </w:rPr>
      </w:pPr>
      <w:r w:rsidRPr="00F075F9">
        <w:rPr>
          <w:rFonts w:ascii="Arial" w:hAnsi="Arial" w:cs="Arial"/>
        </w:rPr>
        <w:t xml:space="preserve"> </w:t>
      </w:r>
    </w:p>
    <w:p w14:paraId="4623B92B" w14:textId="33A59A55" w:rsidR="00F075F9" w:rsidRPr="00F075F9" w:rsidRDefault="00F075F9" w:rsidP="00F075F9">
      <w:pPr>
        <w:rPr>
          <w:rFonts w:ascii="Arial" w:hAnsi="Arial" w:cs="Arial"/>
        </w:rPr>
      </w:pPr>
    </w:p>
    <w:p w14:paraId="67D3235A" w14:textId="1DAD32B6" w:rsidR="00994ABE" w:rsidRDefault="00834B29" w:rsidP="00994ABE">
      <w:r>
        <w:rPr>
          <w:noProof/>
        </w:rPr>
        <w:drawing>
          <wp:inline distT="0" distB="0" distL="0" distR="0" wp14:anchorId="187F3DAC" wp14:editId="700E9EDE">
            <wp:extent cx="5486400" cy="3993099"/>
            <wp:effectExtent l="0" t="0" r="0" b="7620"/>
            <wp:docPr id="21858994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F5076F3" w14:textId="77777777" w:rsidR="00AB1F6B" w:rsidRPr="00994ABE" w:rsidRDefault="00AB1F6B" w:rsidP="00994ABE"/>
    <w:p w14:paraId="473CFCB7" w14:textId="0860D741" w:rsidR="000A27D6" w:rsidRPr="00030A7D" w:rsidRDefault="00AB1F6B" w:rsidP="00AB1F6B">
      <w:pPr>
        <w:jc w:val="center"/>
        <w:rPr>
          <w:rFonts w:ascii="Arial" w:hAnsi="Arial" w:cs="Arial"/>
          <w:b/>
          <w:bCs/>
        </w:rPr>
      </w:pPr>
      <w:r w:rsidRPr="00030A7D">
        <w:rPr>
          <w:rFonts w:ascii="Arial" w:hAnsi="Arial" w:cs="Arial"/>
          <w:b/>
          <w:bCs/>
        </w:rPr>
        <w:t>Figure 1: Power- Interest</w:t>
      </w:r>
      <w:r w:rsidR="00030A7D">
        <w:rPr>
          <w:rFonts w:ascii="Arial" w:hAnsi="Arial" w:cs="Arial"/>
          <w:b/>
          <w:bCs/>
        </w:rPr>
        <w:t xml:space="preserve"> Matrix</w:t>
      </w:r>
    </w:p>
    <w:p w14:paraId="72A12CD8" w14:textId="083C9D21" w:rsidR="00F075F9" w:rsidRDefault="00F075F9" w:rsidP="00F075F9">
      <w:pPr>
        <w:spacing w:line="360" w:lineRule="auto"/>
        <w:jc w:val="both"/>
        <w:rPr>
          <w:b/>
          <w:bCs/>
        </w:rPr>
      </w:pPr>
      <w:r w:rsidRPr="00F075F9">
        <w:rPr>
          <w:rFonts w:ascii="Arial" w:hAnsi="Arial" w:cs="Arial"/>
        </w:rPr>
        <w:t>Stakeholders are important for maintaining operations in organizations and stakeholders have the authority in analysing the activities as well as the financial condition of the organization. To maintain the power of stakeholders they monitor all activities and the taken decisions should be as per the satisfaction of stakeholders. Some stakeholders like to involve with the operations, and they remain close attention to operations, and they must be keep informed for all kind of financial transactions and managemental activities (</w:t>
      </w:r>
      <w:proofErr w:type="spellStart"/>
      <w:r w:rsidRPr="00F075F9">
        <w:rPr>
          <w:rFonts w:ascii="Arial" w:hAnsi="Arial" w:cs="Arial"/>
        </w:rPr>
        <w:t>Ninan</w:t>
      </w:r>
      <w:proofErr w:type="spellEnd"/>
      <w:r w:rsidRPr="00F075F9">
        <w:rPr>
          <w:rFonts w:ascii="Arial" w:hAnsi="Arial" w:cs="Arial"/>
        </w:rPr>
        <w:t xml:space="preserve"> et al. 2019). Interest of stakeholders can be maintained by monitoring all activities and getting all information about the financial condition of organizations. To maintain power and interest of stakeholders all financial factors and operational activities of post office are monitored, and information should be provided for making proper decisions for post office development.</w:t>
      </w:r>
    </w:p>
    <w:p w14:paraId="43C1C5B6" w14:textId="77777777" w:rsidR="00AB1F6B" w:rsidRPr="00AB1F6B" w:rsidRDefault="00AB1F6B" w:rsidP="00AB1F6B">
      <w:pPr>
        <w:jc w:val="center"/>
        <w:rPr>
          <w:b/>
          <w:bCs/>
        </w:rPr>
      </w:pPr>
    </w:p>
    <w:p w14:paraId="011B5CE0" w14:textId="77777777" w:rsidR="000A27D6" w:rsidRPr="000A27D6" w:rsidRDefault="000A27D6" w:rsidP="000A27D6">
      <w:pPr>
        <w:pStyle w:val="Heading2"/>
        <w:rPr>
          <w:rFonts w:ascii="Arial" w:hAnsi="Arial" w:cs="Arial"/>
          <w:sz w:val="32"/>
          <w:szCs w:val="32"/>
        </w:rPr>
      </w:pPr>
      <w:bookmarkStart w:id="6" w:name="_Toc137660220"/>
      <w:bookmarkStart w:id="7" w:name="_Toc139544530"/>
      <w:r w:rsidRPr="000A27D6">
        <w:rPr>
          <w:rFonts w:ascii="Arial" w:hAnsi="Arial" w:cs="Arial"/>
          <w:sz w:val="32"/>
          <w:szCs w:val="32"/>
        </w:rPr>
        <w:t>Influence of internal consultants</w:t>
      </w:r>
      <w:bookmarkEnd w:id="6"/>
      <w:bookmarkEnd w:id="7"/>
      <w:r w:rsidRPr="000A27D6">
        <w:rPr>
          <w:rFonts w:ascii="Arial" w:hAnsi="Arial" w:cs="Arial"/>
          <w:sz w:val="32"/>
          <w:szCs w:val="32"/>
        </w:rPr>
        <w:t xml:space="preserve"> </w:t>
      </w:r>
    </w:p>
    <w:p w14:paraId="11C6A949" w14:textId="4923FBF1" w:rsid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 xml:space="preserve">Different types of stakeholders are present for the identification of the internal stakeholders to change agent consultants of the post office. The successful contribution will make by the internal stakeholders for the successful change initiatives for a post office. Inside the organization of the post office, the internal stakeholders have a significant role in the crucial changes for the consultants (Anh </w:t>
      </w:r>
      <w:r w:rsidRPr="000A27D6">
        <w:rPr>
          <w:rFonts w:ascii="Arial" w:hAnsi="Arial" w:cs="Arial"/>
          <w:i/>
          <w:color w:val="000000" w:themeColor="text1"/>
        </w:rPr>
        <w:t>et al.,</w:t>
      </w:r>
      <w:r w:rsidRPr="000A27D6">
        <w:rPr>
          <w:rFonts w:ascii="Arial" w:hAnsi="Arial" w:cs="Arial"/>
          <w:color w:val="000000" w:themeColor="text1"/>
        </w:rPr>
        <w:t xml:space="preserve">2021). Cross-cultural processes and internal bonding in the organization are functioned by the internal stakeholders with their influence, knowledge, and expertise. Internal stakeholders' influence on significant cross-cultural management is very necessary for the successful work output of the post office. Important roles played by the internal stakeholders in the implementation of the changes in the post office are shown below.  </w:t>
      </w:r>
    </w:p>
    <w:p w14:paraId="6CF25B1D" w14:textId="01CAA99A" w:rsidR="000A27D6" w:rsidRDefault="00F60B55" w:rsidP="000A27D6">
      <w:pPr>
        <w:spacing w:line="360" w:lineRule="auto"/>
        <w:jc w:val="both"/>
        <w:rPr>
          <w:rFonts w:ascii="Arial" w:hAnsi="Arial" w:cs="Arial"/>
          <w:color w:val="000000" w:themeColor="text1"/>
        </w:rPr>
      </w:pPr>
      <w:r w:rsidRPr="000A27D6">
        <w:rPr>
          <w:rFonts w:ascii="Arial" w:hAnsi="Arial" w:cs="Arial"/>
          <w:noProof/>
          <w:color w:val="000000" w:themeColor="text1"/>
        </w:rPr>
        <w:drawing>
          <wp:inline distT="0" distB="0" distL="0" distR="0" wp14:anchorId="56D921B5" wp14:editId="6556CA89">
            <wp:extent cx="5731510" cy="2131525"/>
            <wp:effectExtent l="19050" t="0" r="21590" b="0"/>
            <wp:docPr id="2047955171" name="Diagram 20479551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59B4888" w14:textId="34AA5065" w:rsidR="00F60B55" w:rsidRPr="00F60B55" w:rsidRDefault="00F60B55" w:rsidP="00F60B55">
      <w:pPr>
        <w:spacing w:line="360" w:lineRule="auto"/>
        <w:jc w:val="center"/>
        <w:rPr>
          <w:rFonts w:ascii="Arial" w:hAnsi="Arial" w:cs="Arial"/>
          <w:b/>
          <w:bCs/>
          <w:color w:val="000000" w:themeColor="text1"/>
        </w:rPr>
      </w:pPr>
      <w:r w:rsidRPr="000A27D6">
        <w:rPr>
          <w:rFonts w:ascii="Arial" w:hAnsi="Arial" w:cs="Arial"/>
          <w:b/>
          <w:bCs/>
          <w:color w:val="000000" w:themeColor="text1"/>
        </w:rPr>
        <w:t xml:space="preserve">Figure </w:t>
      </w:r>
      <w:r>
        <w:rPr>
          <w:rFonts w:ascii="Arial" w:hAnsi="Arial" w:cs="Arial"/>
          <w:b/>
          <w:bCs/>
          <w:color w:val="000000" w:themeColor="text1"/>
        </w:rPr>
        <w:t>2</w:t>
      </w:r>
      <w:r w:rsidRPr="000A27D6">
        <w:rPr>
          <w:rFonts w:ascii="Arial" w:hAnsi="Arial" w:cs="Arial"/>
          <w:b/>
          <w:bCs/>
          <w:color w:val="000000" w:themeColor="text1"/>
        </w:rPr>
        <w:t>: Influence of Internal Consultants</w:t>
      </w:r>
    </w:p>
    <w:p w14:paraId="2EF53553" w14:textId="77777777" w:rsidR="000A27D6" w:rsidRPr="000A27D6" w:rsidRDefault="000A27D6" w:rsidP="000A27D6">
      <w:pPr>
        <w:spacing w:line="360" w:lineRule="auto"/>
        <w:jc w:val="both"/>
        <w:rPr>
          <w:rFonts w:ascii="Arial" w:hAnsi="Arial" w:cs="Arial"/>
          <w:color w:val="000000" w:themeColor="text1"/>
        </w:rPr>
      </w:pPr>
    </w:p>
    <w:p w14:paraId="0D5919EF" w14:textId="77777777" w:rsidR="000A27D6" w:rsidRPr="000A27D6" w:rsidRDefault="000A27D6" w:rsidP="000A27D6">
      <w:pPr>
        <w:spacing w:line="360" w:lineRule="auto"/>
        <w:rPr>
          <w:rFonts w:ascii="Arial" w:hAnsi="Arial" w:cs="Arial"/>
          <w:b/>
          <w:i/>
          <w:color w:val="000000" w:themeColor="text1"/>
        </w:rPr>
      </w:pPr>
      <w:r w:rsidRPr="000A27D6">
        <w:rPr>
          <w:rFonts w:ascii="Arial" w:hAnsi="Arial" w:cs="Arial"/>
          <w:b/>
          <w:i/>
          <w:color w:val="000000" w:themeColor="text1"/>
        </w:rPr>
        <w:t xml:space="preserve">Managing the post office </w:t>
      </w:r>
    </w:p>
    <w:p w14:paraId="2E449E95" w14:textId="05B97E00"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 xml:space="preserve">Securing approval of the reform initiatives depends on connecting with post office executives. Executives and upper management oversee setting the organization's direction, allocating resources, and making tactical choices (Hervas-Oliver </w:t>
      </w:r>
      <w:r w:rsidRPr="000A27D6">
        <w:rPr>
          <w:rFonts w:ascii="Arial" w:hAnsi="Arial" w:cs="Arial"/>
          <w:i/>
          <w:color w:val="000000" w:themeColor="text1"/>
        </w:rPr>
        <w:t>et al.,</w:t>
      </w:r>
      <w:r w:rsidRPr="000A27D6">
        <w:rPr>
          <w:rFonts w:ascii="Arial" w:hAnsi="Arial" w:cs="Arial"/>
          <w:color w:val="000000" w:themeColor="text1"/>
        </w:rPr>
        <w:t>2021). One can make confident that the modification initiatives are in line with the overarching corporate goals by engaging stakeholders at the beginning of the process. In order to conquer any possible opposition to change and to gain the resources required for proper execution, go to them for advice and support.</w:t>
      </w:r>
    </w:p>
    <w:p w14:paraId="19849788"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b/>
          <w:i/>
          <w:color w:val="000000" w:themeColor="text1"/>
        </w:rPr>
        <w:t>Departmental Heads</w:t>
      </w:r>
    </w:p>
    <w:p w14:paraId="0EB5ECA0" w14:textId="55FC0953"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 xml:space="preserve">Considering the needs, difficulties, and views of each department requires close cooperation with the leaders of the numerous divisions within the assigned office. In their specialized fields, </w:t>
      </w:r>
      <w:r w:rsidRPr="000A27D6">
        <w:rPr>
          <w:rFonts w:ascii="Arial" w:hAnsi="Arial" w:cs="Arial"/>
          <w:color w:val="000000" w:themeColor="text1"/>
        </w:rPr>
        <w:lastRenderedPageBreak/>
        <w:t>they can offer insightful information about operational issues, client needs, and staff concerns (</w:t>
      </w:r>
      <w:proofErr w:type="spellStart"/>
      <w:r w:rsidRPr="000A27D6">
        <w:rPr>
          <w:rFonts w:ascii="Arial" w:hAnsi="Arial" w:cs="Arial"/>
          <w:color w:val="000000" w:themeColor="text1"/>
        </w:rPr>
        <w:t>Egfjord</w:t>
      </w:r>
      <w:proofErr w:type="spellEnd"/>
      <w:r w:rsidRPr="000A27D6">
        <w:rPr>
          <w:rFonts w:ascii="Arial" w:hAnsi="Arial" w:cs="Arial"/>
          <w:color w:val="000000" w:themeColor="text1"/>
        </w:rPr>
        <w:t xml:space="preserve"> </w:t>
      </w:r>
      <w:r w:rsidRPr="000A27D6">
        <w:rPr>
          <w:rFonts w:ascii="Arial" w:hAnsi="Arial" w:cs="Arial"/>
          <w:i/>
          <w:color w:val="000000" w:themeColor="text1"/>
        </w:rPr>
        <w:t>et al.,</w:t>
      </w:r>
      <w:r w:rsidRPr="000A27D6">
        <w:rPr>
          <w:rFonts w:ascii="Arial" w:hAnsi="Arial" w:cs="Arial"/>
          <w:color w:val="000000" w:themeColor="text1"/>
        </w:rPr>
        <w:t xml:space="preserve">2020). Heads of departments might be included as in-house consultants to foster an environment of involvement and guarantee that the transformation efforts consider the unique needs of the various departments. The heads of departments can provide valuable information concerning operational issues, client requirements, and issues facing employees within the departments they supervise since they have a comprehensive awareness of their </w:t>
      </w:r>
      <w:r w:rsidR="00B86B82" w:rsidRPr="000A27D6">
        <w:rPr>
          <w:rFonts w:ascii="Arial" w:hAnsi="Arial" w:cs="Arial"/>
          <w:color w:val="000000" w:themeColor="text1"/>
        </w:rPr>
        <w:t>areas</w:t>
      </w:r>
      <w:r w:rsidRPr="000A27D6">
        <w:rPr>
          <w:rFonts w:ascii="Arial" w:hAnsi="Arial" w:cs="Arial"/>
          <w:color w:val="000000" w:themeColor="text1"/>
        </w:rPr>
        <w:t xml:space="preserve"> of responsibility (</w:t>
      </w:r>
      <w:proofErr w:type="spellStart"/>
      <w:r w:rsidRPr="000A27D6">
        <w:rPr>
          <w:rFonts w:ascii="Arial" w:hAnsi="Arial" w:cs="Arial"/>
          <w:color w:val="000000" w:themeColor="text1"/>
        </w:rPr>
        <w:t>Klos</w:t>
      </w:r>
      <w:proofErr w:type="spellEnd"/>
      <w:r w:rsidRPr="000A27D6">
        <w:rPr>
          <w:rFonts w:ascii="Arial" w:hAnsi="Arial" w:cs="Arial"/>
          <w:color w:val="000000" w:themeColor="text1"/>
        </w:rPr>
        <w:t xml:space="preserve"> </w:t>
      </w:r>
      <w:r w:rsidRPr="000A27D6">
        <w:rPr>
          <w:rFonts w:ascii="Arial" w:hAnsi="Arial" w:cs="Arial"/>
          <w:i/>
          <w:color w:val="000000" w:themeColor="text1"/>
        </w:rPr>
        <w:t>et al.,</w:t>
      </w:r>
      <w:r w:rsidRPr="000A27D6">
        <w:rPr>
          <w:rFonts w:ascii="Arial" w:hAnsi="Arial" w:cs="Arial"/>
          <w:color w:val="000000" w:themeColor="text1"/>
        </w:rPr>
        <w:t xml:space="preserve">2021). One can specifically target initiatives to change to meet the demands of every division by hiring them as consultants within the organization. Professionals can serve as the departmental change process' driving force and serve as supporters of change within their own organizations. </w:t>
      </w:r>
    </w:p>
    <w:p w14:paraId="74437865"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b/>
          <w:i/>
          <w:color w:val="000000" w:themeColor="text1"/>
        </w:rPr>
        <w:t xml:space="preserve">Concerning of employees </w:t>
      </w:r>
    </w:p>
    <w:p w14:paraId="5B6EC113" w14:textId="77777777"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Individuals on the cutting edge and those who support them, such as union officials, are crucial participants and ought to play an active role in the process of change. Employee backing and commitment are essential for successful execution because they have a plethora of expertise and experience (</w:t>
      </w:r>
      <w:proofErr w:type="spellStart"/>
      <w:r w:rsidRPr="000A27D6">
        <w:rPr>
          <w:rFonts w:ascii="Arial" w:hAnsi="Arial" w:cs="Arial"/>
          <w:color w:val="000000" w:themeColor="text1"/>
        </w:rPr>
        <w:t>Aureli</w:t>
      </w:r>
      <w:proofErr w:type="spellEnd"/>
      <w:r w:rsidRPr="000A27D6">
        <w:rPr>
          <w:rFonts w:ascii="Arial" w:hAnsi="Arial" w:cs="Arial"/>
          <w:color w:val="000000" w:themeColor="text1"/>
        </w:rPr>
        <w:t xml:space="preserve"> </w:t>
      </w:r>
      <w:r w:rsidRPr="000A27D6">
        <w:rPr>
          <w:rFonts w:ascii="Arial" w:hAnsi="Arial" w:cs="Arial"/>
          <w:i/>
          <w:color w:val="000000" w:themeColor="text1"/>
        </w:rPr>
        <w:t>et al.,</w:t>
      </w:r>
      <w:r w:rsidRPr="000A27D6">
        <w:rPr>
          <w:rFonts w:ascii="Arial" w:hAnsi="Arial" w:cs="Arial"/>
          <w:color w:val="000000" w:themeColor="text1"/>
        </w:rPr>
        <w:t xml:space="preserve">2020). Engage them from the beginning, pay attention to their worries, and include them in the process of making decisions. One can win the trust of stakeholders, meet the demands of stakeholders, and lessen opposition against change by involving unions as well as staff members as internal advisors. </w:t>
      </w:r>
    </w:p>
    <w:p w14:paraId="42F1DA3B"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b/>
          <w:i/>
          <w:color w:val="000000" w:themeColor="text1"/>
        </w:rPr>
        <w:t xml:space="preserve">Human Resource Management </w:t>
      </w:r>
    </w:p>
    <w:p w14:paraId="534DEB97" w14:textId="77777777"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 xml:space="preserve">A key component of change management initiatives is the Personnel Services (HR) division. They can offer invaluable experience in fields including performance administration, engagement among workers, designing organizations, and instruction &amp; advancement (Banka </w:t>
      </w:r>
      <w:r w:rsidRPr="000A27D6">
        <w:rPr>
          <w:rFonts w:ascii="Arial" w:hAnsi="Arial" w:cs="Arial"/>
          <w:i/>
          <w:color w:val="000000" w:themeColor="text1"/>
        </w:rPr>
        <w:t>et al.,</w:t>
      </w:r>
      <w:r w:rsidRPr="000A27D6">
        <w:rPr>
          <w:rFonts w:ascii="Arial" w:hAnsi="Arial" w:cs="Arial"/>
          <w:color w:val="000000" w:themeColor="text1"/>
        </w:rPr>
        <w:t>2022). Assess the effects of changes on individuals and provide them with support during the transition by working with HR specialists as internal advisors in order to create and execute strategies for managing change (</w:t>
      </w:r>
      <w:proofErr w:type="spellStart"/>
      <w:r w:rsidRPr="000A27D6">
        <w:rPr>
          <w:rFonts w:ascii="Arial" w:hAnsi="Arial" w:cs="Arial"/>
          <w:color w:val="000000" w:themeColor="text1"/>
        </w:rPr>
        <w:t>Ancillo</w:t>
      </w:r>
      <w:proofErr w:type="spellEnd"/>
      <w:r w:rsidRPr="000A27D6">
        <w:rPr>
          <w:rFonts w:ascii="Arial" w:hAnsi="Arial" w:cs="Arial"/>
          <w:color w:val="000000" w:themeColor="text1"/>
        </w:rPr>
        <w:t xml:space="preserve"> </w:t>
      </w:r>
      <w:r w:rsidRPr="000A27D6">
        <w:rPr>
          <w:rFonts w:ascii="Arial" w:hAnsi="Arial" w:cs="Arial"/>
          <w:i/>
          <w:color w:val="000000" w:themeColor="text1"/>
        </w:rPr>
        <w:t>et al.,</w:t>
      </w:r>
      <w:r w:rsidRPr="000A27D6">
        <w:rPr>
          <w:rFonts w:ascii="Arial" w:hAnsi="Arial" w:cs="Arial"/>
          <w:color w:val="000000" w:themeColor="text1"/>
        </w:rPr>
        <w:t xml:space="preserve">2021). In order to give employees, the skills and information they need for the new procedures or technology, HR can also help plan and implement education initiatives. </w:t>
      </w:r>
    </w:p>
    <w:p w14:paraId="6F53D7BE"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b/>
          <w:i/>
          <w:color w:val="000000" w:themeColor="text1"/>
        </w:rPr>
        <w:t>Department of Information Technology</w:t>
      </w:r>
    </w:p>
    <w:p w14:paraId="7E8896B2"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color w:val="000000" w:themeColor="text1"/>
        </w:rPr>
        <w:t xml:space="preserve">The computer department is an essential organizational adviser for fostering change given the growing importance of technology in contemporary enterprises. They can examine the state of technology, spot chances for automated procedures or electronic records, and make confident that any technological advancements are in line with the business's overarching aims and objectives (Hameed </w:t>
      </w:r>
      <w:r w:rsidRPr="000A27D6">
        <w:rPr>
          <w:rFonts w:ascii="Arial" w:hAnsi="Arial" w:cs="Arial"/>
          <w:i/>
          <w:color w:val="000000" w:themeColor="text1"/>
        </w:rPr>
        <w:t>et al.,</w:t>
      </w:r>
      <w:r w:rsidRPr="000A27D6">
        <w:rPr>
          <w:rFonts w:ascii="Arial" w:hAnsi="Arial" w:cs="Arial"/>
          <w:color w:val="000000" w:themeColor="text1"/>
        </w:rPr>
        <w:t xml:space="preserve">2021). It is ensured that adjustments to technological </w:t>
      </w:r>
      <w:r w:rsidRPr="000A27D6">
        <w:rPr>
          <w:rFonts w:ascii="Arial" w:hAnsi="Arial" w:cs="Arial"/>
          <w:color w:val="000000" w:themeColor="text1"/>
        </w:rPr>
        <w:lastRenderedPageBreak/>
        <w:t>infrastructure, applications, or projects for digital evolution are comprehensive and in line with the needs of the post office by using the Information Technology (IT) team as internal experts.</w:t>
      </w:r>
      <w:r w:rsidRPr="000A27D6">
        <w:rPr>
          <w:rFonts w:ascii="Arial" w:hAnsi="Arial" w:cs="Arial"/>
          <w:b/>
          <w:i/>
          <w:color w:val="000000" w:themeColor="text1"/>
        </w:rPr>
        <w:t xml:space="preserve"> </w:t>
      </w:r>
    </w:p>
    <w:p w14:paraId="590A2279" w14:textId="77777777" w:rsidR="000A27D6" w:rsidRPr="000A27D6" w:rsidRDefault="000A27D6" w:rsidP="000A27D6">
      <w:pPr>
        <w:spacing w:line="360" w:lineRule="auto"/>
        <w:jc w:val="both"/>
        <w:rPr>
          <w:rFonts w:ascii="Arial" w:hAnsi="Arial" w:cs="Arial"/>
          <w:b/>
          <w:i/>
          <w:color w:val="000000" w:themeColor="text1"/>
        </w:rPr>
      </w:pPr>
    </w:p>
    <w:p w14:paraId="74D966E0"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b/>
          <w:i/>
          <w:color w:val="000000" w:themeColor="text1"/>
        </w:rPr>
        <w:t xml:space="preserve">Staff operation </w:t>
      </w:r>
    </w:p>
    <w:p w14:paraId="534CA74B" w14:textId="77777777"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As employees have invaluable knowledge of everyday activities and the difficulties associated with providing postal services, functional employees must be brought on as internal consultants. By including them as part of the modification management, one can benefit from their knowledge and make sure that any suggested changes are realistic and useful. Additionally, operational personnel can be quite helpful in testing out new procedures, offering feedback, and acting as change agents within their respective groups.</w:t>
      </w:r>
    </w:p>
    <w:p w14:paraId="3EBAD544"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b/>
          <w:i/>
          <w:color w:val="000000" w:themeColor="text1"/>
        </w:rPr>
        <w:t xml:space="preserve">Financial and budget management </w:t>
      </w:r>
    </w:p>
    <w:p w14:paraId="2094768F" w14:textId="77777777"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The accounting department's involvement as consultants within the organization is essential for gaining the necessary funds for change efforts, which frequently demand financial resources. Finance experts can undertake cost-benefit assessments, assess the monetary consequences of suggested changes, and offer perspectives on budgetary restrictions (</w:t>
      </w:r>
      <w:proofErr w:type="spellStart"/>
      <w:r w:rsidRPr="000A27D6">
        <w:rPr>
          <w:rFonts w:ascii="Arial" w:hAnsi="Arial" w:cs="Arial"/>
          <w:color w:val="000000" w:themeColor="text1"/>
        </w:rPr>
        <w:t>Polinkevych</w:t>
      </w:r>
      <w:proofErr w:type="spellEnd"/>
      <w:r w:rsidRPr="000A27D6">
        <w:rPr>
          <w:rFonts w:ascii="Arial" w:hAnsi="Arial" w:cs="Arial"/>
          <w:color w:val="000000" w:themeColor="text1"/>
        </w:rPr>
        <w:t xml:space="preserve"> </w:t>
      </w:r>
      <w:r w:rsidRPr="000A27D6">
        <w:rPr>
          <w:rFonts w:ascii="Arial" w:hAnsi="Arial" w:cs="Arial"/>
          <w:i/>
          <w:color w:val="000000" w:themeColor="text1"/>
        </w:rPr>
        <w:t xml:space="preserve">et al., </w:t>
      </w:r>
      <w:r w:rsidRPr="000A27D6">
        <w:rPr>
          <w:rFonts w:ascii="Arial" w:hAnsi="Arial" w:cs="Arial"/>
          <w:color w:val="000000" w:themeColor="text1"/>
        </w:rPr>
        <w:t>2021). One can make sure that the transformation efforts are financially viable and in line with the budget and financial objectives of the post office by hiring the finance team as outside experts.</w:t>
      </w:r>
    </w:p>
    <w:p w14:paraId="7A951227"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b/>
          <w:i/>
          <w:color w:val="000000" w:themeColor="text1"/>
        </w:rPr>
        <w:t xml:space="preserve">Quality management </w:t>
      </w:r>
    </w:p>
    <w:p w14:paraId="43E669F0" w14:textId="77777777"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If a postal service has a quality assurance division, using these individuals as internal experts can help drive change by upholding industry standards and streamlining processes (</w:t>
      </w:r>
      <w:proofErr w:type="spellStart"/>
      <w:r w:rsidRPr="000A27D6">
        <w:rPr>
          <w:rFonts w:ascii="Arial" w:hAnsi="Arial" w:cs="Arial"/>
          <w:color w:val="000000" w:themeColor="text1"/>
        </w:rPr>
        <w:t>Casalino</w:t>
      </w:r>
      <w:proofErr w:type="spellEnd"/>
      <w:r w:rsidRPr="000A27D6">
        <w:rPr>
          <w:rFonts w:ascii="Arial" w:hAnsi="Arial" w:cs="Arial"/>
          <w:color w:val="000000" w:themeColor="text1"/>
        </w:rPr>
        <w:t xml:space="preserve"> </w:t>
      </w:r>
      <w:r w:rsidRPr="000A27D6">
        <w:rPr>
          <w:rFonts w:ascii="Arial" w:hAnsi="Arial" w:cs="Arial"/>
          <w:i/>
          <w:color w:val="000000" w:themeColor="text1"/>
        </w:rPr>
        <w:t xml:space="preserve">et al., </w:t>
      </w:r>
      <w:r w:rsidRPr="000A27D6">
        <w:rPr>
          <w:rFonts w:ascii="Arial" w:hAnsi="Arial" w:cs="Arial"/>
          <w:color w:val="000000" w:themeColor="text1"/>
        </w:rPr>
        <w:t xml:space="preserve">2019). Specialists in the assurance of quality can evaluate current procedures, pinpoint areas for enhancement, and make sure that any modifications are compliant with legal standards as well as business best practices. Their participation improves the general level of the assigned office's activities and products. </w:t>
      </w:r>
    </w:p>
    <w:p w14:paraId="797AFB1E" w14:textId="6D7691E0"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The identification of the different stages of stakeholders will be ranked based on the project's name and contribution. The identification process of the stakeholders helps to analyse according to the demand and weight of the change agent consultant. The action of the post office is totally influenced by the weight of the stakeholders and the balanced activity among the employees of the post office strongly depends on the weight of the stakeholders also (</w:t>
      </w:r>
      <w:proofErr w:type="spellStart"/>
      <w:r w:rsidRPr="000A27D6">
        <w:rPr>
          <w:rFonts w:ascii="Arial" w:hAnsi="Arial" w:cs="Arial"/>
          <w:color w:val="000000" w:themeColor="text1"/>
        </w:rPr>
        <w:t>Cichosz</w:t>
      </w:r>
      <w:proofErr w:type="spellEnd"/>
      <w:r w:rsidRPr="000A27D6">
        <w:rPr>
          <w:rFonts w:ascii="Arial" w:hAnsi="Arial" w:cs="Arial"/>
          <w:color w:val="000000" w:themeColor="text1"/>
        </w:rPr>
        <w:t xml:space="preserve"> </w:t>
      </w:r>
      <w:r w:rsidRPr="000A27D6">
        <w:rPr>
          <w:rFonts w:ascii="Arial" w:hAnsi="Arial" w:cs="Arial"/>
          <w:i/>
          <w:color w:val="000000" w:themeColor="text1"/>
        </w:rPr>
        <w:t xml:space="preserve">et al., </w:t>
      </w:r>
      <w:r w:rsidRPr="000A27D6">
        <w:rPr>
          <w:rFonts w:ascii="Arial" w:hAnsi="Arial" w:cs="Arial"/>
          <w:color w:val="000000" w:themeColor="text1"/>
        </w:rPr>
        <w:t xml:space="preserve">2020). Management of change agent consultants has a central part in the management of stakeholders. Operational analysis of business relied on the ability to handle </w:t>
      </w:r>
      <w:r w:rsidRPr="000A27D6">
        <w:rPr>
          <w:rFonts w:ascii="Arial" w:hAnsi="Arial" w:cs="Arial"/>
          <w:color w:val="000000" w:themeColor="text1"/>
        </w:rPr>
        <w:lastRenderedPageBreak/>
        <w:t xml:space="preserve">the internal stakeholders. When the internal stakeholders work in a group the change agent consultant of a post office will develop in a significant manner. </w:t>
      </w:r>
    </w:p>
    <w:p w14:paraId="7E00B36B" w14:textId="0422027C" w:rsidR="000A27D6" w:rsidRPr="000A27D6" w:rsidRDefault="000A27D6" w:rsidP="000A27D6">
      <w:pPr>
        <w:spacing w:line="360" w:lineRule="auto"/>
        <w:jc w:val="both"/>
        <w:rPr>
          <w:rFonts w:ascii="Arial" w:hAnsi="Arial" w:cs="Arial"/>
          <w:color w:val="000000" w:themeColor="text1"/>
        </w:rPr>
      </w:pPr>
    </w:p>
    <w:p w14:paraId="5EB52148" w14:textId="77777777" w:rsidR="003F0823" w:rsidRPr="000A27D6" w:rsidRDefault="003F0823" w:rsidP="000A27D6">
      <w:pPr>
        <w:spacing w:line="360" w:lineRule="auto"/>
        <w:jc w:val="center"/>
        <w:rPr>
          <w:rFonts w:ascii="Arial" w:hAnsi="Arial" w:cs="Arial"/>
          <w:color w:val="000000" w:themeColor="text1"/>
        </w:rPr>
      </w:pPr>
    </w:p>
    <w:p w14:paraId="525CE43B" w14:textId="77777777" w:rsidR="000A27D6" w:rsidRPr="000A27D6" w:rsidRDefault="000A27D6" w:rsidP="000A27D6">
      <w:pPr>
        <w:pStyle w:val="Heading2"/>
        <w:rPr>
          <w:rFonts w:ascii="Arial" w:hAnsi="Arial" w:cs="Arial"/>
          <w:sz w:val="32"/>
          <w:szCs w:val="32"/>
        </w:rPr>
      </w:pPr>
      <w:bookmarkStart w:id="8" w:name="_Toc137660221"/>
      <w:bookmarkStart w:id="9" w:name="_Toc139544531"/>
      <w:r w:rsidRPr="000A27D6">
        <w:rPr>
          <w:rFonts w:ascii="Arial" w:hAnsi="Arial" w:cs="Arial"/>
          <w:sz w:val="32"/>
          <w:szCs w:val="32"/>
        </w:rPr>
        <w:t>Influence of external consultants</w:t>
      </w:r>
      <w:bookmarkEnd w:id="8"/>
      <w:bookmarkEnd w:id="9"/>
      <w:r w:rsidRPr="000A27D6">
        <w:rPr>
          <w:rFonts w:ascii="Arial" w:hAnsi="Arial" w:cs="Arial"/>
          <w:sz w:val="32"/>
          <w:szCs w:val="32"/>
        </w:rPr>
        <w:t xml:space="preserve"> </w:t>
      </w:r>
    </w:p>
    <w:p w14:paraId="50AC8D4A" w14:textId="6BBC1F3B" w:rsid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 xml:space="preserve">The changes will be successful with the key role of the external stakeholders besides the internal stakeholders. External consultants with knowledge and expertise in the domain sector have a significant role in the enhancement of the business role of the post office (Jewell </w:t>
      </w:r>
      <w:r w:rsidRPr="000A27D6">
        <w:rPr>
          <w:rFonts w:ascii="Arial" w:hAnsi="Arial" w:cs="Arial"/>
          <w:i/>
          <w:color w:val="000000" w:themeColor="text1"/>
        </w:rPr>
        <w:t>et al.,</w:t>
      </w:r>
      <w:r w:rsidRPr="000A27D6">
        <w:rPr>
          <w:rFonts w:ascii="Arial" w:hAnsi="Arial" w:cs="Arial"/>
          <w:color w:val="000000" w:themeColor="text1"/>
        </w:rPr>
        <w:t xml:space="preserve">2022). The process of change agent management will be supported by the external stakeholders with a together role. Contribution to the changing role of the post office consists of the participation of external consultants as well as the participation of internal consultants. Change initiatives of a post office functioned with the role of external consultants and the roles are described below. </w:t>
      </w:r>
    </w:p>
    <w:p w14:paraId="618B19F1" w14:textId="1872B7B9" w:rsidR="00F60B55" w:rsidRDefault="00F60B55" w:rsidP="000A27D6">
      <w:pPr>
        <w:spacing w:line="360" w:lineRule="auto"/>
        <w:jc w:val="both"/>
        <w:rPr>
          <w:rFonts w:ascii="Arial" w:hAnsi="Arial" w:cs="Arial"/>
          <w:color w:val="000000" w:themeColor="text1"/>
        </w:rPr>
      </w:pPr>
      <w:r w:rsidRPr="000A27D6">
        <w:rPr>
          <w:rFonts w:ascii="Arial" w:hAnsi="Arial" w:cs="Arial"/>
          <w:noProof/>
          <w:color w:val="000000" w:themeColor="text1"/>
        </w:rPr>
        <w:drawing>
          <wp:inline distT="0" distB="0" distL="0" distR="0" wp14:anchorId="03FEE630" wp14:editId="0271BBF7">
            <wp:extent cx="5731510" cy="2841020"/>
            <wp:effectExtent l="0" t="0" r="254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F5109FF" w14:textId="05406767" w:rsidR="00F60B55" w:rsidRPr="00F60B55" w:rsidRDefault="00F60B55" w:rsidP="00F60B55">
      <w:pPr>
        <w:spacing w:line="360" w:lineRule="auto"/>
        <w:jc w:val="center"/>
        <w:rPr>
          <w:rFonts w:ascii="Arial" w:hAnsi="Arial" w:cs="Arial"/>
          <w:b/>
          <w:bCs/>
          <w:color w:val="000000" w:themeColor="text1"/>
        </w:rPr>
      </w:pPr>
      <w:r w:rsidRPr="000A27D6">
        <w:rPr>
          <w:rFonts w:ascii="Arial" w:hAnsi="Arial" w:cs="Arial"/>
          <w:b/>
          <w:bCs/>
          <w:color w:val="000000" w:themeColor="text1"/>
        </w:rPr>
        <w:t xml:space="preserve">Figure </w:t>
      </w:r>
      <w:r>
        <w:rPr>
          <w:rFonts w:ascii="Arial" w:hAnsi="Arial" w:cs="Arial"/>
          <w:b/>
          <w:bCs/>
          <w:color w:val="000000" w:themeColor="text1"/>
        </w:rPr>
        <w:t>3</w:t>
      </w:r>
      <w:r w:rsidRPr="000A27D6">
        <w:rPr>
          <w:rFonts w:ascii="Arial" w:hAnsi="Arial" w:cs="Arial"/>
          <w:b/>
          <w:bCs/>
          <w:color w:val="000000" w:themeColor="text1"/>
        </w:rPr>
        <w:t>: Influence of External Consultants</w:t>
      </w:r>
    </w:p>
    <w:p w14:paraId="07F4C366" w14:textId="77777777" w:rsidR="00F60B55" w:rsidRPr="000A27D6" w:rsidRDefault="00F60B55" w:rsidP="000A27D6">
      <w:pPr>
        <w:spacing w:line="360" w:lineRule="auto"/>
        <w:jc w:val="both"/>
        <w:rPr>
          <w:rFonts w:ascii="Arial" w:hAnsi="Arial" w:cs="Arial"/>
          <w:color w:val="000000" w:themeColor="text1"/>
        </w:rPr>
      </w:pPr>
    </w:p>
    <w:p w14:paraId="06B53244"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b/>
          <w:i/>
          <w:color w:val="000000" w:themeColor="text1"/>
        </w:rPr>
        <w:t xml:space="preserve">Consultancy of changing management </w:t>
      </w:r>
    </w:p>
    <w:p w14:paraId="70562122" w14:textId="77777777"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 xml:space="preserve">Transformation consulting companies are experts at assisting businesses with the process of transformation. They bring knowledge of processes, equipment, and tactics for handling changes (Guo </w:t>
      </w:r>
      <w:r w:rsidRPr="000A27D6">
        <w:rPr>
          <w:rFonts w:ascii="Arial" w:hAnsi="Arial" w:cs="Arial"/>
          <w:i/>
          <w:color w:val="000000" w:themeColor="text1"/>
        </w:rPr>
        <w:t>et al.,</w:t>
      </w:r>
      <w:r w:rsidRPr="000A27D6">
        <w:rPr>
          <w:rFonts w:ascii="Arial" w:hAnsi="Arial" w:cs="Arial"/>
          <w:color w:val="000000" w:themeColor="text1"/>
        </w:rPr>
        <w:t xml:space="preserve">2019). The post office may construct and carry out efficient change plans, evaluate the effects on personnel, create communication strategies, and lessen resistance by hiring management of change consultants. These experts can offer guidelines and efficient </w:t>
      </w:r>
      <w:r w:rsidRPr="000A27D6">
        <w:rPr>
          <w:rFonts w:ascii="Arial" w:hAnsi="Arial" w:cs="Arial"/>
          <w:color w:val="000000" w:themeColor="text1"/>
        </w:rPr>
        <w:lastRenderedPageBreak/>
        <w:t>methods to guarantee seamless transitions and increase the likelihood that the post office's transformation projects will be successful (</w:t>
      </w:r>
      <w:proofErr w:type="spellStart"/>
      <w:r w:rsidRPr="000A27D6">
        <w:rPr>
          <w:rFonts w:ascii="Arial" w:hAnsi="Arial" w:cs="Arial"/>
          <w:color w:val="000000" w:themeColor="text1"/>
        </w:rPr>
        <w:t>Weaven</w:t>
      </w:r>
      <w:proofErr w:type="spellEnd"/>
      <w:r w:rsidRPr="000A27D6">
        <w:rPr>
          <w:rFonts w:ascii="Arial" w:hAnsi="Arial" w:cs="Arial"/>
          <w:color w:val="000000" w:themeColor="text1"/>
        </w:rPr>
        <w:t xml:space="preserve"> </w:t>
      </w:r>
      <w:r w:rsidRPr="000A27D6">
        <w:rPr>
          <w:rFonts w:ascii="Arial" w:hAnsi="Arial" w:cs="Arial"/>
          <w:i/>
          <w:color w:val="000000" w:themeColor="text1"/>
        </w:rPr>
        <w:t>et al.,</w:t>
      </w:r>
      <w:r w:rsidRPr="000A27D6">
        <w:rPr>
          <w:rFonts w:ascii="Arial" w:hAnsi="Arial" w:cs="Arial"/>
          <w:color w:val="000000" w:themeColor="text1"/>
        </w:rPr>
        <w:t xml:space="preserve">2021). Implementations of the changes are based on the performance of the employees and the changes in the mindset of the employees. </w:t>
      </w:r>
    </w:p>
    <w:p w14:paraId="33420BAA"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b/>
          <w:i/>
          <w:color w:val="000000" w:themeColor="text1"/>
        </w:rPr>
        <w:t xml:space="preserve">Improvement in the consultancy process </w:t>
      </w:r>
    </w:p>
    <w:p w14:paraId="07C64B68" w14:textId="77777777"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 xml:space="preserve">Process analysis and optimization are the main areas of concentration for advisors in the improvement of processes. The post office can use them to help them find operational processes obstacles, inefficiencies, and opportunities for improvement. Process optimization specialists employ methods like Agile or Six Sigma in order to improve processes, save waste, and boost production. The postal system can find chances for the optimization of procedures to reduce costs while enhancing quality and providing better customer service. Reduction of some waste and production will be developed by the management of workers that are controlled by the external consultants in the change agent of the post office. </w:t>
      </w:r>
    </w:p>
    <w:p w14:paraId="5D4795AB"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b/>
          <w:i/>
          <w:color w:val="000000" w:themeColor="text1"/>
        </w:rPr>
        <w:t xml:space="preserve">Consulting about technology </w:t>
      </w:r>
    </w:p>
    <w:p w14:paraId="1E45A680" w14:textId="49034E9B"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Consulting technicians are experts at evaluating and implementing technological solutions that are in line with the goals of an organization. Technology consultants can offer perspectives on the most recent developments, resources, and systems pertinent to the postal sector to a post office (</w:t>
      </w:r>
      <w:proofErr w:type="spellStart"/>
      <w:r w:rsidRPr="000A27D6">
        <w:rPr>
          <w:rFonts w:ascii="Arial" w:hAnsi="Arial" w:cs="Arial"/>
          <w:color w:val="000000" w:themeColor="text1"/>
        </w:rPr>
        <w:t>Ivančić</w:t>
      </w:r>
      <w:proofErr w:type="spellEnd"/>
      <w:r w:rsidRPr="000A27D6">
        <w:rPr>
          <w:rFonts w:ascii="Arial" w:hAnsi="Arial" w:cs="Arial"/>
          <w:color w:val="000000" w:themeColor="text1"/>
        </w:rPr>
        <w:t xml:space="preserve"> </w:t>
      </w:r>
      <w:r w:rsidRPr="000A27D6">
        <w:rPr>
          <w:rFonts w:ascii="Arial" w:hAnsi="Arial" w:cs="Arial"/>
          <w:i/>
          <w:color w:val="000000" w:themeColor="text1"/>
        </w:rPr>
        <w:t>et al.,</w:t>
      </w:r>
      <w:r w:rsidRPr="000A27D6">
        <w:rPr>
          <w:rFonts w:ascii="Arial" w:hAnsi="Arial" w:cs="Arial"/>
          <w:color w:val="000000" w:themeColor="text1"/>
        </w:rPr>
        <w:t>2019). Professionals can aid in the evaluation of the post office's technological infrastructure, the suggestion of upgrades or replacements, and the implementation of new technologies like computerized sorting, tracking, or CRM (customer relationship management) software. Changes in technology must grant by the employees according to the changes of the world. The external consultant helps to encourage for taking the changes in technology to improve the business of the post office for changing purposes.</w:t>
      </w:r>
    </w:p>
    <w:p w14:paraId="71114D1F"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b/>
          <w:i/>
          <w:color w:val="000000" w:themeColor="text1"/>
        </w:rPr>
        <w:t xml:space="preserve">Regulatory consultant </w:t>
      </w:r>
    </w:p>
    <w:p w14:paraId="3FC8892F" w14:textId="77777777"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 xml:space="preserve">Various laws and standards must be followed by post offices, especially in relation to mail handling, security, and data protection. Legislative as well as regulatory specialists specialize in helping businesses navigate complex regulatory environments and ensure they are compliant with the law. By hiring these consultants, the postal system can examine its adherence status, find any gaps, and create plans to satisfy regulatory requirements (Elia </w:t>
      </w:r>
      <w:r w:rsidRPr="000A27D6">
        <w:rPr>
          <w:rFonts w:ascii="Arial" w:hAnsi="Arial" w:cs="Arial"/>
          <w:i/>
          <w:color w:val="000000" w:themeColor="text1"/>
        </w:rPr>
        <w:t>et al.,</w:t>
      </w:r>
      <w:r w:rsidRPr="000A27D6">
        <w:rPr>
          <w:rFonts w:ascii="Arial" w:hAnsi="Arial" w:cs="Arial"/>
          <w:color w:val="000000" w:themeColor="text1"/>
        </w:rPr>
        <w:t xml:space="preserve">2020). In order to maintain customer confidence and adhere to industry standards, they can also offer advice on the best methods regarding safeguarding data, the safety of information, and privacy. The security system of the information stored in the devices of the post office is very important for the security system of public data so that the privacy system improvement is functioned by the external consultants. </w:t>
      </w:r>
    </w:p>
    <w:p w14:paraId="0B43B1B6"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b/>
          <w:i/>
          <w:color w:val="000000" w:themeColor="text1"/>
        </w:rPr>
        <w:lastRenderedPageBreak/>
        <w:t xml:space="preserve">Improvement in customer experience </w:t>
      </w:r>
    </w:p>
    <w:p w14:paraId="3F053A3B" w14:textId="77777777"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 xml:space="preserve">The main goal of customer experience consultants is to improve overall customer happiness and the customer journey. They can use inquiries, polls, and information analysis to assist the postal system in better understanding the requirements, preferences, and problems of its customers. These consultants can help with developing approaches to increase client retention and engagement as well as designing procedures that are focused on the needs of the customer. A postal service can develop a culture that is focused on the needs of its customers and increase their loyalty by hiring and interacting with clients and consultants. </w:t>
      </w:r>
    </w:p>
    <w:p w14:paraId="4697BC3B"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b/>
          <w:i/>
          <w:color w:val="000000" w:themeColor="text1"/>
        </w:rPr>
        <w:t xml:space="preserve">Development consultants </w:t>
      </w:r>
    </w:p>
    <w:p w14:paraId="461CF242" w14:textId="53BF2133"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 xml:space="preserve">Designing and executing training programs to improve worker abilities, knowledge, and capacities is their area of expertise. They can determine the diplomatic office's training requirements, create specialized training curricula, and conduct conferences or online courses (Chebbi </w:t>
      </w:r>
      <w:r w:rsidRPr="000A27D6">
        <w:rPr>
          <w:rFonts w:ascii="Arial" w:hAnsi="Arial" w:cs="Arial"/>
          <w:i/>
          <w:color w:val="000000" w:themeColor="text1"/>
        </w:rPr>
        <w:t>et al.,</w:t>
      </w:r>
      <w:r w:rsidRPr="000A27D6">
        <w:rPr>
          <w:rFonts w:ascii="Arial" w:hAnsi="Arial" w:cs="Arial"/>
          <w:color w:val="000000" w:themeColor="text1"/>
        </w:rPr>
        <w:t xml:space="preserve">2020). Consulting firms can help the post office train staff members on new procedures, tools, or methods of customer service associated with the transformation efforts. The operation of the postal service is supported by training and development specialists who make sure that staff members can adjust to changes. </w:t>
      </w:r>
    </w:p>
    <w:p w14:paraId="5F86AB1C" w14:textId="77777777" w:rsidR="000A27D6" w:rsidRPr="000A27D6" w:rsidRDefault="000A27D6" w:rsidP="000A27D6">
      <w:pPr>
        <w:spacing w:line="360" w:lineRule="auto"/>
        <w:jc w:val="both"/>
        <w:rPr>
          <w:rFonts w:ascii="Arial" w:hAnsi="Arial" w:cs="Arial"/>
          <w:b/>
          <w:i/>
          <w:color w:val="000000" w:themeColor="text1"/>
        </w:rPr>
      </w:pPr>
      <w:r w:rsidRPr="000A27D6">
        <w:rPr>
          <w:rFonts w:ascii="Arial" w:hAnsi="Arial" w:cs="Arial"/>
          <w:b/>
          <w:i/>
          <w:color w:val="000000" w:themeColor="text1"/>
        </w:rPr>
        <w:t xml:space="preserve">Marketing consultants </w:t>
      </w:r>
    </w:p>
    <w:p w14:paraId="4C5F48E8" w14:textId="77777777"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In order to effectively communicate the transformation activities to both internal and outside stakeholders, marketing, and communication experts are extremely important. In order to engage staff members, customers, and the general public, they can help the postal service design communication strategies, create essential messages, and choose the best channels. The post office can benefit from the assistance of these experts in raising awareness, controlling attitudes, and fostering support for the reform projects (</w:t>
      </w:r>
      <w:proofErr w:type="spellStart"/>
      <w:r w:rsidRPr="000A27D6">
        <w:rPr>
          <w:rFonts w:ascii="Arial" w:hAnsi="Arial" w:cs="Arial"/>
          <w:color w:val="000000" w:themeColor="text1"/>
        </w:rPr>
        <w:t>Grzegorczyk</w:t>
      </w:r>
      <w:proofErr w:type="spellEnd"/>
      <w:r w:rsidRPr="000A27D6">
        <w:rPr>
          <w:rFonts w:ascii="Arial" w:hAnsi="Arial" w:cs="Arial"/>
          <w:color w:val="000000" w:themeColor="text1"/>
        </w:rPr>
        <w:t>, 2019). As part of the post office's modernization efforts, they may additionally provide advice on positioning, marketing initiatives, and media relations initiatives.</w:t>
      </w:r>
    </w:p>
    <w:p w14:paraId="7E7CD028" w14:textId="2EA609E7" w:rsidR="000A27D6" w:rsidRPr="000A27D6" w:rsidRDefault="000A27D6" w:rsidP="000A27D6">
      <w:pPr>
        <w:spacing w:line="360" w:lineRule="auto"/>
        <w:jc w:val="both"/>
        <w:rPr>
          <w:rFonts w:ascii="Arial" w:hAnsi="Arial" w:cs="Arial"/>
          <w:color w:val="000000" w:themeColor="text1"/>
        </w:rPr>
      </w:pPr>
      <w:r w:rsidRPr="000A27D6">
        <w:rPr>
          <w:rFonts w:ascii="Arial" w:hAnsi="Arial" w:cs="Arial"/>
          <w:color w:val="000000" w:themeColor="text1"/>
        </w:rPr>
        <w:t xml:space="preserve">The direct link with the business is not present between external stakeholders and the post office but it has a deep effect on the business enhancement. Changes in the operation are functioned by the external consultants and the limitations in the changes are maintained by external consultants. Some drastic changes will automatically harm the service of the post office so changes have to maintain for customer satisfaction. The changes that an effective contribution to society </w:t>
      </w:r>
      <w:proofErr w:type="gramStart"/>
      <w:r>
        <w:rPr>
          <w:rFonts w:ascii="Arial" w:hAnsi="Arial" w:cs="Arial"/>
          <w:color w:val="000000" w:themeColor="text1"/>
        </w:rPr>
        <w:t>are</w:t>
      </w:r>
      <w:proofErr w:type="gramEnd"/>
      <w:r>
        <w:rPr>
          <w:rFonts w:ascii="Arial" w:hAnsi="Arial" w:cs="Arial"/>
          <w:color w:val="000000" w:themeColor="text1"/>
        </w:rPr>
        <w:t xml:space="preserve"> </w:t>
      </w:r>
      <w:r w:rsidRPr="000A27D6">
        <w:rPr>
          <w:rFonts w:ascii="Arial" w:hAnsi="Arial" w:cs="Arial"/>
          <w:color w:val="000000" w:themeColor="text1"/>
        </w:rPr>
        <w:t xml:space="preserve">also planned by external consultants. </w:t>
      </w:r>
    </w:p>
    <w:p w14:paraId="42E44D60" w14:textId="176C4D12" w:rsidR="000A27D6" w:rsidRPr="000A27D6" w:rsidRDefault="000A27D6" w:rsidP="00F60B55">
      <w:pPr>
        <w:spacing w:line="360" w:lineRule="auto"/>
        <w:rPr>
          <w:rFonts w:ascii="Arial" w:hAnsi="Arial" w:cs="Arial"/>
          <w:color w:val="000000" w:themeColor="text1"/>
        </w:rPr>
      </w:pPr>
    </w:p>
    <w:p w14:paraId="4B794274" w14:textId="0AA909F4" w:rsidR="000A27D6" w:rsidRPr="00CD6A2C" w:rsidRDefault="000A27D6" w:rsidP="000A27D6">
      <w:pPr>
        <w:pStyle w:val="Heading1"/>
        <w:rPr>
          <w:rFonts w:ascii="Arial" w:hAnsi="Arial" w:cs="Arial"/>
          <w:sz w:val="36"/>
          <w:szCs w:val="36"/>
        </w:rPr>
      </w:pPr>
      <w:bookmarkStart w:id="10" w:name="_Toc137660222"/>
      <w:bookmarkStart w:id="11" w:name="_Toc139544532"/>
      <w:r w:rsidRPr="00CD6A2C">
        <w:rPr>
          <w:rFonts w:ascii="Arial" w:hAnsi="Arial" w:cs="Arial"/>
          <w:sz w:val="36"/>
          <w:szCs w:val="36"/>
        </w:rPr>
        <w:lastRenderedPageBreak/>
        <w:t>Different ways for change agent success</w:t>
      </w:r>
      <w:bookmarkEnd w:id="10"/>
      <w:bookmarkEnd w:id="11"/>
      <w:r w:rsidRPr="00CD6A2C">
        <w:rPr>
          <w:rFonts w:ascii="Arial" w:hAnsi="Arial" w:cs="Arial"/>
          <w:sz w:val="36"/>
          <w:szCs w:val="36"/>
        </w:rPr>
        <w:t xml:space="preserve">  </w:t>
      </w:r>
    </w:p>
    <w:p w14:paraId="05F7292C" w14:textId="3C0B9A9F" w:rsidR="000A27D6" w:rsidRPr="000A27D6" w:rsidRDefault="000A27D6" w:rsidP="000A27D6">
      <w:pPr>
        <w:pStyle w:val="Normal1"/>
        <w:spacing w:line="360" w:lineRule="auto"/>
        <w:jc w:val="both"/>
        <w:rPr>
          <w:color w:val="000000" w:themeColor="text1"/>
          <w:lang w:val="en-GB"/>
        </w:rPr>
      </w:pPr>
      <w:r w:rsidRPr="000A27D6">
        <w:rPr>
          <w:color w:val="000000" w:themeColor="text1"/>
          <w:lang w:val="en-GB"/>
        </w:rPr>
        <w:t xml:space="preserve">Internal or external change agent consultants </w:t>
      </w:r>
      <w:r w:rsidR="00CD6A2C" w:rsidRPr="000A27D6">
        <w:rPr>
          <w:color w:val="000000" w:themeColor="text1"/>
          <w:lang w:val="en-GB"/>
        </w:rPr>
        <w:t>must</w:t>
      </w:r>
      <w:r w:rsidRPr="000A27D6">
        <w:rPr>
          <w:color w:val="000000" w:themeColor="text1"/>
          <w:lang w:val="en-GB"/>
        </w:rPr>
        <w:t xml:space="preserve"> maintain change in the workplace, and it is important for increasing the condition of the post office. There are different elements in organizations that can reflect an impact on change management and the factors are stakeholders, employees, work culture, financial structure, and others. Change agent consultants must analyse all factors to identify the issues and based on the issues the change strategy can be maintained. As opined by Khan </w:t>
      </w:r>
      <w:r w:rsidRPr="000A27D6">
        <w:rPr>
          <w:i/>
          <w:color w:val="000000" w:themeColor="text1"/>
          <w:lang w:val="en-GB"/>
        </w:rPr>
        <w:t xml:space="preserve">et al. </w:t>
      </w:r>
      <w:r w:rsidRPr="000A27D6">
        <w:rPr>
          <w:color w:val="000000" w:themeColor="text1"/>
          <w:lang w:val="en-GB"/>
        </w:rPr>
        <w:t xml:space="preserve">(2019), the efficiency of change agent consultants is dependent on the implementation of strategies and the financial stability of the organization in affording the change. The roles of change agent consultants are </w:t>
      </w:r>
      <w:r w:rsidRPr="000A27D6">
        <w:rPr>
          <w:b/>
          <w:i/>
          <w:color w:val="000000" w:themeColor="text1"/>
          <w:lang w:val="en-GB"/>
        </w:rPr>
        <w:t>facilitating workshops, developing new strategies, training, coordinating resources, improving work culture, and staff management</w:t>
      </w:r>
      <w:r w:rsidRPr="000A27D6">
        <w:rPr>
          <w:color w:val="000000" w:themeColor="text1"/>
          <w:lang w:val="en-GB"/>
        </w:rPr>
        <w:t xml:space="preserve">. Change agent consultants must take responsibility for maintaining innovation and creative ideas for organizational activities and the roles are important for fulfilling the responsibilities properly. Experience and efficiency in achieving organizational goals are important for change agent consultants and it can reflect an impact on the improved condition of the post office. Change in organizational management can be done through workshops and training that are maintained by the change agent consultants because it helps to understand the new ideas and working process and employees can be developed. New strategies are made by change agent consultants because it helps to improve the working styles and according to it, work culture can be improved. Resources and staff management are very important for developing the change process and these resource factors can be very effective for organizations because the financial condition can reflect an impact on the affordability of change management. </w:t>
      </w:r>
    </w:p>
    <w:p w14:paraId="75F325F8" w14:textId="77777777" w:rsidR="000A27D6" w:rsidRPr="000A27D6" w:rsidRDefault="000A27D6" w:rsidP="000A27D6">
      <w:pPr>
        <w:pStyle w:val="Normal1"/>
        <w:spacing w:line="360" w:lineRule="auto"/>
        <w:jc w:val="center"/>
        <w:rPr>
          <w:color w:val="000000" w:themeColor="text1"/>
          <w:lang w:val="en-GB"/>
        </w:rPr>
      </w:pPr>
      <w:r w:rsidRPr="000A27D6">
        <w:rPr>
          <w:noProof/>
          <w:color w:val="000000" w:themeColor="text1"/>
          <w:lang w:val="en-GB"/>
        </w:rPr>
        <w:drawing>
          <wp:inline distT="0" distB="0" distL="0" distR="0" wp14:anchorId="6455FF38" wp14:editId="522CF258">
            <wp:extent cx="5943600" cy="1447800"/>
            <wp:effectExtent l="0" t="0" r="0" b="0"/>
            <wp:docPr id="3" name="Picture 3" descr="A green rectangles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een rectangles with white text&#10;&#10;Description automatically generated with low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1447800"/>
                    </a:xfrm>
                    <a:prstGeom prst="rect">
                      <a:avLst/>
                    </a:prstGeom>
                    <a:noFill/>
                    <a:ln>
                      <a:noFill/>
                    </a:ln>
                  </pic:spPr>
                </pic:pic>
              </a:graphicData>
            </a:graphic>
          </wp:inline>
        </w:drawing>
      </w:r>
    </w:p>
    <w:p w14:paraId="2414CEFB" w14:textId="54371638" w:rsidR="000A27D6" w:rsidRPr="00F60B55" w:rsidRDefault="000A27D6" w:rsidP="00F60B55">
      <w:pPr>
        <w:pStyle w:val="Normal1"/>
        <w:spacing w:line="360" w:lineRule="auto"/>
        <w:jc w:val="center"/>
        <w:rPr>
          <w:b/>
          <w:color w:val="000000" w:themeColor="text1"/>
          <w:lang w:val="en-GB"/>
        </w:rPr>
      </w:pPr>
      <w:r w:rsidRPr="000A27D6">
        <w:rPr>
          <w:b/>
          <w:color w:val="000000" w:themeColor="text1"/>
          <w:lang w:val="en-GB"/>
        </w:rPr>
        <w:t xml:space="preserve">Figure </w:t>
      </w:r>
      <w:r w:rsidR="00F60B55">
        <w:rPr>
          <w:b/>
          <w:color w:val="000000" w:themeColor="text1"/>
          <w:lang w:val="en-GB"/>
        </w:rPr>
        <w:t>4</w:t>
      </w:r>
      <w:r w:rsidRPr="000A27D6">
        <w:rPr>
          <w:b/>
          <w:color w:val="000000" w:themeColor="text1"/>
          <w:lang w:val="en-GB"/>
        </w:rPr>
        <w:t>: Power and Politics in Change Agent Consultant's Success</w:t>
      </w:r>
    </w:p>
    <w:p w14:paraId="6FD32502" w14:textId="77777777" w:rsidR="000A27D6" w:rsidRDefault="000A27D6" w:rsidP="000A27D6">
      <w:pPr>
        <w:pStyle w:val="Normal1"/>
        <w:spacing w:line="360" w:lineRule="auto"/>
        <w:jc w:val="both"/>
        <w:rPr>
          <w:color w:val="000000" w:themeColor="text1"/>
          <w:lang w:val="en-GB"/>
        </w:rPr>
      </w:pPr>
      <w:r w:rsidRPr="000A27D6">
        <w:rPr>
          <w:color w:val="000000" w:themeColor="text1"/>
          <w:lang w:val="en-GB"/>
        </w:rPr>
        <w:t xml:space="preserve">Power and politics are very effective in maintaining change in the post office because the investors are businessmen and their impact on organizations can change the system properly. The post office is going to engage an organizational change agent consultant for proper development in the workplace and it is important for minimizing the issues that are faced by the post office. Politics and power are important for increasing the change management of the post office because they can influence internal or external change agent consultants and the required cost for change can be invested by the high-profile people. As stated by </w:t>
      </w:r>
      <w:proofErr w:type="spellStart"/>
      <w:r w:rsidRPr="000A27D6">
        <w:rPr>
          <w:color w:val="000000" w:themeColor="text1"/>
          <w:lang w:val="en-GB"/>
        </w:rPr>
        <w:t>Hanelt</w:t>
      </w:r>
      <w:proofErr w:type="spellEnd"/>
      <w:r w:rsidRPr="000A27D6">
        <w:rPr>
          <w:color w:val="000000" w:themeColor="text1"/>
          <w:lang w:val="en-GB"/>
        </w:rPr>
        <w:t xml:space="preserve"> </w:t>
      </w:r>
      <w:r w:rsidRPr="000A27D6">
        <w:rPr>
          <w:i/>
          <w:color w:val="000000" w:themeColor="text1"/>
          <w:lang w:val="en-GB"/>
        </w:rPr>
        <w:t xml:space="preserve">et al. </w:t>
      </w:r>
      <w:r w:rsidRPr="000A27D6">
        <w:rPr>
          <w:color w:val="000000" w:themeColor="text1"/>
          <w:lang w:val="en-GB"/>
        </w:rPr>
        <w:lastRenderedPageBreak/>
        <w:t xml:space="preserve">(2021), the consultants have a huge responsibility in maintaining change elements, and the help or influence is very effective in the implementation of change strategies. There are some factors that are important for workplace change management and the factors are influenced by power and politics in the post office. The factors are </w:t>
      </w:r>
      <w:r w:rsidRPr="000A27D6">
        <w:rPr>
          <w:b/>
          <w:i/>
          <w:color w:val="000000" w:themeColor="text1"/>
          <w:lang w:val="en-GB"/>
        </w:rPr>
        <w:t xml:space="preserve">policies, work culture development, financial transactions, employee management, </w:t>
      </w:r>
      <w:r w:rsidRPr="000A27D6">
        <w:rPr>
          <w:color w:val="000000" w:themeColor="text1"/>
          <w:lang w:val="en-GB"/>
        </w:rPr>
        <w:t>and</w:t>
      </w:r>
      <w:r w:rsidRPr="000A27D6">
        <w:rPr>
          <w:b/>
          <w:i/>
          <w:color w:val="000000" w:themeColor="text1"/>
          <w:lang w:val="en-GB"/>
        </w:rPr>
        <w:t xml:space="preserve"> resource management</w:t>
      </w:r>
      <w:r w:rsidRPr="000A27D6">
        <w:rPr>
          <w:color w:val="000000" w:themeColor="text1"/>
          <w:lang w:val="en-GB"/>
        </w:rPr>
        <w:t xml:space="preserve">. These factors are maintained properly by consultants with the help of politics and power and the development of the post office can be maintained. </w:t>
      </w:r>
    </w:p>
    <w:p w14:paraId="4D554142" w14:textId="780EEE26" w:rsidR="000A27D6" w:rsidRPr="000A27D6" w:rsidRDefault="000A27D6" w:rsidP="000A27D6">
      <w:pPr>
        <w:pStyle w:val="Normal1"/>
        <w:spacing w:line="360" w:lineRule="auto"/>
        <w:jc w:val="both"/>
        <w:rPr>
          <w:color w:val="000000" w:themeColor="text1"/>
          <w:lang w:val="en-GB"/>
        </w:rPr>
      </w:pPr>
      <w:r w:rsidRPr="000A27D6">
        <w:rPr>
          <w:b/>
          <w:i/>
          <w:color w:val="000000" w:themeColor="text1"/>
          <w:lang w:val="en-GB"/>
        </w:rPr>
        <w:t>Policies</w:t>
      </w:r>
      <w:r w:rsidRPr="000A27D6">
        <w:rPr>
          <w:color w:val="000000" w:themeColor="text1"/>
          <w:lang w:val="en-GB"/>
        </w:rPr>
        <w:t xml:space="preserve"> indicate the rules and regulations that are implemented by the consultants and politics and power help to maintain change management in the post office. There are some factors that are included in policies and the factors are salaries, leaves, health benefits, and other important parts that are related to developing work management. </w:t>
      </w:r>
    </w:p>
    <w:p w14:paraId="3A105F41" w14:textId="77777777" w:rsidR="000A27D6" w:rsidRDefault="000A27D6" w:rsidP="000A27D6">
      <w:pPr>
        <w:pStyle w:val="Normal1"/>
        <w:spacing w:line="360" w:lineRule="auto"/>
        <w:jc w:val="both"/>
        <w:rPr>
          <w:color w:val="000000" w:themeColor="text1"/>
          <w:lang w:val="en-GB"/>
        </w:rPr>
      </w:pPr>
      <w:r w:rsidRPr="000A27D6">
        <w:rPr>
          <w:b/>
          <w:i/>
          <w:color w:val="000000" w:themeColor="text1"/>
          <w:lang w:val="en-GB"/>
        </w:rPr>
        <w:t>Work culture development</w:t>
      </w:r>
      <w:r w:rsidRPr="000A27D6">
        <w:rPr>
          <w:color w:val="000000" w:themeColor="text1"/>
          <w:lang w:val="en-GB"/>
        </w:rPr>
        <w:t xml:space="preserve"> is important for increasing the efficiency of work structure and it is beneficial for the post office and politics are important for influencing the cultural changes and change agent consultants can maintain the change properly. Politics in the post office is important for giving importance to cultural factors and it can be helpful for change management maintenance. Employees can be able to understand the work culture and efficiency in work quality maintenance can be maintained by politics and power management through change agent management.</w:t>
      </w:r>
    </w:p>
    <w:p w14:paraId="3CCC18C4" w14:textId="77777777" w:rsidR="00CD6A2C" w:rsidRDefault="000A27D6" w:rsidP="000A27D6">
      <w:pPr>
        <w:pStyle w:val="Normal1"/>
        <w:spacing w:line="360" w:lineRule="auto"/>
        <w:jc w:val="both"/>
        <w:rPr>
          <w:color w:val="000000" w:themeColor="text1"/>
          <w:lang w:val="en-GB"/>
        </w:rPr>
      </w:pPr>
      <w:r w:rsidRPr="000A27D6">
        <w:rPr>
          <w:color w:val="000000" w:themeColor="text1"/>
          <w:lang w:val="en-GB"/>
        </w:rPr>
        <w:t xml:space="preserve"> As opined by </w:t>
      </w:r>
      <w:proofErr w:type="spellStart"/>
      <w:r w:rsidRPr="000A27D6">
        <w:rPr>
          <w:color w:val="000000" w:themeColor="text1"/>
          <w:lang w:val="en-GB"/>
        </w:rPr>
        <w:t>Ruijer</w:t>
      </w:r>
      <w:proofErr w:type="spellEnd"/>
      <w:r w:rsidRPr="000A27D6">
        <w:rPr>
          <w:color w:val="000000" w:themeColor="text1"/>
          <w:lang w:val="en-GB"/>
        </w:rPr>
        <w:t xml:space="preserve"> </w:t>
      </w:r>
      <w:r w:rsidRPr="000A27D6">
        <w:rPr>
          <w:i/>
          <w:color w:val="000000" w:themeColor="text1"/>
          <w:lang w:val="en-GB"/>
        </w:rPr>
        <w:t xml:space="preserve">et al. </w:t>
      </w:r>
      <w:r w:rsidRPr="000A27D6">
        <w:rPr>
          <w:color w:val="000000" w:themeColor="text1"/>
          <w:lang w:val="en-GB"/>
        </w:rPr>
        <w:t>(2020)</w:t>
      </w:r>
      <w:r>
        <w:rPr>
          <w:color w:val="000000" w:themeColor="text1"/>
          <w:lang w:val="en-GB"/>
        </w:rPr>
        <w:t xml:space="preserve">, </w:t>
      </w:r>
      <w:r w:rsidRPr="000A27D6">
        <w:rPr>
          <w:b/>
          <w:i/>
          <w:color w:val="000000" w:themeColor="text1"/>
          <w:lang w:val="en-GB"/>
        </w:rPr>
        <w:t>Financial transactions</w:t>
      </w:r>
      <w:r w:rsidRPr="000A27D6">
        <w:rPr>
          <w:color w:val="000000" w:themeColor="text1"/>
          <w:lang w:val="en-GB"/>
        </w:rPr>
        <w:t xml:space="preserve"> are important for maintenance because it helps to control financial factors and politics and power are important for influencing change management. Financial factors are the main factors of the post office, and it is important for change agent consultants because it helps to develop the efficiency of financial condition maintenance. Politics and power are useful to gather knowledge about the transactions and it is important for controlling the financial factors and development in the post office management can be done by change agent consultants. Financial stability is important for development in the post office and politics and power are effective in controlling all financial transactions and change agent consultants can be successful. </w:t>
      </w:r>
    </w:p>
    <w:p w14:paraId="0F08CDB9" w14:textId="77777777" w:rsidR="00CD6A2C" w:rsidRDefault="000A27D6" w:rsidP="000A27D6">
      <w:pPr>
        <w:pStyle w:val="Normal1"/>
        <w:spacing w:line="360" w:lineRule="auto"/>
        <w:jc w:val="both"/>
        <w:rPr>
          <w:color w:val="000000" w:themeColor="text1"/>
          <w:lang w:val="en-GB"/>
        </w:rPr>
      </w:pPr>
      <w:r w:rsidRPr="000A27D6">
        <w:rPr>
          <w:color w:val="000000" w:themeColor="text1"/>
          <w:lang w:val="en-GB"/>
        </w:rPr>
        <w:t>As stated by Adjei-</w:t>
      </w:r>
      <w:proofErr w:type="spellStart"/>
      <w:r w:rsidRPr="000A27D6">
        <w:rPr>
          <w:color w:val="000000" w:themeColor="text1"/>
          <w:lang w:val="en-GB"/>
        </w:rPr>
        <w:t>Bamfo</w:t>
      </w:r>
      <w:proofErr w:type="spellEnd"/>
      <w:r w:rsidRPr="000A27D6">
        <w:rPr>
          <w:color w:val="000000" w:themeColor="text1"/>
          <w:lang w:val="en-GB"/>
        </w:rPr>
        <w:t xml:space="preserve"> </w:t>
      </w:r>
      <w:r w:rsidRPr="000A27D6">
        <w:rPr>
          <w:i/>
          <w:color w:val="000000" w:themeColor="text1"/>
          <w:lang w:val="en-GB"/>
        </w:rPr>
        <w:t xml:space="preserve">et al. </w:t>
      </w:r>
      <w:r w:rsidRPr="000A27D6">
        <w:rPr>
          <w:color w:val="000000" w:themeColor="text1"/>
          <w:lang w:val="en-GB"/>
        </w:rPr>
        <w:t xml:space="preserve">(2019), </w:t>
      </w:r>
      <w:r w:rsidRPr="000A27D6">
        <w:rPr>
          <w:b/>
          <w:i/>
          <w:color w:val="000000" w:themeColor="text1"/>
          <w:lang w:val="en-GB"/>
        </w:rPr>
        <w:t>Employee managemen</w:t>
      </w:r>
      <w:r w:rsidRPr="000A27D6">
        <w:rPr>
          <w:color w:val="000000" w:themeColor="text1"/>
          <w:lang w:val="en-GB"/>
        </w:rPr>
        <w:t>t is very important for increasing the efficiency of employees and change agent consultancy has the responsibility to improve the work quality of the employees and it is beneficial for the development process of the post office. Change agent consultancy maintains workshops and training for employees to understand the changed working style and it is beneficial for increasing the efficiency of employees. Politics and power can be effective in conducting the workshops and training and employees can be benefited from the knowledge of updated work structure and the post office can be effective in maintaining improved work management.</w:t>
      </w:r>
    </w:p>
    <w:p w14:paraId="5AB56528" w14:textId="7CDEEBCB" w:rsidR="000A27D6" w:rsidRPr="000A27D6" w:rsidRDefault="000A27D6" w:rsidP="000A27D6">
      <w:pPr>
        <w:pStyle w:val="Normal1"/>
        <w:spacing w:line="360" w:lineRule="auto"/>
        <w:jc w:val="both"/>
        <w:rPr>
          <w:color w:val="000000" w:themeColor="text1"/>
          <w:lang w:val="en-GB"/>
        </w:rPr>
      </w:pPr>
      <w:r w:rsidRPr="000A27D6">
        <w:rPr>
          <w:color w:val="000000" w:themeColor="text1"/>
          <w:lang w:val="en-GB"/>
        </w:rPr>
        <w:t xml:space="preserve"> </w:t>
      </w:r>
      <w:r w:rsidRPr="000A27D6">
        <w:rPr>
          <w:b/>
          <w:i/>
          <w:color w:val="000000" w:themeColor="text1"/>
          <w:lang w:val="en-GB"/>
        </w:rPr>
        <w:t>Resource management</w:t>
      </w:r>
      <w:r w:rsidRPr="000A27D6">
        <w:rPr>
          <w:color w:val="000000" w:themeColor="text1"/>
          <w:lang w:val="en-GB"/>
        </w:rPr>
        <w:t xml:space="preserve"> is a very important part of the post office because the investment factors are controlling the efficiency of change management and proper utilization of resources </w:t>
      </w:r>
      <w:r w:rsidRPr="000A27D6">
        <w:rPr>
          <w:color w:val="000000" w:themeColor="text1"/>
          <w:lang w:val="en-GB"/>
        </w:rPr>
        <w:lastRenderedPageBreak/>
        <w:t xml:space="preserve">should be maintained by the change agent consultants. Politics and power help to get the investments and the cost of change and other expenses can be maintained with the resources and development in financial condition along with management development can be done by change agent consultants. As opined by </w:t>
      </w:r>
      <w:proofErr w:type="spellStart"/>
      <w:r w:rsidRPr="000A27D6">
        <w:rPr>
          <w:color w:val="000000" w:themeColor="text1"/>
          <w:lang w:val="en-GB"/>
        </w:rPr>
        <w:t>Grillitsch</w:t>
      </w:r>
      <w:proofErr w:type="spellEnd"/>
      <w:r w:rsidRPr="000A27D6">
        <w:rPr>
          <w:color w:val="000000" w:themeColor="text1"/>
          <w:lang w:val="en-GB"/>
        </w:rPr>
        <w:t xml:space="preserve"> and </w:t>
      </w:r>
      <w:proofErr w:type="spellStart"/>
      <w:r w:rsidRPr="000A27D6">
        <w:rPr>
          <w:color w:val="000000" w:themeColor="text1"/>
          <w:lang w:val="en-GB"/>
        </w:rPr>
        <w:t>Sotarauta</w:t>
      </w:r>
      <w:proofErr w:type="spellEnd"/>
      <w:r w:rsidRPr="000A27D6">
        <w:rPr>
          <w:color w:val="000000" w:themeColor="text1"/>
          <w:lang w:val="en-GB"/>
        </w:rPr>
        <w:t>, (2020), these are the important factors that are required for change agent consultancy to get success, and power and politics help to improve the process of management so the post office can maintain better work management. The efficiency of the post office can be increased with the help of change agent consultants, but the influence of power and politics is effective to implement the change strategy properly and proper work culture and effective employees can be maintained. Resources are the main element for change because it requires huge costs and to get investors and proper resources politics and power is effective. Change agent consultants can be successful with the help of power and political influence in the work management of the post office.</w:t>
      </w:r>
    </w:p>
    <w:p w14:paraId="7BF683BF" w14:textId="487BBEF2" w:rsidR="000A27D6" w:rsidRPr="000A27D6" w:rsidRDefault="000A27D6" w:rsidP="000A27D6">
      <w:pPr>
        <w:pStyle w:val="Normal1"/>
        <w:spacing w:line="360" w:lineRule="auto"/>
        <w:jc w:val="both"/>
        <w:rPr>
          <w:color w:val="000000" w:themeColor="text1"/>
          <w:lang w:val="en-GB"/>
        </w:rPr>
      </w:pPr>
      <w:r w:rsidRPr="000A27D6">
        <w:rPr>
          <w:color w:val="000000" w:themeColor="text1"/>
          <w:lang w:val="en-GB"/>
        </w:rPr>
        <w:t xml:space="preserve">Organizational change is very effective for the post office because of all working styles, resource management, and employee management are improved and changed with the help of change agent consultants. Every organization has some political factors in management, and it gives the power to maintain the factors that can reflect an impact on the efficiency of the work structure of the organization. As stated by </w:t>
      </w:r>
      <w:proofErr w:type="spellStart"/>
      <w:r w:rsidRPr="000A27D6">
        <w:rPr>
          <w:color w:val="000000" w:themeColor="text1"/>
          <w:lang w:val="en-GB"/>
        </w:rPr>
        <w:t>Edeh</w:t>
      </w:r>
      <w:proofErr w:type="spellEnd"/>
      <w:r w:rsidRPr="000A27D6">
        <w:rPr>
          <w:color w:val="000000" w:themeColor="text1"/>
          <w:lang w:val="en-GB"/>
        </w:rPr>
        <w:t xml:space="preserve"> </w:t>
      </w:r>
      <w:r w:rsidRPr="000A27D6">
        <w:rPr>
          <w:i/>
          <w:color w:val="000000" w:themeColor="text1"/>
          <w:lang w:val="en-GB"/>
        </w:rPr>
        <w:t xml:space="preserve">et al. </w:t>
      </w:r>
      <w:r w:rsidRPr="000A27D6">
        <w:rPr>
          <w:color w:val="000000" w:themeColor="text1"/>
          <w:lang w:val="en-GB"/>
        </w:rPr>
        <w:t xml:space="preserve">(2020), work structure is important for maintaining all work properly and the development of the post office can be done with proper improvement of work structure according to the requirements. Work culture reflects an impact on employees’ efficiency because the environment is dependent on cultural factors and power and politics can be useful to maintain a proper work culture in the post office. As opined by </w:t>
      </w:r>
      <w:proofErr w:type="spellStart"/>
      <w:r w:rsidRPr="000A27D6">
        <w:rPr>
          <w:color w:val="000000" w:themeColor="text1"/>
          <w:lang w:val="en-GB"/>
        </w:rPr>
        <w:t>Lapuente</w:t>
      </w:r>
      <w:proofErr w:type="spellEnd"/>
      <w:r w:rsidRPr="000A27D6">
        <w:rPr>
          <w:color w:val="000000" w:themeColor="text1"/>
          <w:lang w:val="en-GB"/>
        </w:rPr>
        <w:t xml:space="preserve"> and Van de </w:t>
      </w:r>
      <w:proofErr w:type="spellStart"/>
      <w:r w:rsidRPr="000A27D6">
        <w:rPr>
          <w:color w:val="000000" w:themeColor="text1"/>
          <w:lang w:val="en-GB"/>
        </w:rPr>
        <w:t>Walle</w:t>
      </w:r>
      <w:proofErr w:type="spellEnd"/>
      <w:r w:rsidRPr="000A27D6">
        <w:rPr>
          <w:color w:val="000000" w:themeColor="text1"/>
          <w:lang w:val="en-GB"/>
        </w:rPr>
        <w:t xml:space="preserve">, (2020), change agent consultants can be benefited from the development of work structure and work culture and proper change can be maintained. Resource management is required for increasing the efficiency of the post office in controlling change management and politics and power are helpful for getting investments and utilization of resources can be done according to the requirements. Power and politics can be very useful for increasing the ability of change agent consultants because the requirements can be fulfilled, and all-important factors can be maintained properly and effectively. As stated by Stone </w:t>
      </w:r>
      <w:r w:rsidRPr="000A27D6">
        <w:rPr>
          <w:i/>
          <w:color w:val="000000" w:themeColor="text1"/>
          <w:lang w:val="en-GB"/>
        </w:rPr>
        <w:t xml:space="preserve">et al. </w:t>
      </w:r>
      <w:r w:rsidRPr="000A27D6">
        <w:rPr>
          <w:color w:val="000000" w:themeColor="text1"/>
          <w:lang w:val="en-GB"/>
        </w:rPr>
        <w:t xml:space="preserve">(2020), the responsibilities of change consultants can be fulfilled with the influence and help of power and politics and the development of work management of the post office can be maintained according to the requirements. The success of change agent consultants can be increased with the involvement of power and politics, and it is important for controlling all important and essential factors with efficiency. Change management can be implemented in post office management properly with the help of power and politics and it is important for change consultants to get success. </w:t>
      </w:r>
    </w:p>
    <w:p w14:paraId="3B293CE2" w14:textId="35EE9739" w:rsidR="000A27D6" w:rsidRPr="000A27D6" w:rsidRDefault="000A27D6" w:rsidP="000A27D6">
      <w:pPr>
        <w:pStyle w:val="Heading1"/>
        <w:rPr>
          <w:rFonts w:ascii="Arial" w:hAnsi="Arial" w:cs="Arial"/>
          <w:sz w:val="36"/>
          <w:szCs w:val="36"/>
        </w:rPr>
      </w:pPr>
      <w:bookmarkStart w:id="12" w:name="_Toc137660223"/>
      <w:bookmarkStart w:id="13" w:name="_Toc139544533"/>
      <w:r w:rsidRPr="000A27D6">
        <w:rPr>
          <w:rFonts w:ascii="Arial" w:hAnsi="Arial" w:cs="Arial"/>
          <w:sz w:val="36"/>
          <w:szCs w:val="36"/>
        </w:rPr>
        <w:lastRenderedPageBreak/>
        <w:t>Conclusion</w:t>
      </w:r>
      <w:bookmarkEnd w:id="12"/>
      <w:bookmarkEnd w:id="13"/>
      <w:r w:rsidRPr="000A27D6">
        <w:rPr>
          <w:rFonts w:ascii="Arial" w:hAnsi="Arial" w:cs="Arial"/>
          <w:sz w:val="36"/>
          <w:szCs w:val="36"/>
        </w:rPr>
        <w:t xml:space="preserve"> </w:t>
      </w:r>
    </w:p>
    <w:p w14:paraId="381185BD" w14:textId="36B2F7FE" w:rsidR="000A27D6" w:rsidRPr="000A27D6" w:rsidRDefault="000A27D6" w:rsidP="000A27D6">
      <w:pPr>
        <w:pStyle w:val="Normal1"/>
        <w:spacing w:line="360" w:lineRule="auto"/>
        <w:jc w:val="both"/>
        <w:rPr>
          <w:color w:val="000000" w:themeColor="text1"/>
          <w:lang w:val="en-GB"/>
        </w:rPr>
      </w:pPr>
      <w:r w:rsidRPr="000A27D6">
        <w:rPr>
          <w:color w:val="000000" w:themeColor="text1"/>
          <w:lang w:val="en-GB"/>
        </w:rPr>
        <w:t>To conclude it can be told that the development of the post office can be maintained by change agent consultants. A</w:t>
      </w:r>
      <w:r w:rsidR="00E75C32">
        <w:rPr>
          <w:color w:val="000000" w:themeColor="text1"/>
          <w:lang w:val="en-GB"/>
        </w:rPr>
        <w:t>n</w:t>
      </w:r>
      <w:r w:rsidRPr="000A27D6">
        <w:rPr>
          <w:color w:val="000000" w:themeColor="text1"/>
          <w:lang w:val="en-GB"/>
        </w:rPr>
        <w:t xml:space="preserve"> interview is conducted to gather knowledge about the post office and efficiency of change agent consultants. Various types of rules and regulations are used to change frequently by the government for the operation of the post office and internal stakeholders play the role according to the change for successful business operation. Laws and regulations made by the government and the successful practice of the laws are suggested by the external consultant to the post office. Employee management can be maintained by politics and power, and it is important and effective for change agent consultants to increase the efficiency of the post office. Requirements of employees can be known, and change agent consultants can provide training and workshops to get the knowledge of updated working styles and it increases the success rate of change agent consultants in improving the work management of the post office.</w:t>
      </w:r>
    </w:p>
    <w:p w14:paraId="1344831F" w14:textId="555C452C" w:rsidR="000A27D6" w:rsidRPr="000A27D6" w:rsidRDefault="000A27D6" w:rsidP="000A27D6">
      <w:pPr>
        <w:pStyle w:val="Heading1"/>
        <w:rPr>
          <w:rFonts w:ascii="Arial" w:hAnsi="Arial" w:cs="Arial"/>
          <w:sz w:val="36"/>
          <w:szCs w:val="36"/>
        </w:rPr>
      </w:pPr>
      <w:bookmarkStart w:id="14" w:name="_Toc137660224"/>
      <w:r w:rsidRPr="000A27D6">
        <w:rPr>
          <w:rFonts w:ascii="Arial" w:hAnsi="Arial" w:cs="Arial"/>
          <w:sz w:val="36"/>
          <w:szCs w:val="36"/>
        </w:rPr>
        <w:t xml:space="preserve"> </w:t>
      </w:r>
      <w:bookmarkStart w:id="15" w:name="_Toc139544534"/>
      <w:r w:rsidRPr="000A27D6">
        <w:rPr>
          <w:rFonts w:ascii="Arial" w:hAnsi="Arial" w:cs="Arial"/>
          <w:sz w:val="36"/>
          <w:szCs w:val="36"/>
        </w:rPr>
        <w:t>Recommendation</w:t>
      </w:r>
      <w:bookmarkEnd w:id="14"/>
      <w:bookmarkEnd w:id="15"/>
    </w:p>
    <w:p w14:paraId="43276A68" w14:textId="1E51A9B3" w:rsidR="00851469" w:rsidRDefault="000A27D6" w:rsidP="000A27D6">
      <w:pPr>
        <w:pStyle w:val="Normal1"/>
        <w:spacing w:line="360" w:lineRule="auto"/>
        <w:jc w:val="both"/>
        <w:rPr>
          <w:color w:val="000000" w:themeColor="text1"/>
          <w:lang w:val="en-GB"/>
        </w:rPr>
      </w:pPr>
      <w:r w:rsidRPr="000A27D6">
        <w:rPr>
          <w:color w:val="000000" w:themeColor="text1"/>
          <w:lang w:val="en-GB"/>
        </w:rPr>
        <w:t xml:space="preserve">The post office can be developed with the efficiency of change agent management, and it should be maintained for better condition of organizations. As opined by </w:t>
      </w:r>
      <w:proofErr w:type="spellStart"/>
      <w:r w:rsidRPr="000A27D6">
        <w:rPr>
          <w:color w:val="000000" w:themeColor="text1"/>
          <w:shd w:val="clear" w:color="auto" w:fill="FFFFFF"/>
          <w:lang w:val="en-GB"/>
        </w:rPr>
        <w:t>Msosa</w:t>
      </w:r>
      <w:proofErr w:type="spellEnd"/>
      <w:r w:rsidRPr="000A27D6">
        <w:rPr>
          <w:color w:val="000000" w:themeColor="text1"/>
          <w:shd w:val="clear" w:color="auto" w:fill="FFFFFF"/>
          <w:lang w:val="en-GB"/>
        </w:rPr>
        <w:t xml:space="preserve"> (2021),</w:t>
      </w:r>
      <w:r w:rsidRPr="000A27D6">
        <w:rPr>
          <w:color w:val="000000" w:themeColor="text1"/>
          <w:lang w:val="en-GB"/>
        </w:rPr>
        <w:t xml:space="preserve"> proper utilization of power and politics can be beneficial for getting the resources that are effective for change management, and change agent consultants can be successful in maintaining the change in the organization. Power and politics are useful for controlling the work structure and work culture along with resource and employee control and it is useful for change management. As stated by </w:t>
      </w:r>
      <w:r w:rsidRPr="000A27D6">
        <w:rPr>
          <w:color w:val="000000" w:themeColor="text1"/>
          <w:shd w:val="clear" w:color="auto" w:fill="FFFFFF"/>
          <w:lang w:val="en-GB"/>
        </w:rPr>
        <w:t>Wright and Gray, (2022),</w:t>
      </w:r>
      <w:r w:rsidRPr="000A27D6">
        <w:rPr>
          <w:color w:val="000000" w:themeColor="text1"/>
          <w:lang w:val="en-GB"/>
        </w:rPr>
        <w:t xml:space="preserve"> the post office must hire technology experts to make sure that its investments in technology support its operational effectiveness, consumer satisfaction, and future expansion. Workplace change requires innovation and creative ideas and consultants have the efficiency in getting appropriate innovative ideas for change management. As opined by </w:t>
      </w:r>
      <w:r w:rsidRPr="000A27D6">
        <w:rPr>
          <w:color w:val="000000" w:themeColor="text1"/>
          <w:shd w:val="clear" w:color="auto" w:fill="FFFFFF"/>
          <w:lang w:val="en-GB"/>
        </w:rPr>
        <w:t xml:space="preserve">Marshall </w:t>
      </w:r>
      <w:r w:rsidRPr="000A27D6">
        <w:rPr>
          <w:i/>
          <w:iCs/>
          <w:color w:val="000000" w:themeColor="text1"/>
          <w:shd w:val="clear" w:color="auto" w:fill="FFFFFF"/>
          <w:lang w:val="en-GB"/>
        </w:rPr>
        <w:t xml:space="preserve">et al. </w:t>
      </w:r>
      <w:r w:rsidRPr="000A27D6">
        <w:rPr>
          <w:color w:val="000000" w:themeColor="text1"/>
          <w:shd w:val="clear" w:color="auto" w:fill="FFFFFF"/>
          <w:lang w:val="en-GB"/>
        </w:rPr>
        <w:t>(2021),</w:t>
      </w:r>
      <w:r w:rsidRPr="000A27D6">
        <w:rPr>
          <w:color w:val="000000" w:themeColor="text1"/>
          <w:lang w:val="en-GB"/>
        </w:rPr>
        <w:t xml:space="preserve"> proper analysis of the internal factors of the post office and discussion with stakeholders can be useful to understand the issues and according to the issues innovation for change can be implemented by consultants. The development of the post office can be maintained with the help of change consultants, and it is beneficial for the organizational management control.</w:t>
      </w:r>
    </w:p>
    <w:p w14:paraId="6A70131B" w14:textId="77777777" w:rsidR="0067407F" w:rsidRDefault="0067407F" w:rsidP="000A27D6">
      <w:pPr>
        <w:pStyle w:val="Normal1"/>
        <w:spacing w:line="360" w:lineRule="auto"/>
        <w:jc w:val="both"/>
        <w:rPr>
          <w:color w:val="000000" w:themeColor="text1"/>
          <w:lang w:val="en-GB"/>
        </w:rPr>
      </w:pPr>
    </w:p>
    <w:p w14:paraId="70834002" w14:textId="77777777" w:rsidR="0067407F" w:rsidRDefault="0067407F" w:rsidP="000A27D6">
      <w:pPr>
        <w:pStyle w:val="Normal1"/>
        <w:spacing w:line="360" w:lineRule="auto"/>
        <w:jc w:val="both"/>
        <w:rPr>
          <w:color w:val="000000" w:themeColor="text1"/>
          <w:lang w:val="en-GB"/>
        </w:rPr>
      </w:pPr>
    </w:p>
    <w:p w14:paraId="6213C0D0" w14:textId="77777777" w:rsidR="0067407F" w:rsidRDefault="0067407F" w:rsidP="000A27D6">
      <w:pPr>
        <w:pStyle w:val="Normal1"/>
        <w:spacing w:line="360" w:lineRule="auto"/>
        <w:jc w:val="both"/>
        <w:rPr>
          <w:color w:val="000000" w:themeColor="text1"/>
          <w:lang w:val="en-GB"/>
        </w:rPr>
      </w:pPr>
    </w:p>
    <w:p w14:paraId="5E49D657" w14:textId="77777777" w:rsidR="0067407F" w:rsidRDefault="0067407F" w:rsidP="000A27D6">
      <w:pPr>
        <w:pStyle w:val="Normal1"/>
        <w:spacing w:line="360" w:lineRule="auto"/>
        <w:jc w:val="both"/>
        <w:rPr>
          <w:color w:val="000000" w:themeColor="text1"/>
          <w:lang w:val="en-GB"/>
        </w:rPr>
      </w:pPr>
    </w:p>
    <w:p w14:paraId="023F4C4B" w14:textId="77777777" w:rsidR="0067407F" w:rsidRDefault="0067407F" w:rsidP="000A27D6">
      <w:pPr>
        <w:pStyle w:val="Normal1"/>
        <w:spacing w:line="360" w:lineRule="auto"/>
        <w:jc w:val="both"/>
        <w:rPr>
          <w:color w:val="000000" w:themeColor="text1"/>
          <w:lang w:val="en-GB"/>
        </w:rPr>
      </w:pPr>
    </w:p>
    <w:p w14:paraId="7D8BCE62" w14:textId="77777777" w:rsidR="0067407F" w:rsidRDefault="0067407F" w:rsidP="000A27D6">
      <w:pPr>
        <w:pStyle w:val="Normal1"/>
        <w:spacing w:line="360" w:lineRule="auto"/>
        <w:jc w:val="both"/>
        <w:rPr>
          <w:color w:val="000000" w:themeColor="text1"/>
          <w:lang w:val="en-GB"/>
        </w:rPr>
      </w:pPr>
    </w:p>
    <w:p w14:paraId="0927F30E" w14:textId="77777777" w:rsidR="0067407F" w:rsidRDefault="0067407F" w:rsidP="000A27D6">
      <w:pPr>
        <w:pStyle w:val="Normal1"/>
        <w:spacing w:line="360" w:lineRule="auto"/>
        <w:jc w:val="both"/>
        <w:rPr>
          <w:color w:val="000000" w:themeColor="text1"/>
          <w:lang w:val="en-GB"/>
        </w:rPr>
      </w:pPr>
    </w:p>
    <w:p w14:paraId="0C84B6E1" w14:textId="77777777" w:rsidR="0067407F" w:rsidRPr="0067407F" w:rsidRDefault="0067407F" w:rsidP="0067407F">
      <w:pPr>
        <w:pStyle w:val="Heading1"/>
        <w:rPr>
          <w:rFonts w:ascii="Arial" w:hAnsi="Arial" w:cs="Arial"/>
          <w:sz w:val="36"/>
          <w:szCs w:val="36"/>
        </w:rPr>
      </w:pPr>
      <w:bookmarkStart w:id="16" w:name="_Toc139544535"/>
      <w:r w:rsidRPr="0067407F">
        <w:rPr>
          <w:rFonts w:ascii="Arial" w:hAnsi="Arial" w:cs="Arial"/>
          <w:sz w:val="36"/>
          <w:szCs w:val="36"/>
        </w:rPr>
        <w:lastRenderedPageBreak/>
        <w:t>Reference list</w:t>
      </w:r>
      <w:bookmarkEnd w:id="16"/>
    </w:p>
    <w:p w14:paraId="5A689A99" w14:textId="61BACC7D" w:rsid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t>Adjei-</w:t>
      </w:r>
      <w:proofErr w:type="spellStart"/>
      <w:r w:rsidRPr="0067407F">
        <w:rPr>
          <w:rFonts w:ascii="Arial" w:hAnsi="Arial" w:cs="Arial"/>
          <w:sz w:val="22"/>
          <w:szCs w:val="22"/>
        </w:rPr>
        <w:t>Bamfo</w:t>
      </w:r>
      <w:proofErr w:type="spellEnd"/>
      <w:r w:rsidRPr="0067407F">
        <w:rPr>
          <w:rFonts w:ascii="Arial" w:hAnsi="Arial" w:cs="Arial"/>
          <w:sz w:val="22"/>
          <w:szCs w:val="22"/>
        </w:rPr>
        <w:t xml:space="preserve">, P., </w:t>
      </w:r>
      <w:proofErr w:type="spellStart"/>
      <w:r w:rsidRPr="0067407F">
        <w:rPr>
          <w:rFonts w:ascii="Arial" w:hAnsi="Arial" w:cs="Arial"/>
          <w:sz w:val="22"/>
          <w:szCs w:val="22"/>
        </w:rPr>
        <w:t>Maloreh-Nyamekye</w:t>
      </w:r>
      <w:proofErr w:type="spellEnd"/>
      <w:r w:rsidRPr="0067407F">
        <w:rPr>
          <w:rFonts w:ascii="Arial" w:hAnsi="Arial" w:cs="Arial"/>
          <w:sz w:val="22"/>
          <w:szCs w:val="22"/>
        </w:rPr>
        <w:t xml:space="preserve">, T. and </w:t>
      </w:r>
      <w:proofErr w:type="spellStart"/>
      <w:r w:rsidRPr="0067407F">
        <w:rPr>
          <w:rFonts w:ascii="Arial" w:hAnsi="Arial" w:cs="Arial"/>
          <w:sz w:val="22"/>
          <w:szCs w:val="22"/>
        </w:rPr>
        <w:t>Ahenkan</w:t>
      </w:r>
      <w:proofErr w:type="spellEnd"/>
      <w:r w:rsidRPr="0067407F">
        <w:rPr>
          <w:rFonts w:ascii="Arial" w:hAnsi="Arial" w:cs="Arial"/>
          <w:sz w:val="22"/>
          <w:szCs w:val="22"/>
        </w:rPr>
        <w:t xml:space="preserve">, A. (2019). The role of e-government in sustainable public procurement in developing countries: A systematic literature review. </w:t>
      </w:r>
      <w:r w:rsidRPr="0067407F">
        <w:rPr>
          <w:rFonts w:ascii="Arial" w:hAnsi="Arial" w:cs="Arial"/>
          <w:i/>
          <w:iCs/>
          <w:sz w:val="22"/>
          <w:szCs w:val="22"/>
        </w:rPr>
        <w:t>Resources, Conservation and Recycling</w:t>
      </w:r>
      <w:r w:rsidRPr="0067407F">
        <w:rPr>
          <w:rFonts w:ascii="Arial" w:hAnsi="Arial" w:cs="Arial"/>
          <w:sz w:val="22"/>
          <w:szCs w:val="22"/>
        </w:rPr>
        <w:t xml:space="preserve">, [online] 142, pp.189–203. </w:t>
      </w:r>
      <w:proofErr w:type="spellStart"/>
      <w:r w:rsidRPr="0067407F">
        <w:rPr>
          <w:rFonts w:ascii="Arial" w:hAnsi="Arial" w:cs="Arial"/>
          <w:sz w:val="22"/>
          <w:szCs w:val="22"/>
        </w:rPr>
        <w:t>doi</w:t>
      </w:r>
      <w:proofErr w:type="spellEnd"/>
      <w:r w:rsidRPr="0067407F">
        <w:rPr>
          <w:rFonts w:ascii="Arial" w:hAnsi="Arial" w:cs="Arial"/>
          <w:sz w:val="22"/>
          <w:szCs w:val="22"/>
        </w:rPr>
        <w:t>: https://doi.org/10.1016/j.resconrec.2018.12.001.</w:t>
      </w:r>
    </w:p>
    <w:p w14:paraId="3261326C" w14:textId="4470227E"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color w:val="222222"/>
          <w:sz w:val="22"/>
          <w:szCs w:val="22"/>
          <w:shd w:val="clear" w:color="auto" w:fill="FFFFFF"/>
        </w:rPr>
        <w:t>Anh, D. B. H., &amp; Tien, N. H. (2021). Using Hoffer matrix in strategic business analysis for Nguyen Hoang Group in Vietnam. </w:t>
      </w:r>
      <w:r w:rsidRPr="0067407F">
        <w:rPr>
          <w:rFonts w:ascii="Arial" w:hAnsi="Arial" w:cs="Arial"/>
          <w:i/>
          <w:iCs/>
          <w:color w:val="222222"/>
          <w:sz w:val="22"/>
          <w:szCs w:val="22"/>
          <w:shd w:val="clear" w:color="auto" w:fill="FFFFFF"/>
        </w:rPr>
        <w:t>International journal multidisciplinary research and growth evaluation</w:t>
      </w:r>
      <w:r w:rsidRPr="0067407F">
        <w:rPr>
          <w:rFonts w:ascii="Arial" w:hAnsi="Arial" w:cs="Arial"/>
          <w:color w:val="222222"/>
          <w:sz w:val="22"/>
          <w:szCs w:val="22"/>
          <w:shd w:val="clear" w:color="auto" w:fill="FFFFFF"/>
        </w:rPr>
        <w:t>, </w:t>
      </w:r>
      <w:r w:rsidRPr="0067407F">
        <w:rPr>
          <w:rFonts w:ascii="Arial" w:hAnsi="Arial" w:cs="Arial"/>
          <w:i/>
          <w:iCs/>
          <w:color w:val="222222"/>
          <w:sz w:val="22"/>
          <w:szCs w:val="22"/>
          <w:shd w:val="clear" w:color="auto" w:fill="FFFFFF"/>
        </w:rPr>
        <w:t>2</w:t>
      </w:r>
      <w:r w:rsidRPr="0067407F">
        <w:rPr>
          <w:rFonts w:ascii="Arial" w:hAnsi="Arial" w:cs="Arial"/>
          <w:color w:val="222222"/>
          <w:sz w:val="22"/>
          <w:szCs w:val="22"/>
          <w:shd w:val="clear" w:color="auto" w:fill="FFFFFF"/>
        </w:rPr>
        <w:t>(4), 61-66.</w:t>
      </w:r>
    </w:p>
    <w:p w14:paraId="79FFB6A5" w14:textId="7B493A02" w:rsid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Aureli</w:t>
      </w:r>
      <w:proofErr w:type="spellEnd"/>
      <w:r w:rsidRPr="0067407F">
        <w:rPr>
          <w:rFonts w:ascii="Arial" w:hAnsi="Arial" w:cs="Arial"/>
          <w:sz w:val="22"/>
          <w:szCs w:val="22"/>
        </w:rPr>
        <w:t xml:space="preserve">, S., Del </w:t>
      </w:r>
      <w:proofErr w:type="spellStart"/>
      <w:r w:rsidRPr="0067407F">
        <w:rPr>
          <w:rFonts w:ascii="Arial" w:hAnsi="Arial" w:cs="Arial"/>
          <w:sz w:val="22"/>
          <w:szCs w:val="22"/>
        </w:rPr>
        <w:t>Baldo</w:t>
      </w:r>
      <w:proofErr w:type="spellEnd"/>
      <w:r w:rsidRPr="0067407F">
        <w:rPr>
          <w:rFonts w:ascii="Arial" w:hAnsi="Arial" w:cs="Arial"/>
          <w:sz w:val="22"/>
          <w:szCs w:val="22"/>
        </w:rPr>
        <w:t xml:space="preserve">, M., Lombardi, R. and </w:t>
      </w:r>
      <w:proofErr w:type="spellStart"/>
      <w:r w:rsidRPr="0067407F">
        <w:rPr>
          <w:rFonts w:ascii="Arial" w:hAnsi="Arial" w:cs="Arial"/>
          <w:sz w:val="22"/>
          <w:szCs w:val="22"/>
        </w:rPr>
        <w:t>Nappo</w:t>
      </w:r>
      <w:proofErr w:type="spellEnd"/>
      <w:r w:rsidRPr="0067407F">
        <w:rPr>
          <w:rFonts w:ascii="Arial" w:hAnsi="Arial" w:cs="Arial"/>
          <w:sz w:val="22"/>
          <w:szCs w:val="22"/>
        </w:rPr>
        <w:t xml:space="preserve">, F. (2020). Nonfinancial reporting regulation and challenges in sustainability disclosure and corporate governance practices. </w:t>
      </w:r>
      <w:r w:rsidRPr="0067407F">
        <w:rPr>
          <w:rFonts w:ascii="Arial" w:hAnsi="Arial" w:cs="Arial"/>
          <w:i/>
          <w:iCs/>
          <w:sz w:val="22"/>
          <w:szCs w:val="22"/>
        </w:rPr>
        <w:t>Business Strategy and the Environment</w:t>
      </w:r>
      <w:r w:rsidRPr="0067407F">
        <w:rPr>
          <w:rFonts w:ascii="Arial" w:hAnsi="Arial" w:cs="Arial"/>
          <w:sz w:val="22"/>
          <w:szCs w:val="22"/>
        </w:rPr>
        <w:t xml:space="preserve">, 29(6). </w:t>
      </w:r>
      <w:proofErr w:type="spellStart"/>
      <w:r w:rsidRPr="0067407F">
        <w:rPr>
          <w:rFonts w:ascii="Arial" w:hAnsi="Arial" w:cs="Arial"/>
          <w:sz w:val="22"/>
          <w:szCs w:val="22"/>
        </w:rPr>
        <w:t>doi</w:t>
      </w:r>
      <w:proofErr w:type="spellEnd"/>
      <w:r w:rsidRPr="0067407F">
        <w:rPr>
          <w:rFonts w:ascii="Arial" w:hAnsi="Arial" w:cs="Arial"/>
          <w:sz w:val="22"/>
          <w:szCs w:val="22"/>
        </w:rPr>
        <w:t>: https://doi.org/10.1002/bse.2509.</w:t>
      </w:r>
    </w:p>
    <w:p w14:paraId="38BD7E56" w14:textId="05374CA8"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DA0D2E">
        <w:rPr>
          <w:rFonts w:ascii="Arial" w:hAnsi="Arial" w:cs="Arial"/>
          <w:color w:val="222222"/>
          <w:sz w:val="22"/>
          <w:szCs w:val="22"/>
          <w:shd w:val="clear" w:color="auto" w:fill="FFFFFF"/>
        </w:rPr>
        <w:t>Banka, M., Tien, N. H., Dao, M. T. H., &amp; Minh, D. T. (2022). Analysis of business strategy of real estate developers in Vietnam: the application of QSPM matrix. </w:t>
      </w:r>
      <w:r w:rsidRPr="00DA0D2E">
        <w:rPr>
          <w:rFonts w:ascii="Arial" w:hAnsi="Arial" w:cs="Arial"/>
          <w:i/>
          <w:iCs/>
          <w:color w:val="222222"/>
          <w:sz w:val="22"/>
          <w:szCs w:val="22"/>
          <w:shd w:val="clear" w:color="auto" w:fill="FFFFFF"/>
        </w:rPr>
        <w:t>International journal of multidisciplinary research and growth evaluation</w:t>
      </w:r>
      <w:r w:rsidRPr="00DA0D2E">
        <w:rPr>
          <w:rFonts w:ascii="Arial" w:hAnsi="Arial" w:cs="Arial"/>
          <w:color w:val="222222"/>
          <w:sz w:val="22"/>
          <w:szCs w:val="22"/>
          <w:shd w:val="clear" w:color="auto" w:fill="FFFFFF"/>
        </w:rPr>
        <w:t>, </w:t>
      </w:r>
      <w:r w:rsidRPr="00DA0D2E">
        <w:rPr>
          <w:rFonts w:ascii="Arial" w:hAnsi="Arial" w:cs="Arial"/>
          <w:i/>
          <w:iCs/>
          <w:color w:val="222222"/>
          <w:sz w:val="22"/>
          <w:szCs w:val="22"/>
          <w:shd w:val="clear" w:color="auto" w:fill="FFFFFF"/>
        </w:rPr>
        <w:t>3</w:t>
      </w:r>
      <w:r w:rsidRPr="00DA0D2E">
        <w:rPr>
          <w:rFonts w:ascii="Arial" w:hAnsi="Arial" w:cs="Arial"/>
          <w:color w:val="222222"/>
          <w:sz w:val="22"/>
          <w:szCs w:val="22"/>
          <w:shd w:val="clear" w:color="auto" w:fill="FFFFFF"/>
        </w:rPr>
        <w:t>(1), 188-196</w:t>
      </w:r>
      <w:r>
        <w:rPr>
          <w:rFonts w:ascii="Arial" w:hAnsi="Arial" w:cs="Arial"/>
          <w:color w:val="222222"/>
          <w:sz w:val="20"/>
          <w:szCs w:val="20"/>
          <w:shd w:val="clear" w:color="auto" w:fill="FFFFFF"/>
        </w:rPr>
        <w:t>.</w:t>
      </w:r>
    </w:p>
    <w:p w14:paraId="620EDAB1" w14:textId="28B661D5"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Casalino</w:t>
      </w:r>
      <w:proofErr w:type="spellEnd"/>
      <w:r w:rsidRPr="0067407F">
        <w:rPr>
          <w:rFonts w:ascii="Arial" w:hAnsi="Arial" w:cs="Arial"/>
          <w:sz w:val="22"/>
          <w:szCs w:val="22"/>
        </w:rPr>
        <w:t xml:space="preserve">, N., </w:t>
      </w:r>
      <w:proofErr w:type="spellStart"/>
      <w:r w:rsidRPr="0067407F">
        <w:rPr>
          <w:rFonts w:ascii="Arial" w:hAnsi="Arial" w:cs="Arial"/>
          <w:sz w:val="22"/>
          <w:szCs w:val="22"/>
        </w:rPr>
        <w:t>Żuchowski</w:t>
      </w:r>
      <w:proofErr w:type="spellEnd"/>
      <w:r w:rsidRPr="0067407F">
        <w:rPr>
          <w:rFonts w:ascii="Arial" w:hAnsi="Arial" w:cs="Arial"/>
          <w:sz w:val="22"/>
          <w:szCs w:val="22"/>
        </w:rPr>
        <w:t xml:space="preserve">, I., </w:t>
      </w:r>
      <w:proofErr w:type="spellStart"/>
      <w:r w:rsidRPr="0067407F">
        <w:rPr>
          <w:rFonts w:ascii="Arial" w:hAnsi="Arial" w:cs="Arial"/>
          <w:sz w:val="22"/>
          <w:szCs w:val="22"/>
        </w:rPr>
        <w:t>Labrinos</w:t>
      </w:r>
      <w:proofErr w:type="spellEnd"/>
      <w:r w:rsidRPr="0067407F">
        <w:rPr>
          <w:rFonts w:ascii="Arial" w:hAnsi="Arial" w:cs="Arial"/>
          <w:sz w:val="22"/>
          <w:szCs w:val="22"/>
        </w:rPr>
        <w:t xml:space="preserve">, N., Munoz Nieto, Á.L. and Martín, J.A. (2019). Digital Strategies and Organizational Performances of SMEs in the Age of Coronavirus: Balancing Digital Transformation with An Effective Business Resilience. </w:t>
      </w:r>
      <w:r w:rsidRPr="0067407F">
        <w:rPr>
          <w:rFonts w:ascii="Arial" w:hAnsi="Arial" w:cs="Arial"/>
          <w:i/>
          <w:iCs/>
          <w:sz w:val="22"/>
          <w:szCs w:val="22"/>
        </w:rPr>
        <w:t>SSRN Electronic Journal</w:t>
      </w:r>
      <w:r w:rsidRPr="0067407F">
        <w:rPr>
          <w:rFonts w:ascii="Arial" w:hAnsi="Arial" w:cs="Arial"/>
          <w:sz w:val="22"/>
          <w:szCs w:val="22"/>
        </w:rPr>
        <w:t xml:space="preserve">. </w:t>
      </w:r>
      <w:proofErr w:type="spellStart"/>
      <w:r w:rsidRPr="0067407F">
        <w:rPr>
          <w:rFonts w:ascii="Arial" w:hAnsi="Arial" w:cs="Arial"/>
          <w:sz w:val="22"/>
          <w:szCs w:val="22"/>
        </w:rPr>
        <w:t>doi</w:t>
      </w:r>
      <w:proofErr w:type="spellEnd"/>
      <w:r w:rsidRPr="0067407F">
        <w:rPr>
          <w:rFonts w:ascii="Arial" w:hAnsi="Arial" w:cs="Arial"/>
          <w:sz w:val="22"/>
          <w:szCs w:val="22"/>
        </w:rPr>
        <w:t>: https://doi.org/10.2139/ssrn.3563426.</w:t>
      </w:r>
    </w:p>
    <w:p w14:paraId="6EE890CA" w14:textId="59C41E8B"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t xml:space="preserve">Chebbi, H., </w:t>
      </w:r>
      <w:proofErr w:type="spellStart"/>
      <w:r w:rsidRPr="0067407F">
        <w:rPr>
          <w:rFonts w:ascii="Arial" w:hAnsi="Arial" w:cs="Arial"/>
          <w:sz w:val="22"/>
          <w:szCs w:val="22"/>
        </w:rPr>
        <w:t>Yahiaoui</w:t>
      </w:r>
      <w:proofErr w:type="spellEnd"/>
      <w:r w:rsidRPr="0067407F">
        <w:rPr>
          <w:rFonts w:ascii="Arial" w:hAnsi="Arial" w:cs="Arial"/>
          <w:sz w:val="22"/>
          <w:szCs w:val="22"/>
        </w:rPr>
        <w:t xml:space="preserve">, D., </w:t>
      </w:r>
      <w:proofErr w:type="spellStart"/>
      <w:r w:rsidRPr="0067407F">
        <w:rPr>
          <w:rFonts w:ascii="Arial" w:hAnsi="Arial" w:cs="Arial"/>
          <w:sz w:val="22"/>
          <w:szCs w:val="22"/>
        </w:rPr>
        <w:t>Sellami</w:t>
      </w:r>
      <w:proofErr w:type="spellEnd"/>
      <w:r w:rsidRPr="0067407F">
        <w:rPr>
          <w:rFonts w:ascii="Arial" w:hAnsi="Arial" w:cs="Arial"/>
          <w:sz w:val="22"/>
          <w:szCs w:val="22"/>
        </w:rPr>
        <w:t xml:space="preserve">, M., </w:t>
      </w:r>
      <w:proofErr w:type="spellStart"/>
      <w:r w:rsidRPr="0067407F">
        <w:rPr>
          <w:rFonts w:ascii="Arial" w:hAnsi="Arial" w:cs="Arial"/>
          <w:sz w:val="22"/>
          <w:szCs w:val="22"/>
        </w:rPr>
        <w:t>Papasolomou</w:t>
      </w:r>
      <w:proofErr w:type="spellEnd"/>
      <w:r w:rsidRPr="0067407F">
        <w:rPr>
          <w:rFonts w:ascii="Arial" w:hAnsi="Arial" w:cs="Arial"/>
          <w:sz w:val="22"/>
          <w:szCs w:val="22"/>
        </w:rPr>
        <w:t xml:space="preserve">, I. and </w:t>
      </w:r>
      <w:proofErr w:type="spellStart"/>
      <w:r w:rsidRPr="0067407F">
        <w:rPr>
          <w:rFonts w:ascii="Arial" w:hAnsi="Arial" w:cs="Arial"/>
          <w:sz w:val="22"/>
          <w:szCs w:val="22"/>
        </w:rPr>
        <w:t>Melanthiou</w:t>
      </w:r>
      <w:proofErr w:type="spellEnd"/>
      <w:r w:rsidRPr="0067407F">
        <w:rPr>
          <w:rFonts w:ascii="Arial" w:hAnsi="Arial" w:cs="Arial"/>
          <w:sz w:val="22"/>
          <w:szCs w:val="22"/>
        </w:rPr>
        <w:t xml:space="preserve">, Y. (2019). Focusing on internal stakeholders to enable the implementation of organizational change towards corporate entrepreneurship: A case study from France. </w:t>
      </w:r>
      <w:r w:rsidRPr="0067407F">
        <w:rPr>
          <w:rFonts w:ascii="Arial" w:hAnsi="Arial" w:cs="Arial"/>
          <w:i/>
          <w:iCs/>
          <w:sz w:val="22"/>
          <w:szCs w:val="22"/>
        </w:rPr>
        <w:t>Journal of Business Research</w:t>
      </w:r>
      <w:r w:rsidRPr="0067407F">
        <w:rPr>
          <w:rFonts w:ascii="Arial" w:hAnsi="Arial" w:cs="Arial"/>
          <w:sz w:val="22"/>
          <w:szCs w:val="22"/>
        </w:rPr>
        <w:t xml:space="preserve">, 119. </w:t>
      </w:r>
      <w:proofErr w:type="spellStart"/>
      <w:r w:rsidRPr="0067407F">
        <w:rPr>
          <w:rFonts w:ascii="Arial" w:hAnsi="Arial" w:cs="Arial"/>
          <w:sz w:val="22"/>
          <w:szCs w:val="22"/>
        </w:rPr>
        <w:t>doi</w:t>
      </w:r>
      <w:proofErr w:type="spellEnd"/>
      <w:r w:rsidRPr="0067407F">
        <w:rPr>
          <w:rFonts w:ascii="Arial" w:hAnsi="Arial" w:cs="Arial"/>
          <w:sz w:val="22"/>
          <w:szCs w:val="22"/>
        </w:rPr>
        <w:t>: https://doi.org/10.1016/j.jbusres.2019.06.003.</w:t>
      </w:r>
    </w:p>
    <w:p w14:paraId="6B078313" w14:textId="6EE909D5"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Cichosz</w:t>
      </w:r>
      <w:proofErr w:type="spellEnd"/>
      <w:r w:rsidRPr="0067407F">
        <w:rPr>
          <w:rFonts w:ascii="Arial" w:hAnsi="Arial" w:cs="Arial"/>
          <w:sz w:val="22"/>
          <w:szCs w:val="22"/>
        </w:rPr>
        <w:t xml:space="preserve">, M., </w:t>
      </w:r>
      <w:proofErr w:type="spellStart"/>
      <w:r w:rsidRPr="0067407F">
        <w:rPr>
          <w:rFonts w:ascii="Arial" w:hAnsi="Arial" w:cs="Arial"/>
          <w:sz w:val="22"/>
          <w:szCs w:val="22"/>
        </w:rPr>
        <w:t>Wallenburg</w:t>
      </w:r>
      <w:proofErr w:type="spellEnd"/>
      <w:r w:rsidRPr="0067407F">
        <w:rPr>
          <w:rFonts w:ascii="Arial" w:hAnsi="Arial" w:cs="Arial"/>
          <w:sz w:val="22"/>
          <w:szCs w:val="22"/>
        </w:rPr>
        <w:t xml:space="preserve">, C.M. and </w:t>
      </w:r>
      <w:proofErr w:type="spellStart"/>
      <w:r w:rsidRPr="0067407F">
        <w:rPr>
          <w:rFonts w:ascii="Arial" w:hAnsi="Arial" w:cs="Arial"/>
          <w:sz w:val="22"/>
          <w:szCs w:val="22"/>
        </w:rPr>
        <w:t>Knemeyer</w:t>
      </w:r>
      <w:proofErr w:type="spellEnd"/>
      <w:r w:rsidRPr="0067407F">
        <w:rPr>
          <w:rFonts w:ascii="Arial" w:hAnsi="Arial" w:cs="Arial"/>
          <w:sz w:val="22"/>
          <w:szCs w:val="22"/>
        </w:rPr>
        <w:t xml:space="preserve">, A.M. (2020). Digital transformation at logistics service providers: barriers, success factors and leading practices. </w:t>
      </w:r>
      <w:r w:rsidRPr="0067407F">
        <w:rPr>
          <w:rFonts w:ascii="Arial" w:hAnsi="Arial" w:cs="Arial"/>
          <w:i/>
          <w:iCs/>
          <w:sz w:val="22"/>
          <w:szCs w:val="22"/>
        </w:rPr>
        <w:t>The International Journal of Logistics Management</w:t>
      </w:r>
      <w:r w:rsidRPr="0067407F">
        <w:rPr>
          <w:rFonts w:ascii="Arial" w:hAnsi="Arial" w:cs="Arial"/>
          <w:sz w:val="22"/>
          <w:szCs w:val="22"/>
        </w:rPr>
        <w:t xml:space="preserve">, 31(2), pp.209–238. </w:t>
      </w:r>
      <w:proofErr w:type="spellStart"/>
      <w:r w:rsidRPr="0067407F">
        <w:rPr>
          <w:rFonts w:ascii="Arial" w:hAnsi="Arial" w:cs="Arial"/>
          <w:sz w:val="22"/>
          <w:szCs w:val="22"/>
        </w:rPr>
        <w:t>doi</w:t>
      </w:r>
      <w:proofErr w:type="spellEnd"/>
      <w:r w:rsidRPr="0067407F">
        <w:rPr>
          <w:rFonts w:ascii="Arial" w:hAnsi="Arial" w:cs="Arial"/>
          <w:sz w:val="22"/>
          <w:szCs w:val="22"/>
        </w:rPr>
        <w:t>: https://doi.org/10.1108/ijlm-08-2019-0229.</w:t>
      </w:r>
    </w:p>
    <w:p w14:paraId="1A3C6D1C" w14:textId="7A22B6EB"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t xml:space="preserve">de Lucas </w:t>
      </w:r>
      <w:proofErr w:type="spellStart"/>
      <w:r w:rsidRPr="0067407F">
        <w:rPr>
          <w:rFonts w:ascii="Arial" w:hAnsi="Arial" w:cs="Arial"/>
          <w:sz w:val="22"/>
          <w:szCs w:val="22"/>
        </w:rPr>
        <w:t>Ancillo</w:t>
      </w:r>
      <w:proofErr w:type="spellEnd"/>
      <w:r w:rsidRPr="0067407F">
        <w:rPr>
          <w:rFonts w:ascii="Arial" w:hAnsi="Arial" w:cs="Arial"/>
          <w:sz w:val="22"/>
          <w:szCs w:val="22"/>
        </w:rPr>
        <w:t xml:space="preserve">, A., del Val </w:t>
      </w:r>
      <w:proofErr w:type="spellStart"/>
      <w:r w:rsidRPr="0067407F">
        <w:rPr>
          <w:rFonts w:ascii="Arial" w:hAnsi="Arial" w:cs="Arial"/>
          <w:sz w:val="22"/>
          <w:szCs w:val="22"/>
        </w:rPr>
        <w:t>Núñez</w:t>
      </w:r>
      <w:proofErr w:type="spellEnd"/>
      <w:r w:rsidRPr="0067407F">
        <w:rPr>
          <w:rFonts w:ascii="Arial" w:hAnsi="Arial" w:cs="Arial"/>
          <w:sz w:val="22"/>
          <w:szCs w:val="22"/>
        </w:rPr>
        <w:t xml:space="preserve">, M.T. and </w:t>
      </w:r>
      <w:proofErr w:type="spellStart"/>
      <w:r w:rsidRPr="0067407F">
        <w:rPr>
          <w:rFonts w:ascii="Arial" w:hAnsi="Arial" w:cs="Arial"/>
          <w:sz w:val="22"/>
          <w:szCs w:val="22"/>
        </w:rPr>
        <w:t>Gavrila</w:t>
      </w:r>
      <w:proofErr w:type="spellEnd"/>
      <w:r w:rsidRPr="0067407F">
        <w:rPr>
          <w:rFonts w:ascii="Arial" w:hAnsi="Arial" w:cs="Arial"/>
          <w:sz w:val="22"/>
          <w:szCs w:val="22"/>
        </w:rPr>
        <w:t xml:space="preserve">, S.G. (2020). Workplace Change within the COVID-19 context: a Grounded Theory Approach. </w:t>
      </w:r>
      <w:r w:rsidRPr="0067407F">
        <w:rPr>
          <w:rFonts w:ascii="Arial" w:hAnsi="Arial" w:cs="Arial"/>
          <w:i/>
          <w:iCs/>
          <w:sz w:val="22"/>
          <w:szCs w:val="22"/>
        </w:rPr>
        <w:t>Economic Research-</w:t>
      </w:r>
      <w:proofErr w:type="spellStart"/>
      <w:r w:rsidRPr="0067407F">
        <w:rPr>
          <w:rFonts w:ascii="Arial" w:hAnsi="Arial" w:cs="Arial"/>
          <w:i/>
          <w:iCs/>
          <w:sz w:val="22"/>
          <w:szCs w:val="22"/>
        </w:rPr>
        <w:t>Ekonomska</w:t>
      </w:r>
      <w:proofErr w:type="spellEnd"/>
      <w:r w:rsidRPr="0067407F">
        <w:rPr>
          <w:rFonts w:ascii="Arial" w:hAnsi="Arial" w:cs="Arial"/>
          <w:i/>
          <w:iCs/>
          <w:sz w:val="22"/>
          <w:szCs w:val="22"/>
        </w:rPr>
        <w:t xml:space="preserve"> </w:t>
      </w:r>
      <w:proofErr w:type="spellStart"/>
      <w:r w:rsidRPr="0067407F">
        <w:rPr>
          <w:rFonts w:ascii="Arial" w:hAnsi="Arial" w:cs="Arial"/>
          <w:i/>
          <w:iCs/>
          <w:sz w:val="22"/>
          <w:szCs w:val="22"/>
        </w:rPr>
        <w:t>Istraživanja</w:t>
      </w:r>
      <w:proofErr w:type="spellEnd"/>
      <w:r w:rsidRPr="0067407F">
        <w:rPr>
          <w:rFonts w:ascii="Arial" w:hAnsi="Arial" w:cs="Arial"/>
          <w:sz w:val="22"/>
          <w:szCs w:val="22"/>
        </w:rPr>
        <w:t xml:space="preserve">, [online] 34(1), pp.1–20. </w:t>
      </w:r>
      <w:proofErr w:type="spellStart"/>
      <w:r w:rsidRPr="0067407F">
        <w:rPr>
          <w:rFonts w:ascii="Arial" w:hAnsi="Arial" w:cs="Arial"/>
          <w:sz w:val="22"/>
          <w:szCs w:val="22"/>
        </w:rPr>
        <w:t>doi</w:t>
      </w:r>
      <w:proofErr w:type="spellEnd"/>
      <w:r w:rsidRPr="0067407F">
        <w:rPr>
          <w:rFonts w:ascii="Arial" w:hAnsi="Arial" w:cs="Arial"/>
          <w:sz w:val="22"/>
          <w:szCs w:val="22"/>
        </w:rPr>
        <w:t>: https://doi.org/10.1080/1331677x.2020.1862689.</w:t>
      </w:r>
    </w:p>
    <w:p w14:paraId="1B3292BB" w14:textId="34AD3655"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Edeh</w:t>
      </w:r>
      <w:proofErr w:type="spellEnd"/>
      <w:r w:rsidRPr="0067407F">
        <w:rPr>
          <w:rFonts w:ascii="Arial" w:hAnsi="Arial" w:cs="Arial"/>
          <w:sz w:val="22"/>
          <w:szCs w:val="22"/>
        </w:rPr>
        <w:t xml:space="preserve">, J.N., </w:t>
      </w:r>
      <w:proofErr w:type="spellStart"/>
      <w:r w:rsidRPr="0067407F">
        <w:rPr>
          <w:rFonts w:ascii="Arial" w:hAnsi="Arial" w:cs="Arial"/>
          <w:sz w:val="22"/>
          <w:szCs w:val="22"/>
        </w:rPr>
        <w:t>Obodoechi</w:t>
      </w:r>
      <w:proofErr w:type="spellEnd"/>
      <w:r w:rsidRPr="0067407F">
        <w:rPr>
          <w:rFonts w:ascii="Arial" w:hAnsi="Arial" w:cs="Arial"/>
          <w:sz w:val="22"/>
          <w:szCs w:val="22"/>
        </w:rPr>
        <w:t xml:space="preserve">, D.N. and Ramos-Hidalgo, E. (2020). Effects of innovation strategies on export performance: New empirical evidence from developing market firms. </w:t>
      </w:r>
      <w:r w:rsidRPr="0067407F">
        <w:rPr>
          <w:rFonts w:ascii="Arial" w:hAnsi="Arial" w:cs="Arial"/>
          <w:i/>
          <w:iCs/>
          <w:sz w:val="22"/>
          <w:szCs w:val="22"/>
        </w:rPr>
        <w:t xml:space="preserve">Technological </w:t>
      </w:r>
      <w:r w:rsidRPr="0067407F">
        <w:rPr>
          <w:rFonts w:ascii="Arial" w:hAnsi="Arial" w:cs="Arial"/>
          <w:i/>
          <w:iCs/>
          <w:sz w:val="22"/>
          <w:szCs w:val="22"/>
        </w:rPr>
        <w:lastRenderedPageBreak/>
        <w:t>Forecasting and Social Change</w:t>
      </w:r>
      <w:r w:rsidRPr="0067407F">
        <w:rPr>
          <w:rFonts w:ascii="Arial" w:hAnsi="Arial" w:cs="Arial"/>
          <w:sz w:val="22"/>
          <w:szCs w:val="22"/>
        </w:rPr>
        <w:t xml:space="preserve">, 158, p.120167. </w:t>
      </w:r>
      <w:proofErr w:type="spellStart"/>
      <w:r w:rsidRPr="0067407F">
        <w:rPr>
          <w:rFonts w:ascii="Arial" w:hAnsi="Arial" w:cs="Arial"/>
          <w:sz w:val="22"/>
          <w:szCs w:val="22"/>
        </w:rPr>
        <w:t>doi</w:t>
      </w:r>
      <w:proofErr w:type="spellEnd"/>
      <w:r w:rsidRPr="0067407F">
        <w:rPr>
          <w:rFonts w:ascii="Arial" w:hAnsi="Arial" w:cs="Arial"/>
          <w:sz w:val="22"/>
          <w:szCs w:val="22"/>
        </w:rPr>
        <w:t>: https://doi.org/10.1016/j.techfore.2020.120167.</w:t>
      </w:r>
    </w:p>
    <w:p w14:paraId="7E33D550" w14:textId="7352FBBC"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Egfjord</w:t>
      </w:r>
      <w:proofErr w:type="spellEnd"/>
      <w:r w:rsidRPr="0067407F">
        <w:rPr>
          <w:rFonts w:ascii="Arial" w:hAnsi="Arial" w:cs="Arial"/>
          <w:sz w:val="22"/>
          <w:szCs w:val="22"/>
        </w:rPr>
        <w:t xml:space="preserve">, K.F.-H. and </w:t>
      </w:r>
      <w:proofErr w:type="spellStart"/>
      <w:r w:rsidRPr="0067407F">
        <w:rPr>
          <w:rFonts w:ascii="Arial" w:hAnsi="Arial" w:cs="Arial"/>
          <w:sz w:val="22"/>
          <w:szCs w:val="22"/>
        </w:rPr>
        <w:t>Sund</w:t>
      </w:r>
      <w:proofErr w:type="spellEnd"/>
      <w:r w:rsidRPr="0067407F">
        <w:rPr>
          <w:rFonts w:ascii="Arial" w:hAnsi="Arial" w:cs="Arial"/>
          <w:sz w:val="22"/>
          <w:szCs w:val="22"/>
        </w:rPr>
        <w:t xml:space="preserve">, K.J. (2020). Do you see what I see? How differing perceptions of the environment can hinder radical business model innovation. </w:t>
      </w:r>
      <w:r w:rsidRPr="0067407F">
        <w:rPr>
          <w:rFonts w:ascii="Arial" w:hAnsi="Arial" w:cs="Arial"/>
          <w:i/>
          <w:iCs/>
          <w:sz w:val="22"/>
          <w:szCs w:val="22"/>
        </w:rPr>
        <w:t>Technological Forecasting and Social Change</w:t>
      </w:r>
      <w:r w:rsidRPr="0067407F">
        <w:rPr>
          <w:rFonts w:ascii="Arial" w:hAnsi="Arial" w:cs="Arial"/>
          <w:sz w:val="22"/>
          <w:szCs w:val="22"/>
        </w:rPr>
        <w:t xml:space="preserve">, 150, p.119787. </w:t>
      </w:r>
      <w:proofErr w:type="spellStart"/>
      <w:r w:rsidRPr="0067407F">
        <w:rPr>
          <w:rFonts w:ascii="Arial" w:hAnsi="Arial" w:cs="Arial"/>
          <w:sz w:val="22"/>
          <w:szCs w:val="22"/>
        </w:rPr>
        <w:t>doi</w:t>
      </w:r>
      <w:proofErr w:type="spellEnd"/>
      <w:r w:rsidRPr="0067407F">
        <w:rPr>
          <w:rFonts w:ascii="Arial" w:hAnsi="Arial" w:cs="Arial"/>
          <w:sz w:val="22"/>
          <w:szCs w:val="22"/>
        </w:rPr>
        <w:t>: https://doi.org/10.1016/j.techfore.2019.119787.</w:t>
      </w:r>
    </w:p>
    <w:p w14:paraId="258B65E9" w14:textId="71DEF9C7" w:rsidR="0067407F" w:rsidRPr="0067407F" w:rsidRDefault="0067407F" w:rsidP="0067407F">
      <w:pPr>
        <w:pStyle w:val="NormalWeb"/>
        <w:spacing w:before="0" w:beforeAutospacing="0" w:after="240" w:afterAutospacing="0" w:line="360" w:lineRule="auto"/>
        <w:rPr>
          <w:rFonts w:ascii="Arial" w:hAnsi="Arial" w:cs="Arial"/>
          <w:sz w:val="22"/>
          <w:szCs w:val="22"/>
        </w:rPr>
      </w:pPr>
      <w:r w:rsidRPr="0067407F">
        <w:rPr>
          <w:rFonts w:ascii="Arial" w:hAnsi="Arial" w:cs="Arial"/>
          <w:sz w:val="22"/>
          <w:szCs w:val="22"/>
        </w:rPr>
        <w:t xml:space="preserve">Elia, G., </w:t>
      </w:r>
      <w:proofErr w:type="spellStart"/>
      <w:r w:rsidRPr="0067407F">
        <w:rPr>
          <w:rFonts w:ascii="Arial" w:hAnsi="Arial" w:cs="Arial"/>
          <w:sz w:val="22"/>
          <w:szCs w:val="22"/>
        </w:rPr>
        <w:t>Messeni</w:t>
      </w:r>
      <w:proofErr w:type="spellEnd"/>
      <w:r w:rsidRPr="0067407F">
        <w:rPr>
          <w:rFonts w:ascii="Arial" w:hAnsi="Arial" w:cs="Arial"/>
          <w:sz w:val="22"/>
          <w:szCs w:val="22"/>
        </w:rPr>
        <w:t xml:space="preserve"> </w:t>
      </w:r>
      <w:proofErr w:type="spellStart"/>
      <w:r w:rsidRPr="0067407F">
        <w:rPr>
          <w:rFonts w:ascii="Arial" w:hAnsi="Arial" w:cs="Arial"/>
          <w:sz w:val="22"/>
          <w:szCs w:val="22"/>
        </w:rPr>
        <w:t>Petruzzelli</w:t>
      </w:r>
      <w:proofErr w:type="spellEnd"/>
      <w:r w:rsidRPr="0067407F">
        <w:rPr>
          <w:rFonts w:ascii="Arial" w:hAnsi="Arial" w:cs="Arial"/>
          <w:sz w:val="22"/>
          <w:szCs w:val="22"/>
        </w:rPr>
        <w:t xml:space="preserve">, A. and </w:t>
      </w:r>
      <w:proofErr w:type="spellStart"/>
      <w:r w:rsidRPr="0067407F">
        <w:rPr>
          <w:rFonts w:ascii="Arial" w:hAnsi="Arial" w:cs="Arial"/>
          <w:sz w:val="22"/>
          <w:szCs w:val="22"/>
        </w:rPr>
        <w:t>Urbinati</w:t>
      </w:r>
      <w:proofErr w:type="spellEnd"/>
      <w:r w:rsidRPr="0067407F">
        <w:rPr>
          <w:rFonts w:ascii="Arial" w:hAnsi="Arial" w:cs="Arial"/>
          <w:sz w:val="22"/>
          <w:szCs w:val="22"/>
        </w:rPr>
        <w:t xml:space="preserve">, A. (2020). Implementing open innovation through virtual brand communities: A case study analysis in the semiconductor industry. </w:t>
      </w:r>
      <w:r w:rsidRPr="0067407F">
        <w:rPr>
          <w:rFonts w:ascii="Arial" w:hAnsi="Arial" w:cs="Arial"/>
          <w:i/>
          <w:iCs/>
          <w:sz w:val="22"/>
          <w:szCs w:val="22"/>
        </w:rPr>
        <w:t>Technological Forecasting</w:t>
      </w:r>
      <w:r>
        <w:rPr>
          <w:rFonts w:ascii="Arial" w:hAnsi="Arial" w:cs="Arial"/>
          <w:i/>
          <w:iCs/>
          <w:sz w:val="22"/>
          <w:szCs w:val="22"/>
        </w:rPr>
        <w:t xml:space="preserve"> </w:t>
      </w:r>
      <w:r w:rsidRPr="0067407F">
        <w:rPr>
          <w:rFonts w:ascii="Arial" w:hAnsi="Arial" w:cs="Arial"/>
          <w:i/>
          <w:iCs/>
          <w:sz w:val="22"/>
          <w:szCs w:val="22"/>
        </w:rPr>
        <w:t>and Social Change</w:t>
      </w:r>
      <w:r w:rsidRPr="0067407F">
        <w:rPr>
          <w:rFonts w:ascii="Arial" w:hAnsi="Arial" w:cs="Arial"/>
          <w:sz w:val="22"/>
          <w:szCs w:val="22"/>
        </w:rPr>
        <w:t xml:space="preserve">, 155, p.119994. </w:t>
      </w:r>
      <w:proofErr w:type="spellStart"/>
      <w:r w:rsidRPr="0067407F">
        <w:rPr>
          <w:rFonts w:ascii="Arial" w:hAnsi="Arial" w:cs="Arial"/>
          <w:sz w:val="22"/>
          <w:szCs w:val="22"/>
        </w:rPr>
        <w:t>doi</w:t>
      </w:r>
      <w:proofErr w:type="spellEnd"/>
      <w:r w:rsidRPr="0067407F">
        <w:rPr>
          <w:rFonts w:ascii="Arial" w:hAnsi="Arial" w:cs="Arial"/>
          <w:sz w:val="22"/>
          <w:szCs w:val="22"/>
        </w:rPr>
        <w:t>: https://doi.org/10.1016/j.techfore.2020.119994.</w:t>
      </w:r>
    </w:p>
    <w:p w14:paraId="6FD15B42" w14:textId="36C79FE3"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Errida</w:t>
      </w:r>
      <w:proofErr w:type="spellEnd"/>
      <w:r w:rsidRPr="0067407F">
        <w:rPr>
          <w:rFonts w:ascii="Arial" w:hAnsi="Arial" w:cs="Arial"/>
          <w:sz w:val="22"/>
          <w:szCs w:val="22"/>
        </w:rPr>
        <w:t xml:space="preserve">, A. and </w:t>
      </w:r>
      <w:proofErr w:type="spellStart"/>
      <w:r w:rsidRPr="0067407F">
        <w:rPr>
          <w:rFonts w:ascii="Arial" w:hAnsi="Arial" w:cs="Arial"/>
          <w:sz w:val="22"/>
          <w:szCs w:val="22"/>
        </w:rPr>
        <w:t>Lotfi</w:t>
      </w:r>
      <w:proofErr w:type="spellEnd"/>
      <w:r w:rsidRPr="0067407F">
        <w:rPr>
          <w:rFonts w:ascii="Arial" w:hAnsi="Arial" w:cs="Arial"/>
          <w:sz w:val="22"/>
          <w:szCs w:val="22"/>
        </w:rPr>
        <w:t xml:space="preserve">, B. (2021). The Determinants of Organizational Change Management success: Literature Review and Case Study. </w:t>
      </w:r>
      <w:r w:rsidRPr="0067407F">
        <w:rPr>
          <w:rFonts w:ascii="Arial" w:hAnsi="Arial" w:cs="Arial"/>
          <w:i/>
          <w:iCs/>
          <w:sz w:val="22"/>
          <w:szCs w:val="22"/>
        </w:rPr>
        <w:t>International Journal of Engineering Business Management</w:t>
      </w:r>
      <w:r w:rsidRPr="0067407F">
        <w:rPr>
          <w:rFonts w:ascii="Arial" w:hAnsi="Arial" w:cs="Arial"/>
          <w:sz w:val="22"/>
          <w:szCs w:val="22"/>
        </w:rPr>
        <w:t xml:space="preserve">, [online] 13(1), pp.1–15. </w:t>
      </w:r>
      <w:proofErr w:type="spellStart"/>
      <w:r w:rsidRPr="0067407F">
        <w:rPr>
          <w:rFonts w:ascii="Arial" w:hAnsi="Arial" w:cs="Arial"/>
          <w:sz w:val="22"/>
          <w:szCs w:val="22"/>
        </w:rPr>
        <w:t>doi</w:t>
      </w:r>
      <w:proofErr w:type="spellEnd"/>
      <w:r w:rsidRPr="0067407F">
        <w:rPr>
          <w:rFonts w:ascii="Arial" w:hAnsi="Arial" w:cs="Arial"/>
          <w:sz w:val="22"/>
          <w:szCs w:val="22"/>
        </w:rPr>
        <w:t>: https://doi.org/10.1177/18479790211016273.</w:t>
      </w:r>
    </w:p>
    <w:p w14:paraId="4DA6D4FB" w14:textId="14D3440A"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Grillitsch</w:t>
      </w:r>
      <w:proofErr w:type="spellEnd"/>
      <w:r w:rsidRPr="0067407F">
        <w:rPr>
          <w:rFonts w:ascii="Arial" w:hAnsi="Arial" w:cs="Arial"/>
          <w:sz w:val="22"/>
          <w:szCs w:val="22"/>
        </w:rPr>
        <w:t xml:space="preserve">, M. and </w:t>
      </w:r>
      <w:proofErr w:type="spellStart"/>
      <w:r w:rsidRPr="0067407F">
        <w:rPr>
          <w:rFonts w:ascii="Arial" w:hAnsi="Arial" w:cs="Arial"/>
          <w:sz w:val="22"/>
          <w:szCs w:val="22"/>
        </w:rPr>
        <w:t>Sotarauta</w:t>
      </w:r>
      <w:proofErr w:type="spellEnd"/>
      <w:r w:rsidRPr="0067407F">
        <w:rPr>
          <w:rFonts w:ascii="Arial" w:hAnsi="Arial" w:cs="Arial"/>
          <w:sz w:val="22"/>
          <w:szCs w:val="22"/>
        </w:rPr>
        <w:t xml:space="preserve">, M. (2019). Trinity of change agency, regional development paths and opportunity spaces. </w:t>
      </w:r>
      <w:r w:rsidRPr="0067407F">
        <w:rPr>
          <w:rFonts w:ascii="Arial" w:hAnsi="Arial" w:cs="Arial"/>
          <w:i/>
          <w:iCs/>
          <w:sz w:val="22"/>
          <w:szCs w:val="22"/>
        </w:rPr>
        <w:t>Progress in Human Geography</w:t>
      </w:r>
      <w:r w:rsidRPr="0067407F">
        <w:rPr>
          <w:rFonts w:ascii="Arial" w:hAnsi="Arial" w:cs="Arial"/>
          <w:sz w:val="22"/>
          <w:szCs w:val="22"/>
        </w:rPr>
        <w:t xml:space="preserve">, 44(4), pp.704–723. </w:t>
      </w:r>
      <w:proofErr w:type="spellStart"/>
      <w:r w:rsidRPr="0067407F">
        <w:rPr>
          <w:rFonts w:ascii="Arial" w:hAnsi="Arial" w:cs="Arial"/>
          <w:sz w:val="22"/>
          <w:szCs w:val="22"/>
        </w:rPr>
        <w:t>doi</w:t>
      </w:r>
      <w:proofErr w:type="spellEnd"/>
      <w:r w:rsidRPr="0067407F">
        <w:rPr>
          <w:rFonts w:ascii="Arial" w:hAnsi="Arial" w:cs="Arial"/>
          <w:sz w:val="22"/>
          <w:szCs w:val="22"/>
        </w:rPr>
        <w:t>: https://doi.org/10.1177/0309132519853870.</w:t>
      </w:r>
    </w:p>
    <w:p w14:paraId="14459181" w14:textId="3A2C1447"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Grzegorczyk</w:t>
      </w:r>
      <w:proofErr w:type="spellEnd"/>
      <w:r w:rsidRPr="0067407F">
        <w:rPr>
          <w:rFonts w:ascii="Arial" w:hAnsi="Arial" w:cs="Arial"/>
          <w:sz w:val="22"/>
          <w:szCs w:val="22"/>
        </w:rPr>
        <w:t xml:space="preserve">, M. (2019). The role of culture-moderated social capital in technology transfer – insights from Asia and America. </w:t>
      </w:r>
      <w:r w:rsidRPr="0067407F">
        <w:rPr>
          <w:rFonts w:ascii="Arial" w:hAnsi="Arial" w:cs="Arial"/>
          <w:i/>
          <w:iCs/>
          <w:sz w:val="22"/>
          <w:szCs w:val="22"/>
        </w:rPr>
        <w:t>Technological Forecasting and Social Change</w:t>
      </w:r>
      <w:r w:rsidRPr="0067407F">
        <w:rPr>
          <w:rFonts w:ascii="Arial" w:hAnsi="Arial" w:cs="Arial"/>
          <w:sz w:val="22"/>
          <w:szCs w:val="22"/>
        </w:rPr>
        <w:t xml:space="preserve">, 143, pp.132–141. </w:t>
      </w:r>
      <w:proofErr w:type="spellStart"/>
      <w:r w:rsidRPr="0067407F">
        <w:rPr>
          <w:rFonts w:ascii="Arial" w:hAnsi="Arial" w:cs="Arial"/>
          <w:sz w:val="22"/>
          <w:szCs w:val="22"/>
        </w:rPr>
        <w:t>doi</w:t>
      </w:r>
      <w:proofErr w:type="spellEnd"/>
      <w:r w:rsidRPr="0067407F">
        <w:rPr>
          <w:rFonts w:ascii="Arial" w:hAnsi="Arial" w:cs="Arial"/>
          <w:sz w:val="22"/>
          <w:szCs w:val="22"/>
        </w:rPr>
        <w:t>: https://doi.org/10.1016/j.techfore.2019.01.021.</w:t>
      </w:r>
    </w:p>
    <w:p w14:paraId="4BEBC00E" w14:textId="07907366"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t xml:space="preserve">Guo, Y. and Zheng, G. (2019). How do firms upgrade capabilities for systemic catch-up in the open innovation context? A multiple-case study of three leading home appliance companies in China. </w:t>
      </w:r>
      <w:r w:rsidRPr="0067407F">
        <w:rPr>
          <w:rFonts w:ascii="Arial" w:hAnsi="Arial" w:cs="Arial"/>
          <w:i/>
          <w:iCs/>
          <w:sz w:val="22"/>
          <w:szCs w:val="22"/>
        </w:rPr>
        <w:t>Technological Forecasting and Social Change</w:t>
      </w:r>
      <w:r w:rsidRPr="0067407F">
        <w:rPr>
          <w:rFonts w:ascii="Arial" w:hAnsi="Arial" w:cs="Arial"/>
          <w:sz w:val="22"/>
          <w:szCs w:val="22"/>
        </w:rPr>
        <w:t xml:space="preserve">, 144, pp.36–48. </w:t>
      </w:r>
      <w:proofErr w:type="spellStart"/>
      <w:r w:rsidRPr="0067407F">
        <w:rPr>
          <w:rFonts w:ascii="Arial" w:hAnsi="Arial" w:cs="Arial"/>
          <w:sz w:val="22"/>
          <w:szCs w:val="22"/>
        </w:rPr>
        <w:t>doi</w:t>
      </w:r>
      <w:proofErr w:type="spellEnd"/>
      <w:r w:rsidRPr="0067407F">
        <w:rPr>
          <w:rFonts w:ascii="Arial" w:hAnsi="Arial" w:cs="Arial"/>
          <w:sz w:val="22"/>
          <w:szCs w:val="22"/>
        </w:rPr>
        <w:t>: https://doi.org/10.1016/j.techfore.2019.04.001.</w:t>
      </w:r>
    </w:p>
    <w:p w14:paraId="2E33A9C9" w14:textId="52BAF1FF"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t xml:space="preserve">Hameed, W.U., Nisar, Q.A. and Wu, H.-C. (2021). Relationships between external knowledge, internal innovation, firms’ open innovation performance, service innovation and business performance in the Pakistani hotel industry. </w:t>
      </w:r>
      <w:r w:rsidRPr="0067407F">
        <w:rPr>
          <w:rFonts w:ascii="Arial" w:hAnsi="Arial" w:cs="Arial"/>
          <w:i/>
          <w:iCs/>
          <w:sz w:val="22"/>
          <w:szCs w:val="22"/>
        </w:rPr>
        <w:t>International Journal of Hospitality Management</w:t>
      </w:r>
      <w:r w:rsidRPr="0067407F">
        <w:rPr>
          <w:rFonts w:ascii="Arial" w:hAnsi="Arial" w:cs="Arial"/>
          <w:sz w:val="22"/>
          <w:szCs w:val="22"/>
        </w:rPr>
        <w:t xml:space="preserve">, 92, p.102745. </w:t>
      </w:r>
      <w:proofErr w:type="spellStart"/>
      <w:r w:rsidRPr="0067407F">
        <w:rPr>
          <w:rFonts w:ascii="Arial" w:hAnsi="Arial" w:cs="Arial"/>
          <w:sz w:val="22"/>
          <w:szCs w:val="22"/>
        </w:rPr>
        <w:t>doi</w:t>
      </w:r>
      <w:proofErr w:type="spellEnd"/>
      <w:r w:rsidRPr="0067407F">
        <w:rPr>
          <w:rFonts w:ascii="Arial" w:hAnsi="Arial" w:cs="Arial"/>
          <w:sz w:val="22"/>
          <w:szCs w:val="22"/>
        </w:rPr>
        <w:t>: https://doi.org/10.1016/j.ijhm.2020.102745.</w:t>
      </w:r>
    </w:p>
    <w:p w14:paraId="0F054F8D" w14:textId="0776CBE4"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Hanelt</w:t>
      </w:r>
      <w:proofErr w:type="spellEnd"/>
      <w:r w:rsidRPr="0067407F">
        <w:rPr>
          <w:rFonts w:ascii="Arial" w:hAnsi="Arial" w:cs="Arial"/>
          <w:sz w:val="22"/>
          <w:szCs w:val="22"/>
        </w:rPr>
        <w:t xml:space="preserve">, A., </w:t>
      </w:r>
      <w:proofErr w:type="spellStart"/>
      <w:r w:rsidRPr="0067407F">
        <w:rPr>
          <w:rFonts w:ascii="Arial" w:hAnsi="Arial" w:cs="Arial"/>
          <w:sz w:val="22"/>
          <w:szCs w:val="22"/>
        </w:rPr>
        <w:t>Bohnsack</w:t>
      </w:r>
      <w:proofErr w:type="spellEnd"/>
      <w:r w:rsidRPr="0067407F">
        <w:rPr>
          <w:rFonts w:ascii="Arial" w:hAnsi="Arial" w:cs="Arial"/>
          <w:sz w:val="22"/>
          <w:szCs w:val="22"/>
        </w:rPr>
        <w:t xml:space="preserve">, R., </w:t>
      </w:r>
      <w:proofErr w:type="spellStart"/>
      <w:r w:rsidRPr="0067407F">
        <w:rPr>
          <w:rFonts w:ascii="Arial" w:hAnsi="Arial" w:cs="Arial"/>
          <w:sz w:val="22"/>
          <w:szCs w:val="22"/>
        </w:rPr>
        <w:t>Marz</w:t>
      </w:r>
      <w:proofErr w:type="spellEnd"/>
      <w:r w:rsidRPr="0067407F">
        <w:rPr>
          <w:rFonts w:ascii="Arial" w:hAnsi="Arial" w:cs="Arial"/>
          <w:sz w:val="22"/>
          <w:szCs w:val="22"/>
        </w:rPr>
        <w:t xml:space="preserve">, D. and Antunes, C. (2020). A systematic review of the literature on digital transformation: insights and implications for strategy and organizational change. </w:t>
      </w:r>
      <w:r w:rsidRPr="0067407F">
        <w:rPr>
          <w:rFonts w:ascii="Arial" w:hAnsi="Arial" w:cs="Arial"/>
          <w:i/>
          <w:iCs/>
          <w:sz w:val="22"/>
          <w:szCs w:val="22"/>
        </w:rPr>
        <w:t>Journal of Management Studies</w:t>
      </w:r>
      <w:r w:rsidRPr="0067407F">
        <w:rPr>
          <w:rFonts w:ascii="Arial" w:hAnsi="Arial" w:cs="Arial"/>
          <w:sz w:val="22"/>
          <w:szCs w:val="22"/>
        </w:rPr>
        <w:t xml:space="preserve">, [online] 58(5), pp.1159–1197. </w:t>
      </w:r>
      <w:proofErr w:type="spellStart"/>
      <w:r w:rsidRPr="0067407F">
        <w:rPr>
          <w:rFonts w:ascii="Arial" w:hAnsi="Arial" w:cs="Arial"/>
          <w:sz w:val="22"/>
          <w:szCs w:val="22"/>
        </w:rPr>
        <w:t>doi</w:t>
      </w:r>
      <w:proofErr w:type="spellEnd"/>
      <w:r w:rsidRPr="0067407F">
        <w:rPr>
          <w:rFonts w:ascii="Arial" w:hAnsi="Arial" w:cs="Arial"/>
          <w:sz w:val="22"/>
          <w:szCs w:val="22"/>
        </w:rPr>
        <w:t>: https://doi.org/10.1111/joms.12639.</w:t>
      </w:r>
    </w:p>
    <w:p w14:paraId="59C98B4B" w14:textId="670193EC"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lastRenderedPageBreak/>
        <w:t xml:space="preserve">Hervas-Oliver, J.-L., </w:t>
      </w:r>
      <w:proofErr w:type="spellStart"/>
      <w:r w:rsidRPr="0067407F">
        <w:rPr>
          <w:rFonts w:ascii="Arial" w:hAnsi="Arial" w:cs="Arial"/>
          <w:sz w:val="22"/>
          <w:szCs w:val="22"/>
        </w:rPr>
        <w:t>Sempere</w:t>
      </w:r>
      <w:proofErr w:type="spellEnd"/>
      <w:r w:rsidRPr="0067407F">
        <w:rPr>
          <w:rFonts w:ascii="Arial" w:hAnsi="Arial" w:cs="Arial"/>
          <w:sz w:val="22"/>
          <w:szCs w:val="22"/>
        </w:rPr>
        <w:t xml:space="preserve">-Ripoll, F. and </w:t>
      </w:r>
      <w:proofErr w:type="spellStart"/>
      <w:r w:rsidRPr="0067407F">
        <w:rPr>
          <w:rFonts w:ascii="Arial" w:hAnsi="Arial" w:cs="Arial"/>
          <w:sz w:val="22"/>
          <w:szCs w:val="22"/>
        </w:rPr>
        <w:t>Boronat</w:t>
      </w:r>
      <w:proofErr w:type="spellEnd"/>
      <w:r w:rsidRPr="0067407F">
        <w:rPr>
          <w:rFonts w:ascii="Arial" w:hAnsi="Arial" w:cs="Arial"/>
          <w:sz w:val="22"/>
          <w:szCs w:val="22"/>
        </w:rPr>
        <w:t xml:space="preserve">-Moll, C. (2021). Technological innovation typologies and open innovation in SMEs: Beyond internal and external sources of knowledge. </w:t>
      </w:r>
      <w:r w:rsidRPr="0067407F">
        <w:rPr>
          <w:rFonts w:ascii="Arial" w:hAnsi="Arial" w:cs="Arial"/>
          <w:i/>
          <w:iCs/>
          <w:sz w:val="22"/>
          <w:szCs w:val="22"/>
        </w:rPr>
        <w:t>Technological Forecasting and Social Change</w:t>
      </w:r>
      <w:r w:rsidRPr="0067407F">
        <w:rPr>
          <w:rFonts w:ascii="Arial" w:hAnsi="Arial" w:cs="Arial"/>
          <w:sz w:val="22"/>
          <w:szCs w:val="22"/>
        </w:rPr>
        <w:t xml:space="preserve">, 162, p.120338. </w:t>
      </w:r>
      <w:proofErr w:type="spellStart"/>
      <w:r w:rsidRPr="0067407F">
        <w:rPr>
          <w:rFonts w:ascii="Arial" w:hAnsi="Arial" w:cs="Arial"/>
          <w:sz w:val="22"/>
          <w:szCs w:val="22"/>
        </w:rPr>
        <w:t>doi</w:t>
      </w:r>
      <w:proofErr w:type="spellEnd"/>
      <w:r w:rsidRPr="0067407F">
        <w:rPr>
          <w:rFonts w:ascii="Arial" w:hAnsi="Arial" w:cs="Arial"/>
          <w:sz w:val="22"/>
          <w:szCs w:val="22"/>
        </w:rPr>
        <w:t>: https://doi.org/10.1016/j.techfore.2020.120338.</w:t>
      </w:r>
    </w:p>
    <w:p w14:paraId="23F1A97E" w14:textId="6CBF55A7"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Ivančić</w:t>
      </w:r>
      <w:proofErr w:type="spellEnd"/>
      <w:r w:rsidRPr="0067407F">
        <w:rPr>
          <w:rFonts w:ascii="Arial" w:hAnsi="Arial" w:cs="Arial"/>
          <w:sz w:val="22"/>
          <w:szCs w:val="22"/>
        </w:rPr>
        <w:t xml:space="preserve">, L., </w:t>
      </w:r>
      <w:proofErr w:type="spellStart"/>
      <w:r w:rsidRPr="0067407F">
        <w:rPr>
          <w:rFonts w:ascii="Arial" w:hAnsi="Arial" w:cs="Arial"/>
          <w:sz w:val="22"/>
          <w:szCs w:val="22"/>
        </w:rPr>
        <w:t>Vukšić</w:t>
      </w:r>
      <w:proofErr w:type="spellEnd"/>
      <w:r w:rsidRPr="0067407F">
        <w:rPr>
          <w:rFonts w:ascii="Arial" w:hAnsi="Arial" w:cs="Arial"/>
          <w:sz w:val="22"/>
          <w:szCs w:val="22"/>
        </w:rPr>
        <w:t xml:space="preserve">, V. and </w:t>
      </w:r>
      <w:proofErr w:type="spellStart"/>
      <w:r w:rsidRPr="0067407F">
        <w:rPr>
          <w:rFonts w:ascii="Arial" w:hAnsi="Arial" w:cs="Arial"/>
          <w:sz w:val="22"/>
          <w:szCs w:val="22"/>
        </w:rPr>
        <w:t>Spremić</w:t>
      </w:r>
      <w:proofErr w:type="spellEnd"/>
      <w:r w:rsidRPr="0067407F">
        <w:rPr>
          <w:rFonts w:ascii="Arial" w:hAnsi="Arial" w:cs="Arial"/>
          <w:sz w:val="22"/>
          <w:szCs w:val="22"/>
        </w:rPr>
        <w:t xml:space="preserve">, M. (2019). Mastering the Digital Transformation Process: Business Practices and Lessons Learned. </w:t>
      </w:r>
      <w:r w:rsidRPr="0067407F">
        <w:rPr>
          <w:rFonts w:ascii="Arial" w:hAnsi="Arial" w:cs="Arial"/>
          <w:i/>
          <w:iCs/>
          <w:sz w:val="22"/>
          <w:szCs w:val="22"/>
        </w:rPr>
        <w:t>Technology Innovation Management Review</w:t>
      </w:r>
      <w:r w:rsidRPr="0067407F">
        <w:rPr>
          <w:rFonts w:ascii="Arial" w:hAnsi="Arial" w:cs="Arial"/>
          <w:sz w:val="22"/>
          <w:szCs w:val="22"/>
        </w:rPr>
        <w:t xml:space="preserve">, [online] 9(2), pp.36–50. </w:t>
      </w:r>
      <w:proofErr w:type="spellStart"/>
      <w:r w:rsidRPr="0067407F">
        <w:rPr>
          <w:rFonts w:ascii="Arial" w:hAnsi="Arial" w:cs="Arial"/>
          <w:sz w:val="22"/>
          <w:szCs w:val="22"/>
        </w:rPr>
        <w:t>doi</w:t>
      </w:r>
      <w:proofErr w:type="spellEnd"/>
      <w:r w:rsidRPr="0067407F">
        <w:rPr>
          <w:rFonts w:ascii="Arial" w:hAnsi="Arial" w:cs="Arial"/>
          <w:sz w:val="22"/>
          <w:szCs w:val="22"/>
        </w:rPr>
        <w:t>: https://doi.org/10.22215/timreview/1217.</w:t>
      </w:r>
    </w:p>
    <w:p w14:paraId="09001A2C" w14:textId="20291577"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t xml:space="preserve">Jewell, D.O., Jewell, S.F. and Kaufman, B.E. (2020). Designing and implementing high-performance work systems: Insights from consulting practice for academic researchers. </w:t>
      </w:r>
      <w:r w:rsidRPr="0067407F">
        <w:rPr>
          <w:rFonts w:ascii="Arial" w:hAnsi="Arial" w:cs="Arial"/>
          <w:i/>
          <w:iCs/>
          <w:sz w:val="22"/>
          <w:szCs w:val="22"/>
        </w:rPr>
        <w:t>Human Resource Management Review</w:t>
      </w:r>
      <w:r w:rsidRPr="0067407F">
        <w:rPr>
          <w:rFonts w:ascii="Arial" w:hAnsi="Arial" w:cs="Arial"/>
          <w:sz w:val="22"/>
          <w:szCs w:val="22"/>
        </w:rPr>
        <w:t xml:space="preserve">, 32(1), p.100749. </w:t>
      </w:r>
      <w:proofErr w:type="spellStart"/>
      <w:r w:rsidRPr="0067407F">
        <w:rPr>
          <w:rFonts w:ascii="Arial" w:hAnsi="Arial" w:cs="Arial"/>
          <w:sz w:val="22"/>
          <w:szCs w:val="22"/>
        </w:rPr>
        <w:t>doi</w:t>
      </w:r>
      <w:proofErr w:type="spellEnd"/>
      <w:r w:rsidRPr="0067407F">
        <w:rPr>
          <w:rFonts w:ascii="Arial" w:hAnsi="Arial" w:cs="Arial"/>
          <w:sz w:val="22"/>
          <w:szCs w:val="22"/>
        </w:rPr>
        <w:t>: https://doi.org/10.1016/j.hrmr.2020.100749.</w:t>
      </w:r>
    </w:p>
    <w:p w14:paraId="63F8C3D4" w14:textId="67C22887"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t xml:space="preserve">Khan, N.A., Khan, A.N. and Gul, S. (2019). Relationship between perception of organizational politics and organizational citizenship </w:t>
      </w:r>
      <w:proofErr w:type="spellStart"/>
      <w:r w:rsidRPr="0067407F">
        <w:rPr>
          <w:rFonts w:ascii="Arial" w:hAnsi="Arial" w:cs="Arial"/>
          <w:sz w:val="22"/>
          <w:szCs w:val="22"/>
        </w:rPr>
        <w:t>behavior</w:t>
      </w:r>
      <w:proofErr w:type="spellEnd"/>
      <w:r w:rsidRPr="0067407F">
        <w:rPr>
          <w:rFonts w:ascii="Arial" w:hAnsi="Arial" w:cs="Arial"/>
          <w:sz w:val="22"/>
          <w:szCs w:val="22"/>
        </w:rPr>
        <w:t xml:space="preserve">: testing a moderated mediation model. </w:t>
      </w:r>
      <w:r w:rsidRPr="0067407F">
        <w:rPr>
          <w:rFonts w:ascii="Arial" w:hAnsi="Arial" w:cs="Arial"/>
          <w:i/>
          <w:iCs/>
          <w:sz w:val="22"/>
          <w:szCs w:val="22"/>
        </w:rPr>
        <w:t>Asian Business &amp; Management</w:t>
      </w:r>
      <w:r w:rsidRPr="0067407F">
        <w:rPr>
          <w:rFonts w:ascii="Arial" w:hAnsi="Arial" w:cs="Arial"/>
          <w:sz w:val="22"/>
          <w:szCs w:val="22"/>
        </w:rPr>
        <w:t xml:space="preserve">, 18(2), pp.122–141. </w:t>
      </w:r>
      <w:proofErr w:type="spellStart"/>
      <w:r w:rsidRPr="0067407F">
        <w:rPr>
          <w:rFonts w:ascii="Arial" w:hAnsi="Arial" w:cs="Arial"/>
          <w:sz w:val="22"/>
          <w:szCs w:val="22"/>
        </w:rPr>
        <w:t>doi</w:t>
      </w:r>
      <w:proofErr w:type="spellEnd"/>
      <w:r w:rsidRPr="0067407F">
        <w:rPr>
          <w:rFonts w:ascii="Arial" w:hAnsi="Arial" w:cs="Arial"/>
          <w:sz w:val="22"/>
          <w:szCs w:val="22"/>
        </w:rPr>
        <w:t>: https://doi.org/10.1057/s41291-018-00057-9.</w:t>
      </w:r>
    </w:p>
    <w:p w14:paraId="597D7E8C" w14:textId="50B9B55E"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Klos</w:t>
      </w:r>
      <w:proofErr w:type="spellEnd"/>
      <w:r w:rsidRPr="0067407F">
        <w:rPr>
          <w:rFonts w:ascii="Arial" w:hAnsi="Arial" w:cs="Arial"/>
          <w:sz w:val="22"/>
          <w:szCs w:val="22"/>
        </w:rPr>
        <w:t xml:space="preserve">, C., Spieth, P., </w:t>
      </w:r>
      <w:proofErr w:type="spellStart"/>
      <w:r w:rsidRPr="0067407F">
        <w:rPr>
          <w:rFonts w:ascii="Arial" w:hAnsi="Arial" w:cs="Arial"/>
          <w:sz w:val="22"/>
          <w:szCs w:val="22"/>
        </w:rPr>
        <w:t>Clauss</w:t>
      </w:r>
      <w:proofErr w:type="spellEnd"/>
      <w:r w:rsidRPr="0067407F">
        <w:rPr>
          <w:rFonts w:ascii="Arial" w:hAnsi="Arial" w:cs="Arial"/>
          <w:sz w:val="22"/>
          <w:szCs w:val="22"/>
        </w:rPr>
        <w:t xml:space="preserve">, T. and </w:t>
      </w:r>
      <w:proofErr w:type="spellStart"/>
      <w:r w:rsidRPr="0067407F">
        <w:rPr>
          <w:rFonts w:ascii="Arial" w:hAnsi="Arial" w:cs="Arial"/>
          <w:sz w:val="22"/>
          <w:szCs w:val="22"/>
        </w:rPr>
        <w:t>Klusmann</w:t>
      </w:r>
      <w:proofErr w:type="spellEnd"/>
      <w:r w:rsidRPr="0067407F">
        <w:rPr>
          <w:rFonts w:ascii="Arial" w:hAnsi="Arial" w:cs="Arial"/>
          <w:sz w:val="22"/>
          <w:szCs w:val="22"/>
        </w:rPr>
        <w:t xml:space="preserve">, C. (2021). Digital Transformation of Incumbent Firms: A Business Model Innovation Perspective. </w:t>
      </w:r>
      <w:r w:rsidRPr="0067407F">
        <w:rPr>
          <w:rFonts w:ascii="Arial" w:hAnsi="Arial" w:cs="Arial"/>
          <w:i/>
          <w:iCs/>
          <w:sz w:val="22"/>
          <w:szCs w:val="22"/>
        </w:rPr>
        <w:t>IEEE Transactions on Engineering Management</w:t>
      </w:r>
      <w:r w:rsidRPr="0067407F">
        <w:rPr>
          <w:rFonts w:ascii="Arial" w:hAnsi="Arial" w:cs="Arial"/>
          <w:sz w:val="22"/>
          <w:szCs w:val="22"/>
        </w:rPr>
        <w:t xml:space="preserve">, pp.1–17. </w:t>
      </w:r>
      <w:proofErr w:type="spellStart"/>
      <w:r w:rsidRPr="0067407F">
        <w:rPr>
          <w:rFonts w:ascii="Arial" w:hAnsi="Arial" w:cs="Arial"/>
          <w:sz w:val="22"/>
          <w:szCs w:val="22"/>
        </w:rPr>
        <w:t>doi</w:t>
      </w:r>
      <w:proofErr w:type="spellEnd"/>
      <w:r w:rsidRPr="0067407F">
        <w:rPr>
          <w:rFonts w:ascii="Arial" w:hAnsi="Arial" w:cs="Arial"/>
          <w:sz w:val="22"/>
          <w:szCs w:val="22"/>
        </w:rPr>
        <w:t>: https://doi.org/10.1109/tem.2021.3075502.</w:t>
      </w:r>
    </w:p>
    <w:p w14:paraId="3E6C953B" w14:textId="22FDFE2C"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Lapuente</w:t>
      </w:r>
      <w:proofErr w:type="spellEnd"/>
      <w:r w:rsidRPr="0067407F">
        <w:rPr>
          <w:rFonts w:ascii="Arial" w:hAnsi="Arial" w:cs="Arial"/>
          <w:sz w:val="22"/>
          <w:szCs w:val="22"/>
        </w:rPr>
        <w:t xml:space="preserve">, V. and Van de </w:t>
      </w:r>
      <w:proofErr w:type="spellStart"/>
      <w:r w:rsidRPr="0067407F">
        <w:rPr>
          <w:rFonts w:ascii="Arial" w:hAnsi="Arial" w:cs="Arial"/>
          <w:sz w:val="22"/>
          <w:szCs w:val="22"/>
        </w:rPr>
        <w:t>Walle</w:t>
      </w:r>
      <w:proofErr w:type="spellEnd"/>
      <w:r w:rsidRPr="0067407F">
        <w:rPr>
          <w:rFonts w:ascii="Arial" w:hAnsi="Arial" w:cs="Arial"/>
          <w:sz w:val="22"/>
          <w:szCs w:val="22"/>
        </w:rPr>
        <w:t xml:space="preserve">, S. (2020). The Effects of New Public Management on the Quality of Public Services. </w:t>
      </w:r>
      <w:r w:rsidRPr="0067407F">
        <w:rPr>
          <w:rFonts w:ascii="Arial" w:hAnsi="Arial" w:cs="Arial"/>
          <w:i/>
          <w:iCs/>
          <w:sz w:val="22"/>
          <w:szCs w:val="22"/>
        </w:rPr>
        <w:t>Governance</w:t>
      </w:r>
      <w:r w:rsidRPr="0067407F">
        <w:rPr>
          <w:rFonts w:ascii="Arial" w:hAnsi="Arial" w:cs="Arial"/>
          <w:sz w:val="22"/>
          <w:szCs w:val="22"/>
        </w:rPr>
        <w:t xml:space="preserve">, 33(3), pp.461–475. </w:t>
      </w:r>
      <w:proofErr w:type="spellStart"/>
      <w:r w:rsidRPr="0067407F">
        <w:rPr>
          <w:rFonts w:ascii="Arial" w:hAnsi="Arial" w:cs="Arial"/>
          <w:sz w:val="22"/>
          <w:szCs w:val="22"/>
        </w:rPr>
        <w:t>doi</w:t>
      </w:r>
      <w:proofErr w:type="spellEnd"/>
      <w:r w:rsidRPr="0067407F">
        <w:rPr>
          <w:rFonts w:ascii="Arial" w:hAnsi="Arial" w:cs="Arial"/>
          <w:sz w:val="22"/>
          <w:szCs w:val="22"/>
        </w:rPr>
        <w:t>: https://doi.org/10.1111/gove.12502.</w:t>
      </w:r>
    </w:p>
    <w:p w14:paraId="66A5C023" w14:textId="669B7829"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t xml:space="preserve">Malhotra, N., </w:t>
      </w:r>
      <w:proofErr w:type="spellStart"/>
      <w:r w:rsidRPr="0067407F">
        <w:rPr>
          <w:rFonts w:ascii="Arial" w:hAnsi="Arial" w:cs="Arial"/>
          <w:sz w:val="22"/>
          <w:szCs w:val="22"/>
        </w:rPr>
        <w:t>Zietsma</w:t>
      </w:r>
      <w:proofErr w:type="spellEnd"/>
      <w:r w:rsidRPr="0067407F">
        <w:rPr>
          <w:rFonts w:ascii="Arial" w:hAnsi="Arial" w:cs="Arial"/>
          <w:sz w:val="22"/>
          <w:szCs w:val="22"/>
        </w:rPr>
        <w:t xml:space="preserve">, C., Morris, T. and Smets, M. (2020). Handling Resistance to Change When Societal and Workplace Logics Conflict. </w:t>
      </w:r>
      <w:r w:rsidRPr="0067407F">
        <w:rPr>
          <w:rFonts w:ascii="Arial" w:hAnsi="Arial" w:cs="Arial"/>
          <w:i/>
          <w:iCs/>
          <w:sz w:val="22"/>
          <w:szCs w:val="22"/>
        </w:rPr>
        <w:t>Administrative Science Quarterly</w:t>
      </w:r>
      <w:r w:rsidRPr="0067407F">
        <w:rPr>
          <w:rFonts w:ascii="Arial" w:hAnsi="Arial" w:cs="Arial"/>
          <w:sz w:val="22"/>
          <w:szCs w:val="22"/>
        </w:rPr>
        <w:t xml:space="preserve">, 66(2), p.000183922096276. </w:t>
      </w:r>
      <w:proofErr w:type="spellStart"/>
      <w:r w:rsidRPr="0067407F">
        <w:rPr>
          <w:rFonts w:ascii="Arial" w:hAnsi="Arial" w:cs="Arial"/>
          <w:sz w:val="22"/>
          <w:szCs w:val="22"/>
        </w:rPr>
        <w:t>doi</w:t>
      </w:r>
      <w:proofErr w:type="spellEnd"/>
      <w:r w:rsidRPr="0067407F">
        <w:rPr>
          <w:rFonts w:ascii="Arial" w:hAnsi="Arial" w:cs="Arial"/>
          <w:sz w:val="22"/>
          <w:szCs w:val="22"/>
        </w:rPr>
        <w:t>: https://doi.org/10.1177/0001839220962760.</w:t>
      </w:r>
    </w:p>
    <w:p w14:paraId="7FC8F865" w14:textId="77A6E348"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t xml:space="preserve">Mansaray, H.E. (2019). The Role of Leadership Style in Organisational Change Management: A Literature Review. </w:t>
      </w:r>
      <w:r w:rsidRPr="0067407F">
        <w:rPr>
          <w:rFonts w:ascii="Arial" w:hAnsi="Arial" w:cs="Arial"/>
          <w:i/>
          <w:iCs/>
          <w:sz w:val="22"/>
          <w:szCs w:val="22"/>
        </w:rPr>
        <w:t>Journal of Human Resource Management</w:t>
      </w:r>
      <w:r w:rsidRPr="0067407F">
        <w:rPr>
          <w:rFonts w:ascii="Arial" w:hAnsi="Arial" w:cs="Arial"/>
          <w:sz w:val="22"/>
          <w:szCs w:val="22"/>
        </w:rPr>
        <w:t xml:space="preserve">, [online] 7(1), pp.18–31. </w:t>
      </w:r>
      <w:proofErr w:type="spellStart"/>
      <w:r w:rsidRPr="0067407F">
        <w:rPr>
          <w:rFonts w:ascii="Arial" w:hAnsi="Arial" w:cs="Arial"/>
          <w:sz w:val="22"/>
          <w:szCs w:val="22"/>
        </w:rPr>
        <w:t>doi</w:t>
      </w:r>
      <w:proofErr w:type="spellEnd"/>
      <w:r w:rsidRPr="0067407F">
        <w:rPr>
          <w:rFonts w:ascii="Arial" w:hAnsi="Arial" w:cs="Arial"/>
          <w:sz w:val="22"/>
          <w:szCs w:val="22"/>
        </w:rPr>
        <w:t>: https://doi.org/10.11648/j.jhrm.20190701.13.</w:t>
      </w:r>
    </w:p>
    <w:p w14:paraId="5BEE3A4B" w14:textId="0B051CA3"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t xml:space="preserve">Marshall, P., Christie, J., </w:t>
      </w:r>
      <w:proofErr w:type="spellStart"/>
      <w:r w:rsidRPr="0067407F">
        <w:rPr>
          <w:rFonts w:ascii="Arial" w:hAnsi="Arial" w:cs="Arial"/>
          <w:sz w:val="22"/>
          <w:szCs w:val="22"/>
        </w:rPr>
        <w:t>Ladkin</w:t>
      </w:r>
      <w:proofErr w:type="spellEnd"/>
      <w:r w:rsidRPr="0067407F">
        <w:rPr>
          <w:rFonts w:ascii="Arial" w:hAnsi="Arial" w:cs="Arial"/>
          <w:sz w:val="22"/>
          <w:szCs w:val="22"/>
        </w:rPr>
        <w:t xml:space="preserve">, P.B., Littlewood, B., Mason, S., Newby, M., Rogers, J., </w:t>
      </w:r>
      <w:proofErr w:type="spellStart"/>
      <w:r w:rsidRPr="0067407F">
        <w:rPr>
          <w:rFonts w:ascii="Arial" w:hAnsi="Arial" w:cs="Arial"/>
          <w:sz w:val="22"/>
          <w:szCs w:val="22"/>
        </w:rPr>
        <w:t>Thimbleby</w:t>
      </w:r>
      <w:proofErr w:type="spellEnd"/>
      <w:r w:rsidRPr="0067407F">
        <w:rPr>
          <w:rFonts w:ascii="Arial" w:hAnsi="Arial" w:cs="Arial"/>
          <w:sz w:val="22"/>
          <w:szCs w:val="22"/>
        </w:rPr>
        <w:t xml:space="preserve">, H. and Thomas CBE, M. (2020). Recommendations for the probity of computer evidence. </w:t>
      </w:r>
      <w:r w:rsidRPr="0067407F">
        <w:rPr>
          <w:rFonts w:ascii="Arial" w:hAnsi="Arial" w:cs="Arial"/>
          <w:i/>
          <w:iCs/>
          <w:sz w:val="22"/>
          <w:szCs w:val="22"/>
        </w:rPr>
        <w:t>Digital Evidence and Electronic Signature Law Review</w:t>
      </w:r>
      <w:r w:rsidRPr="0067407F">
        <w:rPr>
          <w:rFonts w:ascii="Arial" w:hAnsi="Arial" w:cs="Arial"/>
          <w:sz w:val="22"/>
          <w:szCs w:val="22"/>
        </w:rPr>
        <w:t xml:space="preserve">, pp.18–26. </w:t>
      </w:r>
      <w:proofErr w:type="spellStart"/>
      <w:r w:rsidRPr="0067407F">
        <w:rPr>
          <w:rFonts w:ascii="Arial" w:hAnsi="Arial" w:cs="Arial"/>
          <w:sz w:val="22"/>
          <w:szCs w:val="22"/>
        </w:rPr>
        <w:t>doi</w:t>
      </w:r>
      <w:proofErr w:type="spellEnd"/>
      <w:r w:rsidRPr="0067407F">
        <w:rPr>
          <w:rFonts w:ascii="Arial" w:hAnsi="Arial" w:cs="Arial"/>
          <w:sz w:val="22"/>
          <w:szCs w:val="22"/>
        </w:rPr>
        <w:t>: https://doi.org/10.14296/deeslr.v18i0.5240.</w:t>
      </w:r>
    </w:p>
    <w:p w14:paraId="5D3F35F9" w14:textId="17169BD8"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lastRenderedPageBreak/>
        <w:t xml:space="preserve">Men, L.R., Yue, C.A. and Liu, Y. (2020). Vision, passion, and care: The impact of charismatic executive leadership communication on employee trust and support for organizational change. </w:t>
      </w:r>
      <w:r w:rsidRPr="0067407F">
        <w:rPr>
          <w:rFonts w:ascii="Arial" w:hAnsi="Arial" w:cs="Arial"/>
          <w:i/>
          <w:iCs/>
          <w:sz w:val="22"/>
          <w:szCs w:val="22"/>
        </w:rPr>
        <w:t>Public Relations Review</w:t>
      </w:r>
      <w:r w:rsidRPr="0067407F">
        <w:rPr>
          <w:rFonts w:ascii="Arial" w:hAnsi="Arial" w:cs="Arial"/>
          <w:sz w:val="22"/>
          <w:szCs w:val="22"/>
        </w:rPr>
        <w:t xml:space="preserve">, 46(3), p.101927. </w:t>
      </w:r>
      <w:proofErr w:type="spellStart"/>
      <w:r w:rsidRPr="0067407F">
        <w:rPr>
          <w:rFonts w:ascii="Arial" w:hAnsi="Arial" w:cs="Arial"/>
          <w:sz w:val="22"/>
          <w:szCs w:val="22"/>
        </w:rPr>
        <w:t>doi</w:t>
      </w:r>
      <w:proofErr w:type="spellEnd"/>
      <w:r w:rsidRPr="0067407F">
        <w:rPr>
          <w:rFonts w:ascii="Arial" w:hAnsi="Arial" w:cs="Arial"/>
          <w:sz w:val="22"/>
          <w:szCs w:val="22"/>
        </w:rPr>
        <w:t>: https://doi.org/10.1016/j.pubrev.2020.101927.</w:t>
      </w:r>
    </w:p>
    <w:p w14:paraId="5D066C6B" w14:textId="410CBBAF"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t xml:space="preserve">Mitra, A., Gaur, S.S. and </w:t>
      </w:r>
      <w:proofErr w:type="spellStart"/>
      <w:r w:rsidRPr="0067407F">
        <w:rPr>
          <w:rFonts w:ascii="Arial" w:hAnsi="Arial" w:cs="Arial"/>
          <w:sz w:val="22"/>
          <w:szCs w:val="22"/>
        </w:rPr>
        <w:t>Giacosa</w:t>
      </w:r>
      <w:proofErr w:type="spellEnd"/>
      <w:r w:rsidRPr="0067407F">
        <w:rPr>
          <w:rFonts w:ascii="Arial" w:hAnsi="Arial" w:cs="Arial"/>
          <w:sz w:val="22"/>
          <w:szCs w:val="22"/>
        </w:rPr>
        <w:t xml:space="preserve">, E. (2019). Combining organizational change management and organizational ambidexterity using data transformation. </w:t>
      </w:r>
      <w:r w:rsidRPr="0067407F">
        <w:rPr>
          <w:rFonts w:ascii="Arial" w:hAnsi="Arial" w:cs="Arial"/>
          <w:i/>
          <w:iCs/>
          <w:sz w:val="22"/>
          <w:szCs w:val="22"/>
        </w:rPr>
        <w:t>Management Decision</w:t>
      </w:r>
      <w:r w:rsidRPr="0067407F">
        <w:rPr>
          <w:rFonts w:ascii="Arial" w:hAnsi="Arial" w:cs="Arial"/>
          <w:sz w:val="22"/>
          <w:szCs w:val="22"/>
        </w:rPr>
        <w:t xml:space="preserve">, 57(8), pp.2069–2091. </w:t>
      </w:r>
      <w:proofErr w:type="spellStart"/>
      <w:r w:rsidRPr="0067407F">
        <w:rPr>
          <w:rFonts w:ascii="Arial" w:hAnsi="Arial" w:cs="Arial"/>
          <w:sz w:val="22"/>
          <w:szCs w:val="22"/>
        </w:rPr>
        <w:t>doi</w:t>
      </w:r>
      <w:proofErr w:type="spellEnd"/>
      <w:r w:rsidRPr="0067407F">
        <w:rPr>
          <w:rFonts w:ascii="Arial" w:hAnsi="Arial" w:cs="Arial"/>
          <w:sz w:val="22"/>
          <w:szCs w:val="22"/>
        </w:rPr>
        <w:t>: https://doi.org/10.1108/md-07-2018-0841.</w:t>
      </w:r>
    </w:p>
    <w:p w14:paraId="5A7A3257" w14:textId="30C55D12" w:rsid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Mosonyi</w:t>
      </w:r>
      <w:proofErr w:type="spellEnd"/>
      <w:r w:rsidRPr="0067407F">
        <w:rPr>
          <w:rFonts w:ascii="Arial" w:hAnsi="Arial" w:cs="Arial"/>
          <w:sz w:val="22"/>
          <w:szCs w:val="22"/>
        </w:rPr>
        <w:t xml:space="preserve">, S., Empson, L. and Gond, J. (2019). Management Consulting: Towards an Integrative Framework of Knowledge, Identity, and Power. </w:t>
      </w:r>
      <w:r w:rsidRPr="0067407F">
        <w:rPr>
          <w:rFonts w:ascii="Arial" w:hAnsi="Arial" w:cs="Arial"/>
          <w:i/>
          <w:iCs/>
          <w:sz w:val="22"/>
          <w:szCs w:val="22"/>
        </w:rPr>
        <w:t>International Journal of Management Reviews</w:t>
      </w:r>
      <w:r w:rsidRPr="0067407F">
        <w:rPr>
          <w:rFonts w:ascii="Arial" w:hAnsi="Arial" w:cs="Arial"/>
          <w:sz w:val="22"/>
          <w:szCs w:val="22"/>
        </w:rPr>
        <w:t xml:space="preserve">, 22(2), pp.120–149. </w:t>
      </w:r>
      <w:proofErr w:type="spellStart"/>
      <w:r w:rsidRPr="0067407F">
        <w:rPr>
          <w:rFonts w:ascii="Arial" w:hAnsi="Arial" w:cs="Arial"/>
          <w:sz w:val="22"/>
          <w:szCs w:val="22"/>
        </w:rPr>
        <w:t>doi</w:t>
      </w:r>
      <w:proofErr w:type="spellEnd"/>
      <w:r w:rsidRPr="0067407F">
        <w:rPr>
          <w:rFonts w:ascii="Arial" w:hAnsi="Arial" w:cs="Arial"/>
          <w:sz w:val="22"/>
          <w:szCs w:val="22"/>
        </w:rPr>
        <w:t>: https://doi.org/10.1111/ijmr.12218.</w:t>
      </w:r>
      <w:r w:rsidR="00DA0D2E">
        <w:rPr>
          <w:rFonts w:ascii="Arial" w:hAnsi="Arial" w:cs="Arial"/>
          <w:sz w:val="22"/>
          <w:szCs w:val="22"/>
        </w:rPr>
        <w:t xml:space="preserve"> </w:t>
      </w:r>
    </w:p>
    <w:p w14:paraId="69B8BA37" w14:textId="2EFF585A" w:rsidR="00DA0D2E" w:rsidRDefault="00DA0D2E" w:rsidP="0067407F">
      <w:pPr>
        <w:pStyle w:val="NormalWeb"/>
        <w:spacing w:before="0" w:beforeAutospacing="0" w:after="240" w:afterAutospacing="0" w:line="360" w:lineRule="auto"/>
        <w:jc w:val="both"/>
        <w:rPr>
          <w:rFonts w:ascii="Arial" w:hAnsi="Arial" w:cs="Arial"/>
          <w:color w:val="222222"/>
          <w:sz w:val="22"/>
          <w:szCs w:val="22"/>
          <w:shd w:val="clear" w:color="auto" w:fill="FFFFFF"/>
        </w:rPr>
      </w:pPr>
      <w:proofErr w:type="spellStart"/>
      <w:r w:rsidRPr="00DA0D2E">
        <w:rPr>
          <w:rFonts w:ascii="Arial" w:hAnsi="Arial" w:cs="Arial"/>
          <w:color w:val="222222"/>
          <w:sz w:val="22"/>
          <w:szCs w:val="22"/>
          <w:shd w:val="clear" w:color="auto" w:fill="FFFFFF"/>
        </w:rPr>
        <w:t>Msosa</w:t>
      </w:r>
      <w:proofErr w:type="spellEnd"/>
      <w:r w:rsidRPr="00DA0D2E">
        <w:rPr>
          <w:rFonts w:ascii="Arial" w:hAnsi="Arial" w:cs="Arial"/>
          <w:color w:val="222222"/>
          <w:sz w:val="22"/>
          <w:szCs w:val="22"/>
          <w:shd w:val="clear" w:color="auto" w:fill="FFFFFF"/>
        </w:rPr>
        <w:t>, S. K. (2021). Leveraging the Post Office Network to Foster Financial Inclusion. </w:t>
      </w:r>
      <w:r w:rsidRPr="00DA0D2E">
        <w:rPr>
          <w:rFonts w:ascii="Arial" w:hAnsi="Arial" w:cs="Arial"/>
          <w:i/>
          <w:iCs/>
          <w:color w:val="222222"/>
          <w:sz w:val="22"/>
          <w:szCs w:val="22"/>
          <w:shd w:val="clear" w:color="auto" w:fill="FFFFFF"/>
        </w:rPr>
        <w:t>International Journal of Finance &amp; Banking Studies (2147-4486)</w:t>
      </w:r>
      <w:r w:rsidRPr="00DA0D2E">
        <w:rPr>
          <w:rFonts w:ascii="Arial" w:hAnsi="Arial" w:cs="Arial"/>
          <w:color w:val="222222"/>
          <w:sz w:val="22"/>
          <w:szCs w:val="22"/>
          <w:shd w:val="clear" w:color="auto" w:fill="FFFFFF"/>
        </w:rPr>
        <w:t>, </w:t>
      </w:r>
      <w:r w:rsidRPr="00DA0D2E">
        <w:rPr>
          <w:rFonts w:ascii="Arial" w:hAnsi="Arial" w:cs="Arial"/>
          <w:i/>
          <w:iCs/>
          <w:color w:val="222222"/>
          <w:sz w:val="22"/>
          <w:szCs w:val="22"/>
          <w:shd w:val="clear" w:color="auto" w:fill="FFFFFF"/>
        </w:rPr>
        <w:t>10</w:t>
      </w:r>
      <w:r w:rsidRPr="00DA0D2E">
        <w:rPr>
          <w:rFonts w:ascii="Arial" w:hAnsi="Arial" w:cs="Arial"/>
          <w:color w:val="222222"/>
          <w:sz w:val="22"/>
          <w:szCs w:val="22"/>
          <w:shd w:val="clear" w:color="auto" w:fill="FFFFFF"/>
        </w:rPr>
        <w:t>(4), 141-149.</w:t>
      </w:r>
    </w:p>
    <w:p w14:paraId="1B31ED35" w14:textId="6565DA20" w:rsidR="00F075F9" w:rsidRPr="00DA0D2E" w:rsidRDefault="00F075F9" w:rsidP="00F075F9">
      <w:pPr>
        <w:pStyle w:val="NormalWeb"/>
        <w:spacing w:after="240" w:line="360" w:lineRule="auto"/>
        <w:jc w:val="both"/>
        <w:rPr>
          <w:rFonts w:ascii="Arial" w:hAnsi="Arial" w:cs="Arial"/>
          <w:sz w:val="22"/>
          <w:szCs w:val="22"/>
        </w:rPr>
      </w:pPr>
      <w:proofErr w:type="spellStart"/>
      <w:r w:rsidRPr="00F075F9">
        <w:rPr>
          <w:rFonts w:ascii="Arial" w:hAnsi="Arial" w:cs="Arial"/>
          <w:sz w:val="22"/>
          <w:szCs w:val="22"/>
        </w:rPr>
        <w:t>Ninan</w:t>
      </w:r>
      <w:proofErr w:type="spellEnd"/>
      <w:r w:rsidRPr="00F075F9">
        <w:rPr>
          <w:rFonts w:ascii="Arial" w:hAnsi="Arial" w:cs="Arial"/>
          <w:sz w:val="22"/>
          <w:szCs w:val="22"/>
        </w:rPr>
        <w:t xml:space="preserve">, J., Mahalingam, A. and Clegg, S. (2019). External Stakeholder Management Strategies and Resources in Megaprojects: An Organizational Power Perspective. Project Management Journal, 50(6), p.875697281984704. </w:t>
      </w:r>
      <w:proofErr w:type="spellStart"/>
      <w:proofErr w:type="gramStart"/>
      <w:r w:rsidRPr="00F075F9">
        <w:rPr>
          <w:rFonts w:ascii="Arial" w:hAnsi="Arial" w:cs="Arial"/>
          <w:sz w:val="22"/>
          <w:szCs w:val="22"/>
        </w:rPr>
        <w:t>doi:https</w:t>
      </w:r>
      <w:proofErr w:type="spellEnd"/>
      <w:r w:rsidRPr="00F075F9">
        <w:rPr>
          <w:rFonts w:ascii="Arial" w:hAnsi="Arial" w:cs="Arial"/>
          <w:sz w:val="22"/>
          <w:szCs w:val="22"/>
        </w:rPr>
        <w:t>://doi.org/10.1177/8756972819847045</w:t>
      </w:r>
      <w:proofErr w:type="gramEnd"/>
      <w:r w:rsidRPr="00F075F9">
        <w:rPr>
          <w:rFonts w:ascii="Arial" w:hAnsi="Arial" w:cs="Arial"/>
          <w:sz w:val="22"/>
          <w:szCs w:val="22"/>
        </w:rPr>
        <w:t>.</w:t>
      </w:r>
    </w:p>
    <w:p w14:paraId="1CEA1BE8" w14:textId="77777777"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Oreg</w:t>
      </w:r>
      <w:proofErr w:type="spellEnd"/>
      <w:r w:rsidRPr="0067407F">
        <w:rPr>
          <w:rFonts w:ascii="Arial" w:hAnsi="Arial" w:cs="Arial"/>
          <w:sz w:val="22"/>
          <w:szCs w:val="22"/>
        </w:rPr>
        <w:t xml:space="preserve">, S. and </w:t>
      </w:r>
      <w:proofErr w:type="spellStart"/>
      <w:r w:rsidRPr="0067407F">
        <w:rPr>
          <w:rFonts w:ascii="Arial" w:hAnsi="Arial" w:cs="Arial"/>
          <w:sz w:val="22"/>
          <w:szCs w:val="22"/>
        </w:rPr>
        <w:t>Berson</w:t>
      </w:r>
      <w:proofErr w:type="spellEnd"/>
      <w:r w:rsidRPr="0067407F">
        <w:rPr>
          <w:rFonts w:ascii="Arial" w:hAnsi="Arial" w:cs="Arial"/>
          <w:sz w:val="22"/>
          <w:szCs w:val="22"/>
        </w:rPr>
        <w:t xml:space="preserve">, Y. (2019). Leaders’ Impact on Organizational Change: Bridging Theoretical and Methodological Chasms. </w:t>
      </w:r>
      <w:r w:rsidRPr="0067407F">
        <w:rPr>
          <w:rFonts w:ascii="Arial" w:hAnsi="Arial" w:cs="Arial"/>
          <w:i/>
          <w:iCs/>
          <w:sz w:val="22"/>
          <w:szCs w:val="22"/>
        </w:rPr>
        <w:t>Academy of Management Annals</w:t>
      </w:r>
      <w:r w:rsidRPr="0067407F">
        <w:rPr>
          <w:rFonts w:ascii="Arial" w:hAnsi="Arial" w:cs="Arial"/>
          <w:sz w:val="22"/>
          <w:szCs w:val="22"/>
        </w:rPr>
        <w:t>, 13(1), pp.272–307.</w:t>
      </w:r>
    </w:p>
    <w:p w14:paraId="5C3D6720" w14:textId="69DDE36C"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Polinkevych</w:t>
      </w:r>
      <w:proofErr w:type="spellEnd"/>
      <w:r w:rsidRPr="0067407F">
        <w:rPr>
          <w:rFonts w:ascii="Arial" w:hAnsi="Arial" w:cs="Arial"/>
          <w:sz w:val="22"/>
          <w:szCs w:val="22"/>
        </w:rPr>
        <w:t xml:space="preserve">, O., </w:t>
      </w:r>
      <w:proofErr w:type="spellStart"/>
      <w:r w:rsidRPr="0067407F">
        <w:rPr>
          <w:rFonts w:ascii="Arial" w:hAnsi="Arial" w:cs="Arial"/>
          <w:sz w:val="22"/>
          <w:szCs w:val="22"/>
        </w:rPr>
        <w:t>Khovrak</w:t>
      </w:r>
      <w:proofErr w:type="spellEnd"/>
      <w:r w:rsidRPr="0067407F">
        <w:rPr>
          <w:rFonts w:ascii="Arial" w:hAnsi="Arial" w:cs="Arial"/>
          <w:sz w:val="22"/>
          <w:szCs w:val="22"/>
        </w:rPr>
        <w:t xml:space="preserve">, I., </w:t>
      </w:r>
      <w:proofErr w:type="spellStart"/>
      <w:r w:rsidRPr="0067407F">
        <w:rPr>
          <w:rFonts w:ascii="Arial" w:hAnsi="Arial" w:cs="Arial"/>
          <w:sz w:val="22"/>
          <w:szCs w:val="22"/>
        </w:rPr>
        <w:t>Trynchuk</w:t>
      </w:r>
      <w:proofErr w:type="spellEnd"/>
      <w:r w:rsidRPr="0067407F">
        <w:rPr>
          <w:rFonts w:ascii="Arial" w:hAnsi="Arial" w:cs="Arial"/>
          <w:sz w:val="22"/>
          <w:szCs w:val="22"/>
        </w:rPr>
        <w:t xml:space="preserve">, V., </w:t>
      </w:r>
      <w:proofErr w:type="spellStart"/>
      <w:r w:rsidRPr="0067407F">
        <w:rPr>
          <w:rFonts w:ascii="Arial" w:hAnsi="Arial" w:cs="Arial"/>
          <w:sz w:val="22"/>
          <w:szCs w:val="22"/>
        </w:rPr>
        <w:t>Klapkiv</w:t>
      </w:r>
      <w:proofErr w:type="spellEnd"/>
      <w:r w:rsidRPr="0067407F">
        <w:rPr>
          <w:rFonts w:ascii="Arial" w:hAnsi="Arial" w:cs="Arial"/>
          <w:sz w:val="22"/>
          <w:szCs w:val="22"/>
        </w:rPr>
        <w:t xml:space="preserve">, Y. and </w:t>
      </w:r>
      <w:proofErr w:type="spellStart"/>
      <w:r w:rsidRPr="0067407F">
        <w:rPr>
          <w:rFonts w:ascii="Arial" w:hAnsi="Arial" w:cs="Arial"/>
          <w:sz w:val="22"/>
          <w:szCs w:val="22"/>
        </w:rPr>
        <w:t>Volynets</w:t>
      </w:r>
      <w:proofErr w:type="spellEnd"/>
      <w:r w:rsidRPr="0067407F">
        <w:rPr>
          <w:rFonts w:ascii="Arial" w:hAnsi="Arial" w:cs="Arial"/>
          <w:sz w:val="22"/>
          <w:szCs w:val="22"/>
        </w:rPr>
        <w:t xml:space="preserve">, I. (2021). Business Risk Management in Times of Crises and Pandemics. </w:t>
      </w:r>
      <w:r w:rsidRPr="0067407F">
        <w:rPr>
          <w:rFonts w:ascii="Arial" w:hAnsi="Arial" w:cs="Arial"/>
          <w:i/>
          <w:iCs/>
          <w:sz w:val="22"/>
          <w:szCs w:val="22"/>
        </w:rPr>
        <w:t>Montenegrin Journal of Economics</w:t>
      </w:r>
      <w:r w:rsidRPr="0067407F">
        <w:rPr>
          <w:rFonts w:ascii="Arial" w:hAnsi="Arial" w:cs="Arial"/>
          <w:sz w:val="22"/>
          <w:szCs w:val="22"/>
        </w:rPr>
        <w:t xml:space="preserve">, 17(3), pp.99–109. </w:t>
      </w:r>
      <w:proofErr w:type="spellStart"/>
      <w:r w:rsidRPr="0067407F">
        <w:rPr>
          <w:rFonts w:ascii="Arial" w:hAnsi="Arial" w:cs="Arial"/>
          <w:sz w:val="22"/>
          <w:szCs w:val="22"/>
        </w:rPr>
        <w:t>doi</w:t>
      </w:r>
      <w:proofErr w:type="spellEnd"/>
      <w:r w:rsidRPr="0067407F">
        <w:rPr>
          <w:rFonts w:ascii="Arial" w:hAnsi="Arial" w:cs="Arial"/>
          <w:sz w:val="22"/>
          <w:szCs w:val="22"/>
        </w:rPr>
        <w:t>: https://doi.org/10.14254/1800-5845/2021.17-3.8.</w:t>
      </w:r>
    </w:p>
    <w:p w14:paraId="3AAA1A48" w14:textId="2FFABF36"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Ruijer</w:t>
      </w:r>
      <w:proofErr w:type="spellEnd"/>
      <w:r w:rsidRPr="0067407F">
        <w:rPr>
          <w:rFonts w:ascii="Arial" w:hAnsi="Arial" w:cs="Arial"/>
          <w:sz w:val="22"/>
          <w:szCs w:val="22"/>
        </w:rPr>
        <w:t xml:space="preserve">, E., </w:t>
      </w:r>
      <w:proofErr w:type="spellStart"/>
      <w:r w:rsidRPr="0067407F">
        <w:rPr>
          <w:rFonts w:ascii="Arial" w:hAnsi="Arial" w:cs="Arial"/>
          <w:sz w:val="22"/>
          <w:szCs w:val="22"/>
        </w:rPr>
        <w:t>Détienne</w:t>
      </w:r>
      <w:proofErr w:type="spellEnd"/>
      <w:r w:rsidRPr="0067407F">
        <w:rPr>
          <w:rFonts w:ascii="Arial" w:hAnsi="Arial" w:cs="Arial"/>
          <w:sz w:val="22"/>
          <w:szCs w:val="22"/>
        </w:rPr>
        <w:t xml:space="preserve">, F., Baker, M., Groff, J. and Meijer, A.J. (2019). The Politics of Open Government Data: Understanding Organizational Responses to Pressure for More Transparency. </w:t>
      </w:r>
      <w:r w:rsidRPr="0067407F">
        <w:rPr>
          <w:rFonts w:ascii="Arial" w:hAnsi="Arial" w:cs="Arial"/>
          <w:i/>
          <w:iCs/>
          <w:sz w:val="22"/>
          <w:szCs w:val="22"/>
        </w:rPr>
        <w:t>The American Review of Public Administration</w:t>
      </w:r>
      <w:r w:rsidRPr="0067407F">
        <w:rPr>
          <w:rFonts w:ascii="Arial" w:hAnsi="Arial" w:cs="Arial"/>
          <w:sz w:val="22"/>
          <w:szCs w:val="22"/>
        </w:rPr>
        <w:t xml:space="preserve">, 50(3), pp.260–274. </w:t>
      </w:r>
      <w:proofErr w:type="spellStart"/>
      <w:r w:rsidRPr="0067407F">
        <w:rPr>
          <w:rFonts w:ascii="Arial" w:hAnsi="Arial" w:cs="Arial"/>
          <w:sz w:val="22"/>
          <w:szCs w:val="22"/>
        </w:rPr>
        <w:t>doi</w:t>
      </w:r>
      <w:proofErr w:type="spellEnd"/>
      <w:r w:rsidRPr="0067407F">
        <w:rPr>
          <w:rFonts w:ascii="Arial" w:hAnsi="Arial" w:cs="Arial"/>
          <w:sz w:val="22"/>
          <w:szCs w:val="22"/>
        </w:rPr>
        <w:t>: https://doi.org/10.1177/0275074019888065.</w:t>
      </w:r>
    </w:p>
    <w:p w14:paraId="2ABF05F6" w14:textId="02E956B5"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Sayyadi</w:t>
      </w:r>
      <w:proofErr w:type="spellEnd"/>
      <w:r w:rsidRPr="0067407F">
        <w:rPr>
          <w:rFonts w:ascii="Arial" w:hAnsi="Arial" w:cs="Arial"/>
          <w:sz w:val="22"/>
          <w:szCs w:val="22"/>
        </w:rPr>
        <w:t xml:space="preserve">, M. (2019). How effective leadership of knowledge management impacts organizational performance. </w:t>
      </w:r>
      <w:r w:rsidRPr="0067407F">
        <w:rPr>
          <w:rFonts w:ascii="Arial" w:hAnsi="Arial" w:cs="Arial"/>
          <w:i/>
          <w:iCs/>
          <w:sz w:val="22"/>
          <w:szCs w:val="22"/>
        </w:rPr>
        <w:t>Business Information Review</w:t>
      </w:r>
      <w:r w:rsidRPr="0067407F">
        <w:rPr>
          <w:rFonts w:ascii="Arial" w:hAnsi="Arial" w:cs="Arial"/>
          <w:sz w:val="22"/>
          <w:szCs w:val="22"/>
        </w:rPr>
        <w:t xml:space="preserve">, 36(1), p.026638211982964. </w:t>
      </w:r>
      <w:proofErr w:type="spellStart"/>
      <w:r w:rsidRPr="0067407F">
        <w:rPr>
          <w:rFonts w:ascii="Arial" w:hAnsi="Arial" w:cs="Arial"/>
          <w:sz w:val="22"/>
          <w:szCs w:val="22"/>
        </w:rPr>
        <w:t>doi</w:t>
      </w:r>
      <w:proofErr w:type="spellEnd"/>
      <w:r w:rsidRPr="0067407F">
        <w:rPr>
          <w:rFonts w:ascii="Arial" w:hAnsi="Arial" w:cs="Arial"/>
          <w:sz w:val="22"/>
          <w:szCs w:val="22"/>
        </w:rPr>
        <w:t>: https://doi.org/10.1177/0266382119829643.</w:t>
      </w:r>
    </w:p>
    <w:p w14:paraId="7D5484FB" w14:textId="77C43D80" w:rsid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t xml:space="preserve">Stone, D., Porto de Oliveira, O. and Pal, L.A. (2019). Transnational policy transfer: the circulation of ideas, power and development models. </w:t>
      </w:r>
      <w:r w:rsidRPr="0067407F">
        <w:rPr>
          <w:rFonts w:ascii="Arial" w:hAnsi="Arial" w:cs="Arial"/>
          <w:i/>
          <w:iCs/>
          <w:sz w:val="22"/>
          <w:szCs w:val="22"/>
        </w:rPr>
        <w:t>Policy and Society</w:t>
      </w:r>
      <w:r w:rsidRPr="0067407F">
        <w:rPr>
          <w:rFonts w:ascii="Arial" w:hAnsi="Arial" w:cs="Arial"/>
          <w:sz w:val="22"/>
          <w:szCs w:val="22"/>
        </w:rPr>
        <w:t xml:space="preserve">, 39(1), pp.1–18. </w:t>
      </w:r>
      <w:proofErr w:type="spellStart"/>
      <w:r w:rsidRPr="0067407F">
        <w:rPr>
          <w:rFonts w:ascii="Arial" w:hAnsi="Arial" w:cs="Arial"/>
          <w:sz w:val="22"/>
          <w:szCs w:val="22"/>
        </w:rPr>
        <w:t>doi</w:t>
      </w:r>
      <w:proofErr w:type="spellEnd"/>
      <w:r w:rsidRPr="0067407F">
        <w:rPr>
          <w:rFonts w:ascii="Arial" w:hAnsi="Arial" w:cs="Arial"/>
          <w:sz w:val="22"/>
          <w:szCs w:val="22"/>
        </w:rPr>
        <w:t>: https://doi.org/10.1080/14494035.2019.1619325.</w:t>
      </w:r>
    </w:p>
    <w:p w14:paraId="59E09B7E" w14:textId="073CE4C1" w:rsidR="00DA0D2E" w:rsidRPr="00DA0D2E" w:rsidRDefault="00DA0D2E" w:rsidP="0067407F">
      <w:pPr>
        <w:pStyle w:val="NormalWeb"/>
        <w:spacing w:before="0" w:beforeAutospacing="0" w:after="240" w:afterAutospacing="0" w:line="360" w:lineRule="auto"/>
        <w:jc w:val="both"/>
        <w:rPr>
          <w:rFonts w:ascii="Arial" w:hAnsi="Arial" w:cs="Arial"/>
          <w:sz w:val="22"/>
          <w:szCs w:val="22"/>
        </w:rPr>
      </w:pPr>
      <w:r w:rsidRPr="00DA0D2E">
        <w:rPr>
          <w:rFonts w:ascii="Arial" w:hAnsi="Arial" w:cs="Arial"/>
          <w:color w:val="222222"/>
          <w:sz w:val="22"/>
          <w:szCs w:val="22"/>
          <w:shd w:val="clear" w:color="auto" w:fill="FFFFFF"/>
        </w:rPr>
        <w:lastRenderedPageBreak/>
        <w:t>Tang, K. N., &amp; Tang, K. N. (2019). Change management. </w:t>
      </w:r>
      <w:r w:rsidRPr="00DA0D2E">
        <w:rPr>
          <w:rFonts w:ascii="Arial" w:hAnsi="Arial" w:cs="Arial"/>
          <w:i/>
          <w:iCs/>
          <w:color w:val="222222"/>
          <w:sz w:val="22"/>
          <w:szCs w:val="22"/>
          <w:shd w:val="clear" w:color="auto" w:fill="FFFFFF"/>
        </w:rPr>
        <w:t>Leadership and change management</w:t>
      </w:r>
      <w:r w:rsidRPr="00DA0D2E">
        <w:rPr>
          <w:rFonts w:ascii="Arial" w:hAnsi="Arial" w:cs="Arial"/>
          <w:color w:val="222222"/>
          <w:sz w:val="22"/>
          <w:szCs w:val="22"/>
          <w:shd w:val="clear" w:color="auto" w:fill="FFFFFF"/>
        </w:rPr>
        <w:t>, 47-55.</w:t>
      </w:r>
    </w:p>
    <w:p w14:paraId="2E7E907D" w14:textId="7252413D" w:rsidR="0067407F" w:rsidRPr="0067407F" w:rsidRDefault="0067407F" w:rsidP="0067407F">
      <w:pPr>
        <w:pStyle w:val="NormalWeb"/>
        <w:spacing w:before="0" w:beforeAutospacing="0" w:after="240" w:afterAutospacing="0" w:line="360" w:lineRule="auto"/>
        <w:jc w:val="both"/>
        <w:rPr>
          <w:rFonts w:ascii="Arial" w:hAnsi="Arial" w:cs="Arial"/>
          <w:sz w:val="22"/>
          <w:szCs w:val="22"/>
        </w:rPr>
      </w:pPr>
      <w:r w:rsidRPr="0067407F">
        <w:rPr>
          <w:rFonts w:ascii="Arial" w:hAnsi="Arial" w:cs="Arial"/>
          <w:sz w:val="22"/>
          <w:szCs w:val="22"/>
        </w:rPr>
        <w:t xml:space="preserve">von Thiele Schwarz, U., Nielsen, K., Edwards, K., Hasson, H., Ipsen, C., Savage, C., Simonsen </w:t>
      </w:r>
      <w:proofErr w:type="spellStart"/>
      <w:r w:rsidRPr="0067407F">
        <w:rPr>
          <w:rFonts w:ascii="Arial" w:hAnsi="Arial" w:cs="Arial"/>
          <w:sz w:val="22"/>
          <w:szCs w:val="22"/>
        </w:rPr>
        <w:t>Abildgaard</w:t>
      </w:r>
      <w:proofErr w:type="spellEnd"/>
      <w:r w:rsidRPr="0067407F">
        <w:rPr>
          <w:rFonts w:ascii="Arial" w:hAnsi="Arial" w:cs="Arial"/>
          <w:sz w:val="22"/>
          <w:szCs w:val="22"/>
        </w:rPr>
        <w:t xml:space="preserve">, J., Richter, A., </w:t>
      </w:r>
      <w:proofErr w:type="spellStart"/>
      <w:r w:rsidRPr="0067407F">
        <w:rPr>
          <w:rFonts w:ascii="Arial" w:hAnsi="Arial" w:cs="Arial"/>
          <w:sz w:val="22"/>
          <w:szCs w:val="22"/>
        </w:rPr>
        <w:t>Lornudd</w:t>
      </w:r>
      <w:proofErr w:type="spellEnd"/>
      <w:r w:rsidRPr="0067407F">
        <w:rPr>
          <w:rFonts w:ascii="Arial" w:hAnsi="Arial" w:cs="Arial"/>
          <w:sz w:val="22"/>
          <w:szCs w:val="22"/>
        </w:rPr>
        <w:t xml:space="preserve">, C., </w:t>
      </w:r>
      <w:proofErr w:type="spellStart"/>
      <w:r w:rsidRPr="0067407F">
        <w:rPr>
          <w:rFonts w:ascii="Arial" w:hAnsi="Arial" w:cs="Arial"/>
          <w:sz w:val="22"/>
          <w:szCs w:val="22"/>
        </w:rPr>
        <w:t>Mazzocato</w:t>
      </w:r>
      <w:proofErr w:type="spellEnd"/>
      <w:r w:rsidRPr="0067407F">
        <w:rPr>
          <w:rFonts w:ascii="Arial" w:hAnsi="Arial" w:cs="Arial"/>
          <w:sz w:val="22"/>
          <w:szCs w:val="22"/>
        </w:rPr>
        <w:t xml:space="preserve">, P. and Reed, J.E. (2020). How to design, implement and evaluate organizational interventions for maximum impact: the </w:t>
      </w:r>
      <w:proofErr w:type="spellStart"/>
      <w:r w:rsidRPr="0067407F">
        <w:rPr>
          <w:rFonts w:ascii="Arial" w:hAnsi="Arial" w:cs="Arial"/>
          <w:sz w:val="22"/>
          <w:szCs w:val="22"/>
        </w:rPr>
        <w:t>Sigtuna</w:t>
      </w:r>
      <w:proofErr w:type="spellEnd"/>
      <w:r w:rsidRPr="0067407F">
        <w:rPr>
          <w:rFonts w:ascii="Arial" w:hAnsi="Arial" w:cs="Arial"/>
          <w:sz w:val="22"/>
          <w:szCs w:val="22"/>
        </w:rPr>
        <w:t xml:space="preserve"> Principles. </w:t>
      </w:r>
      <w:r w:rsidRPr="0067407F">
        <w:rPr>
          <w:rFonts w:ascii="Arial" w:hAnsi="Arial" w:cs="Arial"/>
          <w:i/>
          <w:iCs/>
          <w:sz w:val="22"/>
          <w:szCs w:val="22"/>
        </w:rPr>
        <w:t>European Journal of Work and Organizational Psychology</w:t>
      </w:r>
      <w:r w:rsidRPr="0067407F">
        <w:rPr>
          <w:rFonts w:ascii="Arial" w:hAnsi="Arial" w:cs="Arial"/>
          <w:sz w:val="22"/>
          <w:szCs w:val="22"/>
        </w:rPr>
        <w:t xml:space="preserve">, 30(3), pp.1–13. </w:t>
      </w:r>
      <w:proofErr w:type="spellStart"/>
      <w:r w:rsidRPr="0067407F">
        <w:rPr>
          <w:rFonts w:ascii="Arial" w:hAnsi="Arial" w:cs="Arial"/>
          <w:sz w:val="22"/>
          <w:szCs w:val="22"/>
        </w:rPr>
        <w:t>doi</w:t>
      </w:r>
      <w:proofErr w:type="spellEnd"/>
      <w:r w:rsidRPr="0067407F">
        <w:rPr>
          <w:rFonts w:ascii="Arial" w:hAnsi="Arial" w:cs="Arial"/>
          <w:sz w:val="22"/>
          <w:szCs w:val="22"/>
        </w:rPr>
        <w:t>: https://doi.org/10.1080/1359432x.2020.1803960.</w:t>
      </w:r>
    </w:p>
    <w:p w14:paraId="4879D643" w14:textId="4F97F36B" w:rsidR="0067407F" w:rsidRDefault="0067407F" w:rsidP="0067407F">
      <w:pPr>
        <w:pStyle w:val="NormalWeb"/>
        <w:spacing w:before="0" w:beforeAutospacing="0" w:after="240" w:afterAutospacing="0" w:line="360" w:lineRule="auto"/>
        <w:jc w:val="both"/>
        <w:rPr>
          <w:rFonts w:ascii="Arial" w:hAnsi="Arial" w:cs="Arial"/>
          <w:sz w:val="22"/>
          <w:szCs w:val="22"/>
        </w:rPr>
      </w:pPr>
      <w:proofErr w:type="spellStart"/>
      <w:r w:rsidRPr="0067407F">
        <w:rPr>
          <w:rFonts w:ascii="Arial" w:hAnsi="Arial" w:cs="Arial"/>
          <w:sz w:val="22"/>
          <w:szCs w:val="22"/>
        </w:rPr>
        <w:t>Weaven</w:t>
      </w:r>
      <w:proofErr w:type="spellEnd"/>
      <w:r w:rsidRPr="0067407F">
        <w:rPr>
          <w:rFonts w:ascii="Arial" w:hAnsi="Arial" w:cs="Arial"/>
          <w:sz w:val="22"/>
          <w:szCs w:val="22"/>
        </w:rPr>
        <w:t xml:space="preserve">, S., Quach, S., </w:t>
      </w:r>
      <w:proofErr w:type="spellStart"/>
      <w:r w:rsidRPr="0067407F">
        <w:rPr>
          <w:rFonts w:ascii="Arial" w:hAnsi="Arial" w:cs="Arial"/>
          <w:sz w:val="22"/>
          <w:szCs w:val="22"/>
        </w:rPr>
        <w:t>Thaichon</w:t>
      </w:r>
      <w:proofErr w:type="spellEnd"/>
      <w:r w:rsidRPr="0067407F">
        <w:rPr>
          <w:rFonts w:ascii="Arial" w:hAnsi="Arial" w:cs="Arial"/>
          <w:sz w:val="22"/>
          <w:szCs w:val="22"/>
        </w:rPr>
        <w:t xml:space="preserve">, P., Frazer, L., </w:t>
      </w:r>
      <w:proofErr w:type="spellStart"/>
      <w:r w:rsidRPr="0067407F">
        <w:rPr>
          <w:rFonts w:ascii="Arial" w:hAnsi="Arial" w:cs="Arial"/>
          <w:sz w:val="22"/>
          <w:szCs w:val="22"/>
        </w:rPr>
        <w:t>Billot</w:t>
      </w:r>
      <w:proofErr w:type="spellEnd"/>
      <w:r w:rsidRPr="0067407F">
        <w:rPr>
          <w:rFonts w:ascii="Arial" w:hAnsi="Arial" w:cs="Arial"/>
          <w:sz w:val="22"/>
          <w:szCs w:val="22"/>
        </w:rPr>
        <w:t xml:space="preserve">, K. and Grace, D. (2021). Surviving an economic downturn: Dynamic capabilities of SMEs. </w:t>
      </w:r>
      <w:r w:rsidRPr="0067407F">
        <w:rPr>
          <w:rFonts w:ascii="Arial" w:hAnsi="Arial" w:cs="Arial"/>
          <w:i/>
          <w:iCs/>
          <w:sz w:val="22"/>
          <w:szCs w:val="22"/>
        </w:rPr>
        <w:t>Journal of Business Research</w:t>
      </w:r>
      <w:r w:rsidRPr="0067407F">
        <w:rPr>
          <w:rFonts w:ascii="Arial" w:hAnsi="Arial" w:cs="Arial"/>
          <w:sz w:val="22"/>
          <w:szCs w:val="22"/>
        </w:rPr>
        <w:t xml:space="preserve">, [online] 128, pp.109–123. </w:t>
      </w:r>
      <w:proofErr w:type="spellStart"/>
      <w:r w:rsidRPr="0067407F">
        <w:rPr>
          <w:rFonts w:ascii="Arial" w:hAnsi="Arial" w:cs="Arial"/>
          <w:sz w:val="22"/>
          <w:szCs w:val="22"/>
        </w:rPr>
        <w:t>doi</w:t>
      </w:r>
      <w:proofErr w:type="spellEnd"/>
      <w:r w:rsidRPr="0067407F">
        <w:rPr>
          <w:rFonts w:ascii="Arial" w:hAnsi="Arial" w:cs="Arial"/>
          <w:sz w:val="22"/>
          <w:szCs w:val="22"/>
        </w:rPr>
        <w:t>: https://doi.org/10.1016/j.jbusres.2021.02.009.</w:t>
      </w:r>
    </w:p>
    <w:p w14:paraId="10734D58" w14:textId="340107B2" w:rsidR="00DA0D2E" w:rsidRPr="00DA0D2E" w:rsidRDefault="00DA0D2E" w:rsidP="0067407F">
      <w:pPr>
        <w:pStyle w:val="NormalWeb"/>
        <w:spacing w:before="0" w:beforeAutospacing="0" w:after="240" w:afterAutospacing="0" w:line="360" w:lineRule="auto"/>
        <w:jc w:val="both"/>
        <w:rPr>
          <w:rFonts w:ascii="Arial" w:hAnsi="Arial" w:cs="Arial"/>
          <w:sz w:val="22"/>
          <w:szCs w:val="22"/>
        </w:rPr>
      </w:pPr>
      <w:r w:rsidRPr="00DA0D2E">
        <w:rPr>
          <w:rFonts w:ascii="Arial" w:hAnsi="Arial" w:cs="Arial"/>
          <w:color w:val="222222"/>
          <w:sz w:val="22"/>
          <w:szCs w:val="22"/>
          <w:shd w:val="clear" w:color="auto" w:fill="FFFFFF"/>
        </w:rPr>
        <w:t>Wright, D., &amp; Gray, C. (2022). Culture is Digital and the shifting terrain of UK cultural policy. </w:t>
      </w:r>
      <w:r w:rsidRPr="00DA0D2E">
        <w:rPr>
          <w:rFonts w:ascii="Arial" w:hAnsi="Arial" w:cs="Arial"/>
          <w:i/>
          <w:iCs/>
          <w:color w:val="222222"/>
          <w:sz w:val="22"/>
          <w:szCs w:val="22"/>
          <w:shd w:val="clear" w:color="auto" w:fill="FFFFFF"/>
        </w:rPr>
        <w:t>International Journal of Cultural Policy</w:t>
      </w:r>
      <w:r w:rsidRPr="00DA0D2E">
        <w:rPr>
          <w:rFonts w:ascii="Arial" w:hAnsi="Arial" w:cs="Arial"/>
          <w:color w:val="222222"/>
          <w:sz w:val="22"/>
          <w:szCs w:val="22"/>
          <w:shd w:val="clear" w:color="auto" w:fill="FFFFFF"/>
        </w:rPr>
        <w:t>, </w:t>
      </w:r>
      <w:r w:rsidRPr="00DA0D2E">
        <w:rPr>
          <w:rFonts w:ascii="Arial" w:hAnsi="Arial" w:cs="Arial"/>
          <w:i/>
          <w:iCs/>
          <w:color w:val="222222"/>
          <w:sz w:val="22"/>
          <w:szCs w:val="22"/>
          <w:shd w:val="clear" w:color="auto" w:fill="FFFFFF"/>
        </w:rPr>
        <w:t>28</w:t>
      </w:r>
      <w:r w:rsidRPr="00DA0D2E">
        <w:rPr>
          <w:rFonts w:ascii="Arial" w:hAnsi="Arial" w:cs="Arial"/>
          <w:color w:val="222222"/>
          <w:sz w:val="22"/>
          <w:szCs w:val="22"/>
          <w:shd w:val="clear" w:color="auto" w:fill="FFFFFF"/>
        </w:rPr>
        <w:t>(7), 799-812.</w:t>
      </w:r>
    </w:p>
    <w:p w14:paraId="691F20A8" w14:textId="77777777" w:rsidR="0067407F" w:rsidRDefault="0067407F" w:rsidP="000A27D6">
      <w:pPr>
        <w:pStyle w:val="Normal1"/>
        <w:spacing w:line="360" w:lineRule="auto"/>
        <w:jc w:val="both"/>
        <w:rPr>
          <w:color w:val="000000" w:themeColor="text1"/>
          <w:lang w:val="en-GB"/>
        </w:rPr>
      </w:pPr>
    </w:p>
    <w:p w14:paraId="3E7FA19A" w14:textId="77777777" w:rsidR="00881EBF" w:rsidRDefault="00881EBF" w:rsidP="000A27D6">
      <w:pPr>
        <w:pStyle w:val="Normal1"/>
        <w:spacing w:line="360" w:lineRule="auto"/>
        <w:jc w:val="both"/>
        <w:rPr>
          <w:color w:val="000000" w:themeColor="text1"/>
          <w:lang w:val="en-GB"/>
        </w:rPr>
      </w:pPr>
    </w:p>
    <w:p w14:paraId="5E42C206" w14:textId="77777777" w:rsidR="00881EBF" w:rsidRDefault="00881EBF" w:rsidP="000A27D6">
      <w:pPr>
        <w:pStyle w:val="Normal1"/>
        <w:spacing w:line="360" w:lineRule="auto"/>
        <w:jc w:val="both"/>
        <w:rPr>
          <w:color w:val="000000" w:themeColor="text1"/>
          <w:lang w:val="en-GB"/>
        </w:rPr>
      </w:pPr>
    </w:p>
    <w:p w14:paraId="035BC18D" w14:textId="77777777" w:rsidR="00881EBF" w:rsidRDefault="00881EBF" w:rsidP="000A27D6">
      <w:pPr>
        <w:pStyle w:val="Normal1"/>
        <w:spacing w:line="360" w:lineRule="auto"/>
        <w:jc w:val="both"/>
        <w:rPr>
          <w:color w:val="000000" w:themeColor="text1"/>
          <w:lang w:val="en-GB"/>
        </w:rPr>
      </w:pPr>
    </w:p>
    <w:p w14:paraId="5D9BF8BD" w14:textId="77777777" w:rsidR="00881EBF" w:rsidRDefault="00881EBF" w:rsidP="000A27D6">
      <w:pPr>
        <w:pStyle w:val="Normal1"/>
        <w:spacing w:line="360" w:lineRule="auto"/>
        <w:jc w:val="both"/>
        <w:rPr>
          <w:color w:val="000000" w:themeColor="text1"/>
          <w:lang w:val="en-GB"/>
        </w:rPr>
      </w:pPr>
    </w:p>
    <w:p w14:paraId="44A6231A" w14:textId="77777777" w:rsidR="00881EBF" w:rsidRDefault="00881EBF" w:rsidP="000A27D6">
      <w:pPr>
        <w:pStyle w:val="Normal1"/>
        <w:spacing w:line="360" w:lineRule="auto"/>
        <w:jc w:val="both"/>
        <w:rPr>
          <w:color w:val="000000" w:themeColor="text1"/>
          <w:lang w:val="en-GB"/>
        </w:rPr>
      </w:pPr>
    </w:p>
    <w:p w14:paraId="16B5ECDE" w14:textId="77777777" w:rsidR="00881EBF" w:rsidRDefault="00881EBF" w:rsidP="000A27D6">
      <w:pPr>
        <w:pStyle w:val="Normal1"/>
        <w:spacing w:line="360" w:lineRule="auto"/>
        <w:jc w:val="both"/>
        <w:rPr>
          <w:color w:val="000000" w:themeColor="text1"/>
          <w:lang w:val="en-GB"/>
        </w:rPr>
      </w:pPr>
    </w:p>
    <w:p w14:paraId="50E4A18F" w14:textId="77777777" w:rsidR="00F60B55" w:rsidRDefault="00F60B55" w:rsidP="000A27D6">
      <w:pPr>
        <w:pStyle w:val="Normal1"/>
        <w:spacing w:line="360" w:lineRule="auto"/>
        <w:jc w:val="both"/>
        <w:rPr>
          <w:color w:val="000000" w:themeColor="text1"/>
          <w:lang w:val="en-GB"/>
        </w:rPr>
      </w:pPr>
    </w:p>
    <w:p w14:paraId="7D0F0DF4" w14:textId="77777777" w:rsidR="00F60B55" w:rsidRDefault="00F60B55" w:rsidP="000A27D6">
      <w:pPr>
        <w:pStyle w:val="Normal1"/>
        <w:spacing w:line="360" w:lineRule="auto"/>
        <w:jc w:val="both"/>
        <w:rPr>
          <w:color w:val="000000" w:themeColor="text1"/>
          <w:lang w:val="en-GB"/>
        </w:rPr>
      </w:pPr>
    </w:p>
    <w:p w14:paraId="1FB4040F" w14:textId="77777777" w:rsidR="00F60B55" w:rsidRDefault="00F60B55" w:rsidP="000A27D6">
      <w:pPr>
        <w:pStyle w:val="Normal1"/>
        <w:spacing w:line="360" w:lineRule="auto"/>
        <w:jc w:val="both"/>
        <w:rPr>
          <w:color w:val="000000" w:themeColor="text1"/>
          <w:lang w:val="en-GB"/>
        </w:rPr>
      </w:pPr>
    </w:p>
    <w:p w14:paraId="44957F81" w14:textId="77777777" w:rsidR="00F60B55" w:rsidRDefault="00F60B55" w:rsidP="000A27D6">
      <w:pPr>
        <w:pStyle w:val="Normal1"/>
        <w:spacing w:line="360" w:lineRule="auto"/>
        <w:jc w:val="both"/>
        <w:rPr>
          <w:color w:val="000000" w:themeColor="text1"/>
          <w:lang w:val="en-GB"/>
        </w:rPr>
      </w:pPr>
    </w:p>
    <w:p w14:paraId="14872655" w14:textId="77777777" w:rsidR="00F60B55" w:rsidRDefault="00F60B55" w:rsidP="000A27D6">
      <w:pPr>
        <w:pStyle w:val="Normal1"/>
        <w:spacing w:line="360" w:lineRule="auto"/>
        <w:jc w:val="both"/>
        <w:rPr>
          <w:color w:val="000000" w:themeColor="text1"/>
          <w:lang w:val="en-GB"/>
        </w:rPr>
      </w:pPr>
    </w:p>
    <w:p w14:paraId="2C007E7A" w14:textId="77777777" w:rsidR="00F60B55" w:rsidRDefault="00F60B55" w:rsidP="000A27D6">
      <w:pPr>
        <w:pStyle w:val="Normal1"/>
        <w:spacing w:line="360" w:lineRule="auto"/>
        <w:jc w:val="both"/>
        <w:rPr>
          <w:color w:val="000000" w:themeColor="text1"/>
          <w:lang w:val="en-GB"/>
        </w:rPr>
      </w:pPr>
    </w:p>
    <w:p w14:paraId="16F6FC50" w14:textId="77777777" w:rsidR="00F60B55" w:rsidRDefault="00F60B55" w:rsidP="000A27D6">
      <w:pPr>
        <w:pStyle w:val="Normal1"/>
        <w:spacing w:line="360" w:lineRule="auto"/>
        <w:jc w:val="both"/>
        <w:rPr>
          <w:color w:val="000000" w:themeColor="text1"/>
          <w:lang w:val="en-GB"/>
        </w:rPr>
      </w:pPr>
    </w:p>
    <w:p w14:paraId="661E242A" w14:textId="77777777" w:rsidR="00F60B55" w:rsidRDefault="00F60B55" w:rsidP="000A27D6">
      <w:pPr>
        <w:pStyle w:val="Normal1"/>
        <w:spacing w:line="360" w:lineRule="auto"/>
        <w:jc w:val="both"/>
        <w:rPr>
          <w:color w:val="000000" w:themeColor="text1"/>
          <w:lang w:val="en-GB"/>
        </w:rPr>
      </w:pPr>
    </w:p>
    <w:p w14:paraId="73D5D5D8" w14:textId="77777777" w:rsidR="00F60B55" w:rsidRDefault="00F60B55" w:rsidP="000A27D6">
      <w:pPr>
        <w:pStyle w:val="Normal1"/>
        <w:spacing w:line="360" w:lineRule="auto"/>
        <w:jc w:val="both"/>
        <w:rPr>
          <w:color w:val="000000" w:themeColor="text1"/>
          <w:lang w:val="en-GB"/>
        </w:rPr>
      </w:pPr>
    </w:p>
    <w:p w14:paraId="31AB3727" w14:textId="77777777" w:rsidR="00F60B55" w:rsidRDefault="00F60B55" w:rsidP="000A27D6">
      <w:pPr>
        <w:pStyle w:val="Normal1"/>
        <w:spacing w:line="360" w:lineRule="auto"/>
        <w:jc w:val="both"/>
        <w:rPr>
          <w:color w:val="000000" w:themeColor="text1"/>
          <w:lang w:val="en-GB"/>
        </w:rPr>
      </w:pPr>
    </w:p>
    <w:p w14:paraId="3E098003" w14:textId="77777777" w:rsidR="00F60B55" w:rsidRDefault="00F60B55" w:rsidP="000A27D6">
      <w:pPr>
        <w:pStyle w:val="Normal1"/>
        <w:spacing w:line="360" w:lineRule="auto"/>
        <w:jc w:val="both"/>
        <w:rPr>
          <w:color w:val="000000" w:themeColor="text1"/>
          <w:lang w:val="en-GB"/>
        </w:rPr>
      </w:pPr>
    </w:p>
    <w:p w14:paraId="0F9F0100" w14:textId="77777777" w:rsidR="00F60B55" w:rsidRDefault="00F60B55" w:rsidP="000A27D6">
      <w:pPr>
        <w:pStyle w:val="Normal1"/>
        <w:spacing w:line="360" w:lineRule="auto"/>
        <w:jc w:val="both"/>
        <w:rPr>
          <w:color w:val="000000" w:themeColor="text1"/>
          <w:lang w:val="en-GB"/>
        </w:rPr>
      </w:pPr>
    </w:p>
    <w:p w14:paraId="69239031" w14:textId="77777777" w:rsidR="00F60B55" w:rsidRDefault="00F60B55" w:rsidP="000A27D6">
      <w:pPr>
        <w:pStyle w:val="Normal1"/>
        <w:spacing w:line="360" w:lineRule="auto"/>
        <w:jc w:val="both"/>
        <w:rPr>
          <w:color w:val="000000" w:themeColor="text1"/>
          <w:lang w:val="en-GB"/>
        </w:rPr>
      </w:pPr>
    </w:p>
    <w:p w14:paraId="7DDA3414" w14:textId="77777777" w:rsidR="00F60B55" w:rsidRDefault="00F60B55" w:rsidP="000A27D6">
      <w:pPr>
        <w:pStyle w:val="Normal1"/>
        <w:spacing w:line="360" w:lineRule="auto"/>
        <w:jc w:val="both"/>
        <w:rPr>
          <w:color w:val="000000" w:themeColor="text1"/>
          <w:lang w:val="en-GB"/>
        </w:rPr>
      </w:pPr>
    </w:p>
    <w:p w14:paraId="089DDF29" w14:textId="34E1C99A" w:rsidR="00881EBF" w:rsidRPr="00881EBF" w:rsidRDefault="00881EBF" w:rsidP="00881EBF">
      <w:pPr>
        <w:pStyle w:val="Heading1"/>
        <w:rPr>
          <w:rFonts w:ascii="Arial" w:hAnsi="Arial" w:cs="Arial"/>
          <w:sz w:val="36"/>
          <w:szCs w:val="36"/>
        </w:rPr>
      </w:pPr>
      <w:bookmarkStart w:id="17" w:name="_Toc139544536"/>
      <w:r w:rsidRPr="00881EBF">
        <w:rPr>
          <w:rFonts w:ascii="Arial" w:hAnsi="Arial" w:cs="Arial"/>
          <w:sz w:val="36"/>
          <w:szCs w:val="36"/>
        </w:rPr>
        <w:lastRenderedPageBreak/>
        <w:t xml:space="preserve">Appendix </w:t>
      </w:r>
      <w:r w:rsidR="00E53A33">
        <w:rPr>
          <w:rFonts w:ascii="Arial" w:hAnsi="Arial" w:cs="Arial"/>
          <w:sz w:val="36"/>
          <w:szCs w:val="36"/>
        </w:rPr>
        <w:t>1</w:t>
      </w:r>
      <w:bookmarkEnd w:id="17"/>
    </w:p>
    <w:p w14:paraId="7AEDAE16" w14:textId="77777777" w:rsidR="00B23BF7" w:rsidRPr="00B23BF7" w:rsidRDefault="00B23BF7" w:rsidP="00851469">
      <w:pPr>
        <w:pStyle w:val="Normal1"/>
        <w:spacing w:line="360" w:lineRule="auto"/>
        <w:jc w:val="both"/>
        <w:rPr>
          <w:color w:val="000000" w:themeColor="text1"/>
          <w:lang w:val="en-GB"/>
        </w:rPr>
      </w:pPr>
    </w:p>
    <w:tbl>
      <w:tblPr>
        <w:tblW w:w="9570" w:type="dxa"/>
        <w:tblInd w:w="15" w:type="dxa"/>
        <w:tblBorders>
          <w:insideH w:val="nil"/>
          <w:insideV w:val="nil"/>
        </w:tblBorders>
        <w:tblLayout w:type="fixed"/>
        <w:tblLook w:val="0600" w:firstRow="0" w:lastRow="0" w:firstColumn="0" w:lastColumn="0" w:noHBand="1" w:noVBand="1"/>
      </w:tblPr>
      <w:tblGrid>
        <w:gridCol w:w="3225"/>
        <w:gridCol w:w="6345"/>
      </w:tblGrid>
      <w:tr w:rsidR="00E53A33" w:rsidRPr="00E53A33" w14:paraId="79B3B16A" w14:textId="77777777" w:rsidTr="00E53A33">
        <w:trPr>
          <w:trHeight w:val="436"/>
        </w:trPr>
        <w:tc>
          <w:tcPr>
            <w:tcW w:w="3225" w:type="dxa"/>
            <w:tcBorders>
              <w:top w:val="single" w:sz="6" w:space="0" w:color="000000"/>
              <w:left w:val="single" w:sz="6" w:space="0" w:color="000000"/>
              <w:bottom w:val="single" w:sz="6" w:space="0" w:color="000000"/>
              <w:right w:val="single" w:sz="6" w:space="0" w:color="000000"/>
            </w:tcBorders>
            <w:hideMark/>
          </w:tcPr>
          <w:p w14:paraId="1C8E1455" w14:textId="77777777" w:rsidR="00E53A33" w:rsidRPr="00E53A33" w:rsidRDefault="00E53A33" w:rsidP="00E53A33">
            <w:pPr>
              <w:rPr>
                <w:rFonts w:ascii="Arial" w:hAnsi="Arial" w:cs="Arial"/>
                <w:b/>
              </w:rPr>
            </w:pPr>
            <w:r w:rsidRPr="00E53A33">
              <w:rPr>
                <w:rFonts w:ascii="Arial" w:hAnsi="Arial" w:cs="Arial"/>
                <w:b/>
              </w:rPr>
              <w:t>Questions</w:t>
            </w:r>
          </w:p>
        </w:tc>
        <w:tc>
          <w:tcPr>
            <w:tcW w:w="6345" w:type="dxa"/>
            <w:tcBorders>
              <w:top w:val="single" w:sz="6" w:space="0" w:color="000000"/>
              <w:left w:val="nil"/>
              <w:bottom w:val="single" w:sz="6" w:space="0" w:color="000000"/>
              <w:right w:val="single" w:sz="6" w:space="0" w:color="000000"/>
            </w:tcBorders>
            <w:hideMark/>
          </w:tcPr>
          <w:p w14:paraId="11AECB23" w14:textId="77777777" w:rsidR="00E53A33" w:rsidRPr="00E53A33" w:rsidRDefault="00E53A33" w:rsidP="00E53A33">
            <w:pPr>
              <w:rPr>
                <w:rFonts w:ascii="Arial" w:hAnsi="Arial" w:cs="Arial"/>
                <w:b/>
              </w:rPr>
            </w:pPr>
            <w:r w:rsidRPr="00E53A33">
              <w:rPr>
                <w:rFonts w:ascii="Arial" w:hAnsi="Arial" w:cs="Arial"/>
                <w:b/>
              </w:rPr>
              <w:t>Participant 1</w:t>
            </w:r>
          </w:p>
        </w:tc>
      </w:tr>
      <w:tr w:rsidR="00E53A33" w:rsidRPr="00E53A33" w14:paraId="7A68CA1C" w14:textId="77777777" w:rsidTr="00B202FD">
        <w:trPr>
          <w:trHeight w:val="485"/>
        </w:trPr>
        <w:tc>
          <w:tcPr>
            <w:tcW w:w="3225" w:type="dxa"/>
            <w:tcBorders>
              <w:top w:val="nil"/>
              <w:left w:val="single" w:sz="6" w:space="0" w:color="000000"/>
              <w:bottom w:val="single" w:sz="6" w:space="0" w:color="000000"/>
              <w:right w:val="single" w:sz="6" w:space="0" w:color="000000"/>
            </w:tcBorders>
            <w:hideMark/>
          </w:tcPr>
          <w:p w14:paraId="7DAA1615" w14:textId="77777777" w:rsidR="00E53A33" w:rsidRPr="00E53A33" w:rsidRDefault="00E53A33" w:rsidP="00E53A33">
            <w:pPr>
              <w:rPr>
                <w:rFonts w:ascii="Arial" w:hAnsi="Arial" w:cs="Arial"/>
                <w:b/>
              </w:rPr>
            </w:pPr>
            <w:r w:rsidRPr="00E53A33">
              <w:rPr>
                <w:rFonts w:ascii="Arial" w:hAnsi="Arial" w:cs="Arial"/>
                <w:b/>
              </w:rPr>
              <w:t>1. Tell me a bit about yourself</w:t>
            </w:r>
          </w:p>
        </w:tc>
        <w:tc>
          <w:tcPr>
            <w:tcW w:w="6345" w:type="dxa"/>
            <w:tcBorders>
              <w:top w:val="nil"/>
              <w:left w:val="nil"/>
              <w:bottom w:val="single" w:sz="6" w:space="0" w:color="000000"/>
              <w:right w:val="single" w:sz="6" w:space="0" w:color="000000"/>
            </w:tcBorders>
            <w:hideMark/>
          </w:tcPr>
          <w:p w14:paraId="011E1719" w14:textId="4DD871B7" w:rsidR="00E53A33" w:rsidRPr="00E53A33" w:rsidRDefault="00E53A33" w:rsidP="00E53A33">
            <w:pPr>
              <w:rPr>
                <w:rFonts w:ascii="Arial" w:hAnsi="Arial" w:cs="Arial"/>
              </w:rPr>
            </w:pPr>
            <w:r w:rsidRPr="00E53A33">
              <w:rPr>
                <w:rFonts w:ascii="Arial" w:hAnsi="Arial" w:cs="Arial"/>
              </w:rPr>
              <w:t xml:space="preserve">I am </w:t>
            </w:r>
            <w:r>
              <w:rPr>
                <w:rFonts w:ascii="Arial" w:hAnsi="Arial" w:cs="Arial"/>
              </w:rPr>
              <w:t xml:space="preserve">Alexandru Dragomir, </w:t>
            </w:r>
            <w:r w:rsidRPr="00E53A33">
              <w:rPr>
                <w:rFonts w:ascii="Arial" w:hAnsi="Arial" w:cs="Arial"/>
              </w:rPr>
              <w:t>and I am a student</w:t>
            </w:r>
            <w:r w:rsidR="00030A7D">
              <w:rPr>
                <w:rFonts w:ascii="Arial" w:hAnsi="Arial" w:cs="Arial"/>
              </w:rPr>
              <w:t xml:space="preserve"> at University of Wales Trinity Saint David.</w:t>
            </w:r>
          </w:p>
        </w:tc>
      </w:tr>
      <w:tr w:rsidR="00E53A33" w:rsidRPr="00E53A33" w14:paraId="25B23A27" w14:textId="77777777" w:rsidTr="00B202FD">
        <w:trPr>
          <w:trHeight w:val="485"/>
        </w:trPr>
        <w:tc>
          <w:tcPr>
            <w:tcW w:w="3225" w:type="dxa"/>
            <w:tcBorders>
              <w:top w:val="nil"/>
              <w:left w:val="single" w:sz="6" w:space="0" w:color="000000"/>
              <w:bottom w:val="single" w:sz="6" w:space="0" w:color="000000"/>
              <w:right w:val="single" w:sz="6" w:space="0" w:color="000000"/>
            </w:tcBorders>
            <w:hideMark/>
          </w:tcPr>
          <w:p w14:paraId="211E7E93" w14:textId="77777777" w:rsidR="00E53A33" w:rsidRPr="00E53A33" w:rsidRDefault="00E53A33" w:rsidP="00E53A33">
            <w:pPr>
              <w:rPr>
                <w:rFonts w:ascii="Arial" w:hAnsi="Arial" w:cs="Arial"/>
                <w:b/>
              </w:rPr>
            </w:pPr>
            <w:r w:rsidRPr="00E53A33">
              <w:rPr>
                <w:rFonts w:ascii="Arial" w:hAnsi="Arial" w:cs="Arial"/>
                <w:b/>
              </w:rPr>
              <w:t>2. Any thoughts on what problems post offices face?</w:t>
            </w:r>
          </w:p>
        </w:tc>
        <w:tc>
          <w:tcPr>
            <w:tcW w:w="6345" w:type="dxa"/>
            <w:tcBorders>
              <w:top w:val="nil"/>
              <w:left w:val="nil"/>
              <w:bottom w:val="single" w:sz="6" w:space="0" w:color="000000"/>
              <w:right w:val="single" w:sz="6" w:space="0" w:color="000000"/>
            </w:tcBorders>
            <w:hideMark/>
          </w:tcPr>
          <w:p w14:paraId="29EA89B9" w14:textId="77777777" w:rsidR="00E53A33" w:rsidRPr="00E53A33" w:rsidRDefault="00E53A33" w:rsidP="00E53A33">
            <w:pPr>
              <w:rPr>
                <w:rFonts w:ascii="Arial" w:hAnsi="Arial" w:cs="Arial"/>
              </w:rPr>
            </w:pPr>
            <w:r w:rsidRPr="00E53A33">
              <w:rPr>
                <w:rFonts w:ascii="Arial" w:hAnsi="Arial" w:cs="Arial"/>
              </w:rPr>
              <w:t>Work management is the main issue in the post offices. There are other issues with employees, digitalization, work cultures, and others. Delivery systems, work culture and leadership of the post office are not effective.</w:t>
            </w:r>
          </w:p>
        </w:tc>
      </w:tr>
      <w:tr w:rsidR="00E53A33" w:rsidRPr="00E53A33" w14:paraId="656552EE" w14:textId="77777777" w:rsidTr="00B202FD">
        <w:trPr>
          <w:trHeight w:val="485"/>
        </w:trPr>
        <w:tc>
          <w:tcPr>
            <w:tcW w:w="3225" w:type="dxa"/>
            <w:tcBorders>
              <w:top w:val="nil"/>
              <w:left w:val="single" w:sz="6" w:space="0" w:color="000000"/>
              <w:bottom w:val="single" w:sz="6" w:space="0" w:color="000000"/>
              <w:right w:val="single" w:sz="6" w:space="0" w:color="000000"/>
            </w:tcBorders>
            <w:hideMark/>
          </w:tcPr>
          <w:p w14:paraId="416DA9A2" w14:textId="77777777" w:rsidR="00E53A33" w:rsidRPr="00E53A33" w:rsidRDefault="00E53A33" w:rsidP="00E53A33">
            <w:pPr>
              <w:rPr>
                <w:rFonts w:ascii="Arial" w:hAnsi="Arial" w:cs="Arial"/>
                <w:b/>
              </w:rPr>
            </w:pPr>
            <w:r w:rsidRPr="00E53A33">
              <w:rPr>
                <w:rFonts w:ascii="Arial" w:hAnsi="Arial" w:cs="Arial"/>
                <w:b/>
              </w:rPr>
              <w:t>3. Describe your view about the pay crisis?</w:t>
            </w:r>
          </w:p>
        </w:tc>
        <w:tc>
          <w:tcPr>
            <w:tcW w:w="6345" w:type="dxa"/>
            <w:tcBorders>
              <w:top w:val="nil"/>
              <w:left w:val="nil"/>
              <w:bottom w:val="single" w:sz="6" w:space="0" w:color="000000"/>
              <w:right w:val="single" w:sz="6" w:space="0" w:color="000000"/>
            </w:tcBorders>
            <w:hideMark/>
          </w:tcPr>
          <w:p w14:paraId="27117FEC" w14:textId="77777777" w:rsidR="00E53A33" w:rsidRPr="00E53A33" w:rsidRDefault="00E53A33" w:rsidP="00E53A33">
            <w:pPr>
              <w:rPr>
                <w:rFonts w:ascii="Arial" w:hAnsi="Arial" w:cs="Arial"/>
              </w:rPr>
            </w:pPr>
            <w:r w:rsidRPr="00E53A33">
              <w:rPr>
                <w:rFonts w:ascii="Arial" w:hAnsi="Arial" w:cs="Arial"/>
              </w:rPr>
              <w:t>Pay crisis indicates the inefficiency in maintaining the salary of employees and its impact on people. Salary scale of employees is decreasing which is effective for economy.</w:t>
            </w:r>
          </w:p>
        </w:tc>
      </w:tr>
      <w:tr w:rsidR="00E53A33" w:rsidRPr="00E53A33" w14:paraId="3AABE3DD" w14:textId="77777777" w:rsidTr="00B202FD">
        <w:trPr>
          <w:trHeight w:val="485"/>
        </w:trPr>
        <w:tc>
          <w:tcPr>
            <w:tcW w:w="3225" w:type="dxa"/>
            <w:tcBorders>
              <w:top w:val="nil"/>
              <w:left w:val="single" w:sz="6" w:space="0" w:color="000000"/>
              <w:bottom w:val="single" w:sz="6" w:space="0" w:color="000000"/>
              <w:right w:val="single" w:sz="6" w:space="0" w:color="000000"/>
            </w:tcBorders>
            <w:hideMark/>
          </w:tcPr>
          <w:p w14:paraId="7B2B5843" w14:textId="77777777" w:rsidR="00E53A33" w:rsidRPr="00E53A33" w:rsidRDefault="00E53A33" w:rsidP="00E53A33">
            <w:pPr>
              <w:rPr>
                <w:rFonts w:ascii="Arial" w:hAnsi="Arial" w:cs="Arial"/>
                <w:b/>
              </w:rPr>
            </w:pPr>
            <w:r w:rsidRPr="00E53A33">
              <w:rPr>
                <w:rFonts w:ascii="Arial" w:hAnsi="Arial" w:cs="Arial"/>
                <w:b/>
              </w:rPr>
              <w:t>4. How a consultant will solve this problem?</w:t>
            </w:r>
          </w:p>
        </w:tc>
        <w:tc>
          <w:tcPr>
            <w:tcW w:w="6345" w:type="dxa"/>
            <w:tcBorders>
              <w:top w:val="nil"/>
              <w:left w:val="nil"/>
              <w:bottom w:val="single" w:sz="6" w:space="0" w:color="000000"/>
              <w:right w:val="single" w:sz="6" w:space="0" w:color="000000"/>
            </w:tcBorders>
            <w:hideMark/>
          </w:tcPr>
          <w:p w14:paraId="48E60072" w14:textId="77777777" w:rsidR="00E53A33" w:rsidRPr="00E53A33" w:rsidRDefault="00E53A33" w:rsidP="00E53A33">
            <w:pPr>
              <w:rPr>
                <w:rFonts w:ascii="Arial" w:hAnsi="Arial" w:cs="Arial"/>
              </w:rPr>
            </w:pPr>
            <w:r w:rsidRPr="00E53A33">
              <w:rPr>
                <w:rFonts w:ascii="Arial" w:hAnsi="Arial" w:cs="Arial"/>
              </w:rPr>
              <w:t xml:space="preserve">A consultant can identify the issues that are causing the pay crisis and the change in management can be done. Change in work culture can minimize pay crises and financial factors can be improved. </w:t>
            </w:r>
          </w:p>
        </w:tc>
      </w:tr>
      <w:tr w:rsidR="00E53A33" w:rsidRPr="00E53A33" w14:paraId="17B71120" w14:textId="77777777" w:rsidTr="00B202FD">
        <w:trPr>
          <w:trHeight w:val="485"/>
        </w:trPr>
        <w:tc>
          <w:tcPr>
            <w:tcW w:w="3225" w:type="dxa"/>
            <w:tcBorders>
              <w:top w:val="nil"/>
              <w:left w:val="single" w:sz="6" w:space="0" w:color="000000"/>
              <w:bottom w:val="single" w:sz="6" w:space="0" w:color="000000"/>
              <w:right w:val="single" w:sz="6" w:space="0" w:color="000000"/>
            </w:tcBorders>
            <w:hideMark/>
          </w:tcPr>
          <w:p w14:paraId="6F5175F1" w14:textId="77777777" w:rsidR="00E53A33" w:rsidRPr="00E53A33" w:rsidRDefault="00E53A33" w:rsidP="00E53A33">
            <w:pPr>
              <w:rPr>
                <w:rFonts w:ascii="Arial" w:hAnsi="Arial" w:cs="Arial"/>
                <w:b/>
              </w:rPr>
            </w:pPr>
            <w:r w:rsidRPr="00E53A33">
              <w:rPr>
                <w:rFonts w:ascii="Arial" w:hAnsi="Arial" w:cs="Arial"/>
                <w:b/>
              </w:rPr>
              <w:t>5. Considering the differences between internal and external consultants, who do you think is best suited for a change agent consultant?</w:t>
            </w:r>
          </w:p>
        </w:tc>
        <w:tc>
          <w:tcPr>
            <w:tcW w:w="6345" w:type="dxa"/>
            <w:tcBorders>
              <w:top w:val="nil"/>
              <w:left w:val="nil"/>
              <w:bottom w:val="single" w:sz="6" w:space="0" w:color="000000"/>
              <w:right w:val="single" w:sz="6" w:space="0" w:color="000000"/>
            </w:tcBorders>
            <w:hideMark/>
          </w:tcPr>
          <w:p w14:paraId="23268488" w14:textId="77777777" w:rsidR="00E53A33" w:rsidRPr="00E53A33" w:rsidRDefault="00E53A33" w:rsidP="00E53A33">
            <w:pPr>
              <w:rPr>
                <w:rFonts w:ascii="Arial" w:hAnsi="Arial" w:cs="Arial"/>
              </w:rPr>
            </w:pPr>
            <w:r w:rsidRPr="00E53A33">
              <w:rPr>
                <w:rFonts w:ascii="Arial" w:hAnsi="Arial" w:cs="Arial"/>
              </w:rPr>
              <w:t xml:space="preserve">I think an external consultant is the most suited for a change agent. Different clients and organizations are handled by external consultants in post office. </w:t>
            </w:r>
          </w:p>
        </w:tc>
      </w:tr>
      <w:tr w:rsidR="00E53A33" w:rsidRPr="00E53A33" w14:paraId="20C16E52" w14:textId="77777777" w:rsidTr="00B202FD">
        <w:trPr>
          <w:trHeight w:val="485"/>
        </w:trPr>
        <w:tc>
          <w:tcPr>
            <w:tcW w:w="3225" w:type="dxa"/>
            <w:tcBorders>
              <w:top w:val="nil"/>
              <w:left w:val="single" w:sz="6" w:space="0" w:color="000000"/>
              <w:bottom w:val="single" w:sz="6" w:space="0" w:color="000000"/>
              <w:right w:val="single" w:sz="6" w:space="0" w:color="000000"/>
            </w:tcBorders>
            <w:hideMark/>
          </w:tcPr>
          <w:p w14:paraId="6518C98C" w14:textId="77777777" w:rsidR="00E53A33" w:rsidRPr="00E53A33" w:rsidRDefault="00E53A33" w:rsidP="00E53A33">
            <w:pPr>
              <w:rPr>
                <w:rFonts w:ascii="Arial" w:hAnsi="Arial" w:cs="Arial"/>
                <w:b/>
              </w:rPr>
            </w:pPr>
            <w:r w:rsidRPr="00E53A33">
              <w:rPr>
                <w:rFonts w:ascii="Arial" w:hAnsi="Arial" w:cs="Arial"/>
                <w:b/>
              </w:rPr>
              <w:t>6. What challenges can face an internal/ external consultant?</w:t>
            </w:r>
          </w:p>
        </w:tc>
        <w:tc>
          <w:tcPr>
            <w:tcW w:w="6345" w:type="dxa"/>
            <w:tcBorders>
              <w:top w:val="nil"/>
              <w:left w:val="nil"/>
              <w:bottom w:val="single" w:sz="6" w:space="0" w:color="000000"/>
              <w:right w:val="single" w:sz="6" w:space="0" w:color="000000"/>
            </w:tcBorders>
            <w:hideMark/>
          </w:tcPr>
          <w:p w14:paraId="02F8E04C" w14:textId="77777777" w:rsidR="00E53A33" w:rsidRPr="00E53A33" w:rsidRDefault="00E53A33" w:rsidP="00E53A33">
            <w:pPr>
              <w:rPr>
                <w:rFonts w:ascii="Arial" w:hAnsi="Arial" w:cs="Arial"/>
              </w:rPr>
            </w:pPr>
            <w:r w:rsidRPr="00E53A33">
              <w:rPr>
                <w:rFonts w:ascii="Arial" w:hAnsi="Arial" w:cs="Arial"/>
              </w:rPr>
              <w:t>Identification of the issues that are present in the organizational management and implementation of change factors. Change strategies can be difficult for internal/external consultants and innovation in the workplace management.</w:t>
            </w:r>
          </w:p>
        </w:tc>
      </w:tr>
      <w:tr w:rsidR="00E53A33" w:rsidRPr="00E53A33" w14:paraId="4FB18F9A" w14:textId="77777777" w:rsidTr="00B202FD">
        <w:trPr>
          <w:trHeight w:val="485"/>
        </w:trPr>
        <w:tc>
          <w:tcPr>
            <w:tcW w:w="3225" w:type="dxa"/>
            <w:tcBorders>
              <w:top w:val="nil"/>
              <w:left w:val="single" w:sz="6" w:space="0" w:color="000000"/>
              <w:bottom w:val="single" w:sz="6" w:space="0" w:color="000000"/>
              <w:right w:val="single" w:sz="6" w:space="0" w:color="000000"/>
            </w:tcBorders>
            <w:hideMark/>
          </w:tcPr>
          <w:p w14:paraId="37B207CC" w14:textId="77777777" w:rsidR="00E53A33" w:rsidRPr="00E53A33" w:rsidRDefault="00E53A33" w:rsidP="00E53A33">
            <w:pPr>
              <w:rPr>
                <w:rFonts w:ascii="Arial" w:hAnsi="Arial" w:cs="Arial"/>
                <w:b/>
              </w:rPr>
            </w:pPr>
            <w:r w:rsidRPr="00E53A33">
              <w:rPr>
                <w:rFonts w:ascii="Arial" w:hAnsi="Arial" w:cs="Arial"/>
                <w:b/>
              </w:rPr>
              <w:t>7. How many resources, do you think, can the organization afford to invest in the proposed change in terms of cash, people, and time?</w:t>
            </w:r>
          </w:p>
        </w:tc>
        <w:tc>
          <w:tcPr>
            <w:tcW w:w="6345" w:type="dxa"/>
            <w:tcBorders>
              <w:top w:val="nil"/>
              <w:left w:val="nil"/>
              <w:bottom w:val="single" w:sz="6" w:space="0" w:color="000000"/>
              <w:right w:val="single" w:sz="6" w:space="0" w:color="000000"/>
            </w:tcBorders>
            <w:hideMark/>
          </w:tcPr>
          <w:p w14:paraId="43E1FCF1" w14:textId="77777777" w:rsidR="00E53A33" w:rsidRPr="00E53A33" w:rsidRDefault="00E53A33" w:rsidP="00E53A33">
            <w:pPr>
              <w:rPr>
                <w:rFonts w:ascii="Arial" w:hAnsi="Arial" w:cs="Arial"/>
              </w:rPr>
            </w:pPr>
            <w:r w:rsidRPr="00E53A33">
              <w:rPr>
                <w:rFonts w:ascii="Arial" w:hAnsi="Arial" w:cs="Arial"/>
              </w:rPr>
              <w:t>I think they can get businessmen and high-profile people as investors. Organization can get help from rich people in getting investments for maintaining high-cost change.</w:t>
            </w:r>
          </w:p>
        </w:tc>
      </w:tr>
      <w:tr w:rsidR="00E53A33" w:rsidRPr="00E53A33" w14:paraId="284DFD9B" w14:textId="77777777" w:rsidTr="00B202FD">
        <w:trPr>
          <w:trHeight w:val="485"/>
        </w:trPr>
        <w:tc>
          <w:tcPr>
            <w:tcW w:w="3225" w:type="dxa"/>
            <w:tcBorders>
              <w:top w:val="nil"/>
              <w:left w:val="single" w:sz="6" w:space="0" w:color="000000"/>
              <w:bottom w:val="single" w:sz="6" w:space="0" w:color="000000"/>
              <w:right w:val="single" w:sz="6" w:space="0" w:color="000000"/>
            </w:tcBorders>
            <w:hideMark/>
          </w:tcPr>
          <w:p w14:paraId="69DEEFEB" w14:textId="77777777" w:rsidR="00E53A33" w:rsidRPr="00E53A33" w:rsidRDefault="00E53A33" w:rsidP="00E53A33">
            <w:pPr>
              <w:rPr>
                <w:rFonts w:ascii="Arial" w:hAnsi="Arial" w:cs="Arial"/>
                <w:b/>
              </w:rPr>
            </w:pPr>
            <w:r w:rsidRPr="00E53A33">
              <w:rPr>
                <w:rFonts w:ascii="Arial" w:hAnsi="Arial" w:cs="Arial"/>
                <w:b/>
              </w:rPr>
              <w:t>8. What are the implications of diagnosing the problem?</w:t>
            </w:r>
          </w:p>
        </w:tc>
        <w:tc>
          <w:tcPr>
            <w:tcW w:w="6345" w:type="dxa"/>
            <w:tcBorders>
              <w:top w:val="nil"/>
              <w:left w:val="nil"/>
              <w:bottom w:val="single" w:sz="6" w:space="0" w:color="000000"/>
              <w:right w:val="single" w:sz="6" w:space="0" w:color="000000"/>
            </w:tcBorders>
            <w:hideMark/>
          </w:tcPr>
          <w:p w14:paraId="28A6F692" w14:textId="77777777" w:rsidR="00E53A33" w:rsidRPr="00E53A33" w:rsidRDefault="00E53A33" w:rsidP="00E53A33">
            <w:pPr>
              <w:rPr>
                <w:rFonts w:ascii="Arial" w:hAnsi="Arial" w:cs="Arial"/>
              </w:rPr>
            </w:pPr>
            <w:r w:rsidRPr="00E53A33">
              <w:rPr>
                <w:rFonts w:ascii="Arial" w:hAnsi="Arial" w:cs="Arial"/>
              </w:rPr>
              <w:t>Communication with employees and stakeholders can be effective for problem identification. Detailed analysis of the financial reports and discussion with stakeholders can be helpful.</w:t>
            </w:r>
          </w:p>
        </w:tc>
      </w:tr>
      <w:tr w:rsidR="00E53A33" w:rsidRPr="00E53A33" w14:paraId="00147631" w14:textId="77777777" w:rsidTr="00B202FD">
        <w:trPr>
          <w:trHeight w:val="485"/>
        </w:trPr>
        <w:tc>
          <w:tcPr>
            <w:tcW w:w="3225" w:type="dxa"/>
            <w:tcBorders>
              <w:top w:val="nil"/>
              <w:left w:val="single" w:sz="6" w:space="0" w:color="000000"/>
              <w:bottom w:val="single" w:sz="6" w:space="0" w:color="000000"/>
              <w:right w:val="single" w:sz="6" w:space="0" w:color="000000"/>
            </w:tcBorders>
            <w:hideMark/>
          </w:tcPr>
          <w:p w14:paraId="5306F07C" w14:textId="77777777" w:rsidR="00E53A33" w:rsidRPr="00E53A33" w:rsidRDefault="00E53A33" w:rsidP="00E53A33">
            <w:pPr>
              <w:rPr>
                <w:rFonts w:ascii="Arial" w:hAnsi="Arial" w:cs="Arial"/>
                <w:b/>
              </w:rPr>
            </w:pPr>
            <w:r w:rsidRPr="00E53A33">
              <w:rPr>
                <w:rFonts w:ascii="Arial" w:hAnsi="Arial" w:cs="Arial"/>
                <w:b/>
              </w:rPr>
              <w:t>9. How could an internal/ external consultant explore the problem further?</w:t>
            </w:r>
          </w:p>
        </w:tc>
        <w:tc>
          <w:tcPr>
            <w:tcW w:w="6345" w:type="dxa"/>
            <w:tcBorders>
              <w:top w:val="nil"/>
              <w:left w:val="nil"/>
              <w:bottom w:val="single" w:sz="6" w:space="0" w:color="000000"/>
              <w:right w:val="single" w:sz="6" w:space="0" w:color="000000"/>
            </w:tcBorders>
            <w:hideMark/>
          </w:tcPr>
          <w:p w14:paraId="4C44A255" w14:textId="0F650B78" w:rsidR="00E53A33" w:rsidRPr="00E53A33" w:rsidRDefault="00E53A33" w:rsidP="00E53A33">
            <w:pPr>
              <w:rPr>
                <w:rFonts w:ascii="Arial" w:hAnsi="Arial" w:cs="Arial"/>
              </w:rPr>
            </w:pPr>
            <w:r w:rsidRPr="00E53A33">
              <w:rPr>
                <w:rFonts w:ascii="Arial" w:hAnsi="Arial" w:cs="Arial"/>
              </w:rPr>
              <w:t xml:space="preserve">Consultants have innovative and creative ideas to identify the factors that can cause problems and analysis of reports with experience can be effective. Comparison of the condition and efficiency of the organization can be done by consultants, and it is important for developing the organization. </w:t>
            </w:r>
          </w:p>
        </w:tc>
      </w:tr>
      <w:tr w:rsidR="00E53A33" w:rsidRPr="00E53A33" w14:paraId="470E1BA2" w14:textId="77777777" w:rsidTr="00B202FD">
        <w:trPr>
          <w:trHeight w:val="485"/>
        </w:trPr>
        <w:tc>
          <w:tcPr>
            <w:tcW w:w="3225" w:type="dxa"/>
            <w:tcBorders>
              <w:top w:val="nil"/>
              <w:left w:val="single" w:sz="6" w:space="0" w:color="000000"/>
              <w:bottom w:val="single" w:sz="6" w:space="0" w:color="000000"/>
              <w:right w:val="single" w:sz="6" w:space="0" w:color="000000"/>
            </w:tcBorders>
            <w:hideMark/>
          </w:tcPr>
          <w:p w14:paraId="2C06EB14" w14:textId="77777777" w:rsidR="00E53A33" w:rsidRPr="00E53A33" w:rsidRDefault="00E53A33" w:rsidP="00E53A33">
            <w:pPr>
              <w:rPr>
                <w:rFonts w:ascii="Arial" w:hAnsi="Arial" w:cs="Arial"/>
                <w:b/>
              </w:rPr>
            </w:pPr>
            <w:r w:rsidRPr="00E53A33">
              <w:rPr>
                <w:rFonts w:ascii="Arial" w:hAnsi="Arial" w:cs="Arial"/>
                <w:b/>
              </w:rPr>
              <w:lastRenderedPageBreak/>
              <w:t>10. What an internal/external consultant can do to achieve the scope?</w:t>
            </w:r>
          </w:p>
        </w:tc>
        <w:tc>
          <w:tcPr>
            <w:tcW w:w="6345" w:type="dxa"/>
            <w:tcBorders>
              <w:top w:val="nil"/>
              <w:left w:val="nil"/>
              <w:bottom w:val="single" w:sz="6" w:space="0" w:color="000000"/>
              <w:right w:val="single" w:sz="6" w:space="0" w:color="000000"/>
            </w:tcBorders>
            <w:hideMark/>
          </w:tcPr>
          <w:p w14:paraId="2075175D" w14:textId="77777777" w:rsidR="00E53A33" w:rsidRPr="00E53A33" w:rsidRDefault="00E53A33" w:rsidP="00E53A33">
            <w:pPr>
              <w:rPr>
                <w:rFonts w:ascii="Arial" w:hAnsi="Arial" w:cs="Arial"/>
              </w:rPr>
            </w:pPr>
            <w:r w:rsidRPr="00E53A33">
              <w:rPr>
                <w:rFonts w:ascii="Arial" w:hAnsi="Arial" w:cs="Arial"/>
              </w:rPr>
              <w:t>Knowledge of market requirements along with change requirements can be properly used by consultants. Clients of different organizations help to understand the processes to improve the condition.</w:t>
            </w:r>
          </w:p>
        </w:tc>
      </w:tr>
      <w:tr w:rsidR="00E53A33" w:rsidRPr="00E53A33" w14:paraId="6A2B5A65" w14:textId="77777777" w:rsidTr="00B202FD">
        <w:trPr>
          <w:trHeight w:val="485"/>
        </w:trPr>
        <w:tc>
          <w:tcPr>
            <w:tcW w:w="3225" w:type="dxa"/>
            <w:tcBorders>
              <w:top w:val="nil"/>
              <w:left w:val="single" w:sz="6" w:space="0" w:color="000000"/>
              <w:bottom w:val="single" w:sz="6" w:space="0" w:color="000000"/>
              <w:right w:val="single" w:sz="6" w:space="0" w:color="000000"/>
            </w:tcBorders>
            <w:hideMark/>
          </w:tcPr>
          <w:p w14:paraId="0346EF52" w14:textId="77777777" w:rsidR="00E53A33" w:rsidRPr="00E53A33" w:rsidRDefault="00E53A33" w:rsidP="00E53A33">
            <w:pPr>
              <w:rPr>
                <w:rFonts w:ascii="Arial" w:hAnsi="Arial" w:cs="Arial"/>
                <w:b/>
              </w:rPr>
            </w:pPr>
            <w:r w:rsidRPr="00E53A33">
              <w:rPr>
                <w:rFonts w:ascii="Arial" w:hAnsi="Arial" w:cs="Arial"/>
                <w:b/>
              </w:rPr>
              <w:t>11. How can the work of an internal/ external consultant be evaluated?</w:t>
            </w:r>
          </w:p>
        </w:tc>
        <w:tc>
          <w:tcPr>
            <w:tcW w:w="6345" w:type="dxa"/>
            <w:tcBorders>
              <w:top w:val="nil"/>
              <w:left w:val="nil"/>
              <w:bottom w:val="single" w:sz="6" w:space="0" w:color="000000"/>
              <w:right w:val="single" w:sz="6" w:space="0" w:color="000000"/>
            </w:tcBorders>
            <w:hideMark/>
          </w:tcPr>
          <w:p w14:paraId="5357CB9E" w14:textId="77777777" w:rsidR="00E53A33" w:rsidRPr="00E53A33" w:rsidRDefault="00E53A33" w:rsidP="00E53A33">
            <w:pPr>
              <w:rPr>
                <w:rFonts w:ascii="Arial" w:hAnsi="Arial" w:cs="Arial"/>
              </w:rPr>
            </w:pPr>
            <w:r w:rsidRPr="00E53A33">
              <w:rPr>
                <w:rFonts w:ascii="Arial" w:hAnsi="Arial" w:cs="Arial"/>
              </w:rPr>
              <w:t>System-specific knowledge should be present in consults to maintain the change factors of organizations in control. The way of client management should be analysed to understand the efficiency of the organization.</w:t>
            </w:r>
          </w:p>
        </w:tc>
      </w:tr>
      <w:tr w:rsidR="00E53A33" w:rsidRPr="00E53A33" w14:paraId="2DCD85C5" w14:textId="77777777" w:rsidTr="00B202FD">
        <w:trPr>
          <w:trHeight w:val="485"/>
        </w:trPr>
        <w:tc>
          <w:tcPr>
            <w:tcW w:w="3225" w:type="dxa"/>
            <w:tcBorders>
              <w:top w:val="nil"/>
              <w:left w:val="single" w:sz="6" w:space="0" w:color="000000"/>
              <w:bottom w:val="single" w:sz="6" w:space="0" w:color="000000"/>
              <w:right w:val="single" w:sz="6" w:space="0" w:color="000000"/>
            </w:tcBorders>
            <w:hideMark/>
          </w:tcPr>
          <w:p w14:paraId="1C37B80D" w14:textId="77777777" w:rsidR="00E53A33" w:rsidRPr="00E53A33" w:rsidRDefault="00E53A33" w:rsidP="00E53A33">
            <w:pPr>
              <w:rPr>
                <w:rFonts w:ascii="Arial" w:hAnsi="Arial" w:cs="Arial"/>
                <w:b/>
              </w:rPr>
            </w:pPr>
            <w:r w:rsidRPr="00E53A33">
              <w:rPr>
                <w:rFonts w:ascii="Arial" w:hAnsi="Arial" w:cs="Arial"/>
                <w:b/>
              </w:rPr>
              <w:t>12. What are your recommendations?</w:t>
            </w:r>
          </w:p>
        </w:tc>
        <w:tc>
          <w:tcPr>
            <w:tcW w:w="6345" w:type="dxa"/>
            <w:tcBorders>
              <w:top w:val="nil"/>
              <w:left w:val="nil"/>
              <w:bottom w:val="single" w:sz="6" w:space="0" w:color="000000"/>
              <w:right w:val="single" w:sz="6" w:space="0" w:color="000000"/>
            </w:tcBorders>
            <w:hideMark/>
          </w:tcPr>
          <w:p w14:paraId="209C78A8" w14:textId="77777777" w:rsidR="00E53A33" w:rsidRPr="00E53A33" w:rsidRDefault="00E53A33" w:rsidP="00E53A33">
            <w:pPr>
              <w:rPr>
                <w:rFonts w:ascii="Arial" w:hAnsi="Arial" w:cs="Arial"/>
              </w:rPr>
            </w:pPr>
            <w:r w:rsidRPr="00E53A33">
              <w:rPr>
                <w:rFonts w:ascii="Arial" w:hAnsi="Arial" w:cs="Arial"/>
              </w:rPr>
              <w:t xml:space="preserve">Better examination of internal and external factors of organizations can be useful for consultants in change implementation. Innovation and creative knowledge should be present in consultants for better change control in post office. </w:t>
            </w:r>
          </w:p>
        </w:tc>
      </w:tr>
    </w:tbl>
    <w:p w14:paraId="6ABC64BC" w14:textId="77777777" w:rsidR="00B23BF7" w:rsidRPr="00B23BF7" w:rsidRDefault="00B23BF7">
      <w:pPr>
        <w:rPr>
          <w:rFonts w:ascii="Arial" w:hAnsi="Arial" w:cs="Arial"/>
        </w:rPr>
      </w:pPr>
    </w:p>
    <w:sectPr w:rsidR="00B23BF7" w:rsidRPr="00B23BF7" w:rsidSect="00B23BF7">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D8764" w14:textId="77777777" w:rsidR="00A85453" w:rsidRDefault="00A85453" w:rsidP="007B2585">
      <w:pPr>
        <w:spacing w:after="0" w:line="240" w:lineRule="auto"/>
      </w:pPr>
      <w:r>
        <w:separator/>
      </w:r>
    </w:p>
  </w:endnote>
  <w:endnote w:type="continuationSeparator" w:id="0">
    <w:p w14:paraId="63F1880D" w14:textId="77777777" w:rsidR="00A85453" w:rsidRDefault="00A85453" w:rsidP="007B2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5843034"/>
      <w:docPartObj>
        <w:docPartGallery w:val="Page Numbers (Bottom of Page)"/>
        <w:docPartUnique/>
      </w:docPartObj>
    </w:sdtPr>
    <w:sdtEndPr>
      <w:rPr>
        <w:noProof/>
      </w:rPr>
    </w:sdtEndPr>
    <w:sdtContent>
      <w:p w14:paraId="471835FC" w14:textId="3D98BA7F" w:rsidR="00B86B82" w:rsidRDefault="00B86B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26030B" w14:textId="77777777" w:rsidR="007B2585" w:rsidRDefault="007B25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526E2" w14:textId="77777777" w:rsidR="00A85453" w:rsidRDefault="00A85453" w:rsidP="007B2585">
      <w:pPr>
        <w:spacing w:after="0" w:line="240" w:lineRule="auto"/>
      </w:pPr>
      <w:r>
        <w:separator/>
      </w:r>
    </w:p>
  </w:footnote>
  <w:footnote w:type="continuationSeparator" w:id="0">
    <w:p w14:paraId="05D27C59" w14:textId="77777777" w:rsidR="00A85453" w:rsidRDefault="00A85453" w:rsidP="007B25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BF7"/>
    <w:rsid w:val="00013881"/>
    <w:rsid w:val="00030A7D"/>
    <w:rsid w:val="00087374"/>
    <w:rsid w:val="000A27D6"/>
    <w:rsid w:val="001203C3"/>
    <w:rsid w:val="00136246"/>
    <w:rsid w:val="002E2454"/>
    <w:rsid w:val="003F0823"/>
    <w:rsid w:val="005C1983"/>
    <w:rsid w:val="00637AF8"/>
    <w:rsid w:val="00650993"/>
    <w:rsid w:val="0067407F"/>
    <w:rsid w:val="006D2480"/>
    <w:rsid w:val="007B2585"/>
    <w:rsid w:val="008325C2"/>
    <w:rsid w:val="00834B29"/>
    <w:rsid w:val="00851469"/>
    <w:rsid w:val="00881EBF"/>
    <w:rsid w:val="009522A8"/>
    <w:rsid w:val="00994ABE"/>
    <w:rsid w:val="009F2358"/>
    <w:rsid w:val="00A85453"/>
    <w:rsid w:val="00AB1F6B"/>
    <w:rsid w:val="00AD1B87"/>
    <w:rsid w:val="00B23BF7"/>
    <w:rsid w:val="00B854B1"/>
    <w:rsid w:val="00B86B82"/>
    <w:rsid w:val="00B92FDC"/>
    <w:rsid w:val="00BD4DDE"/>
    <w:rsid w:val="00C20C63"/>
    <w:rsid w:val="00C7133A"/>
    <w:rsid w:val="00C76006"/>
    <w:rsid w:val="00CA06F4"/>
    <w:rsid w:val="00CD6A2C"/>
    <w:rsid w:val="00CE1992"/>
    <w:rsid w:val="00DA0D2E"/>
    <w:rsid w:val="00DE7C41"/>
    <w:rsid w:val="00E53A33"/>
    <w:rsid w:val="00E71D6A"/>
    <w:rsid w:val="00E75C32"/>
    <w:rsid w:val="00EF331D"/>
    <w:rsid w:val="00EF40F6"/>
    <w:rsid w:val="00F075F9"/>
    <w:rsid w:val="00F35F9F"/>
    <w:rsid w:val="00F60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30C34"/>
  <w15:chartTrackingRefBased/>
  <w15:docId w15:val="{CCBBD59D-1919-4BE3-A2B3-171EE58B1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23B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27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23BF7"/>
    <w:pPr>
      <w:spacing w:after="0" w:line="240" w:lineRule="auto"/>
    </w:pPr>
    <w:rPr>
      <w:color w:val="44546A" w:themeColor="text2"/>
      <w:kern w:val="0"/>
      <w:sz w:val="20"/>
      <w:szCs w:val="20"/>
      <w:lang w:val="en-US"/>
      <w14:ligatures w14:val="none"/>
    </w:rPr>
  </w:style>
  <w:style w:type="character" w:customStyle="1" w:styleId="Heading1Char">
    <w:name w:val="Heading 1 Char"/>
    <w:basedOn w:val="DefaultParagraphFont"/>
    <w:link w:val="Heading1"/>
    <w:uiPriority w:val="9"/>
    <w:rsid w:val="00B23B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3BF7"/>
    <w:pPr>
      <w:outlineLvl w:val="9"/>
    </w:pPr>
    <w:rPr>
      <w:kern w:val="0"/>
      <w:lang w:val="en-US"/>
      <w14:ligatures w14:val="none"/>
    </w:rPr>
  </w:style>
  <w:style w:type="paragraph" w:customStyle="1" w:styleId="Normal1">
    <w:name w:val="Normal1"/>
    <w:rsid w:val="00B23BF7"/>
    <w:pPr>
      <w:spacing w:after="0" w:line="276" w:lineRule="auto"/>
    </w:pPr>
    <w:rPr>
      <w:rFonts w:ascii="Arial" w:eastAsia="Arial" w:hAnsi="Arial" w:cs="Arial"/>
      <w:kern w:val="0"/>
      <w:lang w:val="en"/>
      <w14:ligatures w14:val="none"/>
    </w:rPr>
  </w:style>
  <w:style w:type="character" w:customStyle="1" w:styleId="Heading2Char">
    <w:name w:val="Heading 2 Char"/>
    <w:basedOn w:val="DefaultParagraphFont"/>
    <w:link w:val="Heading2"/>
    <w:uiPriority w:val="9"/>
    <w:rsid w:val="000A27D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0A27D6"/>
    <w:pPr>
      <w:spacing w:after="100" w:line="276" w:lineRule="auto"/>
    </w:pPr>
    <w:rPr>
      <w:rFonts w:ascii="Arial" w:eastAsia="Arial" w:hAnsi="Arial" w:cs="Arial"/>
      <w:kern w:val="0"/>
      <w:lang w:val="en-IN"/>
      <w14:ligatures w14:val="none"/>
    </w:rPr>
  </w:style>
  <w:style w:type="paragraph" w:styleId="TOC2">
    <w:name w:val="toc 2"/>
    <w:basedOn w:val="Normal"/>
    <w:next w:val="Normal"/>
    <w:autoRedefine/>
    <w:uiPriority w:val="39"/>
    <w:unhideWhenUsed/>
    <w:rsid w:val="000A27D6"/>
    <w:pPr>
      <w:spacing w:after="100"/>
      <w:ind w:left="220"/>
    </w:pPr>
  </w:style>
  <w:style w:type="character" w:styleId="Hyperlink">
    <w:name w:val="Hyperlink"/>
    <w:basedOn w:val="DefaultParagraphFont"/>
    <w:uiPriority w:val="99"/>
    <w:unhideWhenUsed/>
    <w:rsid w:val="000A27D6"/>
    <w:rPr>
      <w:color w:val="0563C1" w:themeColor="hyperlink"/>
      <w:u w:val="single"/>
    </w:rPr>
  </w:style>
  <w:style w:type="paragraph" w:styleId="NormalWeb">
    <w:name w:val="Normal (Web)"/>
    <w:basedOn w:val="Normal"/>
    <w:uiPriority w:val="99"/>
    <w:semiHidden/>
    <w:unhideWhenUsed/>
    <w:rsid w:val="0067407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67407F"/>
    <w:rPr>
      <w:color w:val="605E5C"/>
      <w:shd w:val="clear" w:color="auto" w:fill="E1DFDD"/>
    </w:rPr>
  </w:style>
  <w:style w:type="character" w:styleId="LineNumber">
    <w:name w:val="line number"/>
    <w:basedOn w:val="DefaultParagraphFont"/>
    <w:uiPriority w:val="99"/>
    <w:semiHidden/>
    <w:unhideWhenUsed/>
    <w:rsid w:val="002E2454"/>
  </w:style>
  <w:style w:type="paragraph" w:styleId="Header">
    <w:name w:val="header"/>
    <w:basedOn w:val="Normal"/>
    <w:link w:val="HeaderChar"/>
    <w:uiPriority w:val="99"/>
    <w:unhideWhenUsed/>
    <w:rsid w:val="007B2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585"/>
  </w:style>
  <w:style w:type="paragraph" w:styleId="Footer">
    <w:name w:val="footer"/>
    <w:basedOn w:val="Normal"/>
    <w:link w:val="FooterChar"/>
    <w:uiPriority w:val="99"/>
    <w:unhideWhenUsed/>
    <w:rsid w:val="007B2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5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885519">
      <w:bodyDiv w:val="1"/>
      <w:marLeft w:val="0"/>
      <w:marRight w:val="0"/>
      <w:marTop w:val="0"/>
      <w:marBottom w:val="0"/>
      <w:divBdr>
        <w:top w:val="none" w:sz="0" w:space="0" w:color="auto"/>
        <w:left w:val="none" w:sz="0" w:space="0" w:color="auto"/>
        <w:bottom w:val="none" w:sz="0" w:space="0" w:color="auto"/>
        <w:right w:val="none" w:sz="0" w:space="0" w:color="auto"/>
      </w:divBdr>
      <w:divsChild>
        <w:div w:id="12903583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1.png"/><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8A135E-425E-4FC4-947D-3DAEF6A718D1}"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7698D6AD-86EC-419A-8B56-6E85D88D90AC}">
      <dgm:prSet phldrT="[Text]" custT="1"/>
      <dgm:spPr/>
      <dgm:t>
        <a:bodyPr/>
        <a:lstStyle/>
        <a:p>
          <a:r>
            <a:rPr lang="en-GB" sz="1100" b="1" i="1">
              <a:latin typeface="Arial" panose="020B0604020202020204" pitchFamily="34" charset="0"/>
              <a:cs typeface="Arial" panose="020B0604020202020204" pitchFamily="34" charset="0"/>
            </a:rPr>
            <a:t>High power</a:t>
          </a:r>
        </a:p>
        <a:p>
          <a:r>
            <a:rPr lang="en-GB" sz="1100" b="1" i="1">
              <a:latin typeface="Arial" panose="020B0604020202020204" pitchFamily="34" charset="0"/>
              <a:cs typeface="Arial" panose="020B0604020202020204" pitchFamily="34" charset="0"/>
            </a:rPr>
            <a:t>Low interest</a:t>
          </a:r>
          <a:endParaRPr lang="en-GB" sz="1100" b="0">
            <a:latin typeface="Arial" panose="020B0604020202020204" pitchFamily="34" charset="0"/>
            <a:cs typeface="Arial" panose="020B0604020202020204" pitchFamily="34" charset="0"/>
          </a:endParaRPr>
        </a:p>
        <a:p>
          <a:r>
            <a:rPr lang="en-GB" sz="1100" b="0">
              <a:latin typeface="Arial" panose="020B0604020202020204" pitchFamily="34" charset="0"/>
              <a:cs typeface="Arial" panose="020B0604020202020204" pitchFamily="34" charset="0"/>
            </a:rPr>
            <a:t>Regulatory body</a:t>
          </a:r>
        </a:p>
      </dgm:t>
    </dgm:pt>
    <dgm:pt modelId="{1F00BA04-2172-4A0B-A06E-F5FF32950097}" type="parTrans" cxnId="{05FCD224-CF60-4752-9EAF-C9003551AF0C}">
      <dgm:prSet/>
      <dgm:spPr/>
      <dgm:t>
        <a:bodyPr/>
        <a:lstStyle/>
        <a:p>
          <a:endParaRPr lang="en-GB"/>
        </a:p>
      </dgm:t>
    </dgm:pt>
    <dgm:pt modelId="{57CCC308-0D1A-431A-B1DE-8EFAFC3D354D}" type="sibTrans" cxnId="{05FCD224-CF60-4752-9EAF-C9003551AF0C}">
      <dgm:prSet/>
      <dgm:spPr/>
      <dgm:t>
        <a:bodyPr/>
        <a:lstStyle/>
        <a:p>
          <a:endParaRPr lang="en-GB"/>
        </a:p>
      </dgm:t>
    </dgm:pt>
    <dgm:pt modelId="{F74506FD-F6B5-4BE1-8242-77C56DF3ADA7}">
      <dgm:prSet phldrT="[Text]" custT="1"/>
      <dgm:spPr/>
      <dgm:t>
        <a:bodyPr/>
        <a:lstStyle/>
        <a:p>
          <a:r>
            <a:rPr lang="en-GB" sz="1100" b="1" i="1">
              <a:latin typeface="Arial" panose="020B0604020202020204" pitchFamily="34" charset="0"/>
              <a:cs typeface="Arial" panose="020B0604020202020204" pitchFamily="34" charset="0"/>
            </a:rPr>
            <a:t>High power </a:t>
          </a:r>
        </a:p>
        <a:p>
          <a:r>
            <a:rPr lang="en-GB" sz="1100" b="1" i="1">
              <a:latin typeface="Arial" panose="020B0604020202020204" pitchFamily="34" charset="0"/>
              <a:cs typeface="Arial" panose="020B0604020202020204" pitchFamily="34" charset="0"/>
            </a:rPr>
            <a:t>High interest</a:t>
          </a:r>
        </a:p>
        <a:p>
          <a:r>
            <a:rPr lang="en-GB" sz="1100">
              <a:latin typeface="Arial" panose="020B0604020202020204" pitchFamily="34" charset="0"/>
              <a:cs typeface="Arial" panose="020B0604020202020204" pitchFamily="34" charset="0"/>
            </a:rPr>
            <a:t>Employees</a:t>
          </a:r>
        </a:p>
        <a:p>
          <a:r>
            <a:rPr lang="en-GB" sz="1100">
              <a:latin typeface="Arial" panose="020B0604020202020204" pitchFamily="34" charset="0"/>
              <a:cs typeface="Arial" panose="020B0604020202020204" pitchFamily="34" charset="0"/>
            </a:rPr>
            <a:t>Management</a:t>
          </a:r>
        </a:p>
        <a:p>
          <a:r>
            <a:rPr lang="en-GB" sz="1100">
              <a:latin typeface="Arial" panose="020B0604020202020204" pitchFamily="34" charset="0"/>
              <a:cs typeface="Arial" panose="020B0604020202020204" pitchFamily="34" charset="0"/>
            </a:rPr>
            <a:t>Trade unions</a:t>
          </a:r>
        </a:p>
        <a:p>
          <a:r>
            <a:rPr lang="en-GB" sz="1100">
              <a:latin typeface="Arial" panose="020B0604020202020204" pitchFamily="34" charset="0"/>
              <a:cs typeface="Arial" panose="020B0604020202020204" pitchFamily="34" charset="0"/>
            </a:rPr>
            <a:t>Customers </a:t>
          </a:r>
        </a:p>
        <a:p>
          <a:r>
            <a:rPr lang="en-GB" sz="1100">
              <a:latin typeface="Arial" panose="020B0604020202020204" pitchFamily="34" charset="0"/>
              <a:cs typeface="Arial" panose="020B0604020202020204" pitchFamily="34" charset="0"/>
            </a:rPr>
            <a:t>Shareholders</a:t>
          </a:r>
        </a:p>
        <a:p>
          <a:r>
            <a:rPr lang="en-GB" sz="1100">
              <a:latin typeface="Arial" panose="020B0604020202020204" pitchFamily="34" charset="0"/>
              <a:cs typeface="Arial" panose="020B0604020202020204" pitchFamily="34" charset="0"/>
            </a:rPr>
            <a:t>Government</a:t>
          </a:r>
        </a:p>
      </dgm:t>
    </dgm:pt>
    <dgm:pt modelId="{C17528F3-4B17-4FF2-A2DE-6326E36A44B2}" type="parTrans" cxnId="{DD918B9C-3EB4-4031-BB26-F9C19F5D4B1F}">
      <dgm:prSet/>
      <dgm:spPr/>
      <dgm:t>
        <a:bodyPr/>
        <a:lstStyle/>
        <a:p>
          <a:endParaRPr lang="en-GB"/>
        </a:p>
      </dgm:t>
    </dgm:pt>
    <dgm:pt modelId="{31844C2E-A4B4-4D78-AC4F-3FCF0B49DD0B}" type="sibTrans" cxnId="{DD918B9C-3EB4-4031-BB26-F9C19F5D4B1F}">
      <dgm:prSet/>
      <dgm:spPr/>
      <dgm:t>
        <a:bodyPr/>
        <a:lstStyle/>
        <a:p>
          <a:endParaRPr lang="en-GB"/>
        </a:p>
      </dgm:t>
    </dgm:pt>
    <dgm:pt modelId="{579CC782-E7FB-4E35-84B6-7F3D642B96C9}">
      <dgm:prSet phldrT="[Text]" custT="1"/>
      <dgm:spPr/>
      <dgm:t>
        <a:bodyPr/>
        <a:lstStyle/>
        <a:p>
          <a:r>
            <a:rPr lang="en-GB" sz="1100" b="1" i="1">
              <a:latin typeface="Arial" panose="020B0604020202020204" pitchFamily="34" charset="0"/>
              <a:cs typeface="Arial" panose="020B0604020202020204" pitchFamily="34" charset="0"/>
            </a:rPr>
            <a:t>Low power</a:t>
          </a:r>
        </a:p>
        <a:p>
          <a:r>
            <a:rPr lang="en-GB" sz="1100" b="1" i="1">
              <a:latin typeface="Arial" panose="020B0604020202020204" pitchFamily="34" charset="0"/>
              <a:cs typeface="Arial" panose="020B0604020202020204" pitchFamily="34" charset="0"/>
            </a:rPr>
            <a:t>Low interest</a:t>
          </a:r>
        </a:p>
        <a:p>
          <a:r>
            <a:rPr lang="en-GB" sz="1100">
              <a:latin typeface="Arial" panose="020B0604020202020204" pitchFamily="34" charset="0"/>
              <a:cs typeface="Arial" panose="020B0604020202020204" pitchFamily="34" charset="0"/>
            </a:rPr>
            <a:t>Political groups(parties)</a:t>
          </a:r>
        </a:p>
        <a:p>
          <a:r>
            <a:rPr lang="en-GB" sz="1100">
              <a:latin typeface="Arial" panose="020B0604020202020204" pitchFamily="34" charset="0"/>
              <a:cs typeface="Arial" panose="020B0604020202020204" pitchFamily="34" charset="0"/>
            </a:rPr>
            <a:t>Media</a:t>
          </a:r>
        </a:p>
        <a:p>
          <a:r>
            <a:rPr lang="en-GB" sz="1100">
              <a:latin typeface="Arial" panose="020B0604020202020204" pitchFamily="34" charset="0"/>
              <a:cs typeface="Arial" panose="020B0604020202020204" pitchFamily="34" charset="0"/>
            </a:rPr>
            <a:t>Competitors</a:t>
          </a:r>
        </a:p>
        <a:p>
          <a:endParaRPr lang="en-GB" sz="1100">
            <a:latin typeface="Arial" panose="020B0604020202020204" pitchFamily="34" charset="0"/>
            <a:cs typeface="Arial" panose="020B0604020202020204" pitchFamily="34" charset="0"/>
          </a:endParaRPr>
        </a:p>
      </dgm:t>
    </dgm:pt>
    <dgm:pt modelId="{0F17A4AE-2896-4E21-80BD-4C310E58F2A8}" type="parTrans" cxnId="{EB004BF0-1B49-4F8C-8DD0-4588D3F06345}">
      <dgm:prSet/>
      <dgm:spPr/>
      <dgm:t>
        <a:bodyPr/>
        <a:lstStyle/>
        <a:p>
          <a:endParaRPr lang="en-GB"/>
        </a:p>
      </dgm:t>
    </dgm:pt>
    <dgm:pt modelId="{ED55DE2A-15A7-498E-BE61-F3FD7930019D}" type="sibTrans" cxnId="{EB004BF0-1B49-4F8C-8DD0-4588D3F06345}">
      <dgm:prSet/>
      <dgm:spPr/>
      <dgm:t>
        <a:bodyPr/>
        <a:lstStyle/>
        <a:p>
          <a:endParaRPr lang="en-GB"/>
        </a:p>
      </dgm:t>
    </dgm:pt>
    <dgm:pt modelId="{C54AAA2C-D860-4587-8BB2-EF47092220BF}">
      <dgm:prSet phldrT="[Text]" custT="1"/>
      <dgm:spPr/>
      <dgm:t>
        <a:bodyPr/>
        <a:lstStyle/>
        <a:p>
          <a:r>
            <a:rPr lang="en-GB" sz="1100" b="1" i="1">
              <a:latin typeface="Arial" panose="020B0604020202020204" pitchFamily="34" charset="0"/>
              <a:cs typeface="Arial" panose="020B0604020202020204" pitchFamily="34" charset="0"/>
            </a:rPr>
            <a:t>Low power</a:t>
          </a:r>
        </a:p>
        <a:p>
          <a:r>
            <a:rPr lang="en-GB" sz="1100" b="1" i="1">
              <a:latin typeface="Arial" panose="020B0604020202020204" pitchFamily="34" charset="0"/>
              <a:cs typeface="Arial" panose="020B0604020202020204" pitchFamily="34" charset="0"/>
            </a:rPr>
            <a:t>High interest</a:t>
          </a:r>
        </a:p>
        <a:p>
          <a:r>
            <a:rPr lang="en-GB" sz="1100">
              <a:latin typeface="Arial" panose="020B0604020202020204" pitchFamily="34" charset="0"/>
              <a:cs typeface="Arial" panose="020B0604020202020204" pitchFamily="34" charset="0"/>
            </a:rPr>
            <a:t>Costumers</a:t>
          </a:r>
        </a:p>
        <a:p>
          <a:r>
            <a:rPr lang="en-GB" sz="1100">
              <a:latin typeface="Arial" panose="020B0604020202020204" pitchFamily="34" charset="0"/>
              <a:cs typeface="Arial" panose="020B0604020202020204" pitchFamily="34" charset="0"/>
            </a:rPr>
            <a:t>Community</a:t>
          </a:r>
        </a:p>
        <a:p>
          <a:r>
            <a:rPr lang="en-GB" sz="1100">
              <a:latin typeface="Arial" panose="020B0604020202020204" pitchFamily="34" charset="0"/>
              <a:cs typeface="Arial" panose="020B0604020202020204" pitchFamily="34" charset="0"/>
            </a:rPr>
            <a:t>Suppliers </a:t>
          </a:r>
        </a:p>
      </dgm:t>
    </dgm:pt>
    <dgm:pt modelId="{3EFD262E-B039-4BB5-A607-07DAE1B11EBB}" type="parTrans" cxnId="{198F18D9-7850-444C-B441-88AF96EC935D}">
      <dgm:prSet/>
      <dgm:spPr/>
      <dgm:t>
        <a:bodyPr/>
        <a:lstStyle/>
        <a:p>
          <a:endParaRPr lang="en-GB"/>
        </a:p>
      </dgm:t>
    </dgm:pt>
    <dgm:pt modelId="{703B5A88-1747-46BC-9DE5-CC03A2B079D6}" type="sibTrans" cxnId="{198F18D9-7850-444C-B441-88AF96EC935D}">
      <dgm:prSet/>
      <dgm:spPr/>
      <dgm:t>
        <a:bodyPr/>
        <a:lstStyle/>
        <a:p>
          <a:endParaRPr lang="en-GB"/>
        </a:p>
      </dgm:t>
    </dgm:pt>
    <dgm:pt modelId="{2FA8491D-92AE-4A37-94BE-46A044EC6AA0}" type="pres">
      <dgm:prSet presAssocID="{2A8A135E-425E-4FC4-947D-3DAEF6A718D1}" presName="matrix" presStyleCnt="0">
        <dgm:presLayoutVars>
          <dgm:chMax val="1"/>
          <dgm:dir/>
          <dgm:resizeHandles val="exact"/>
        </dgm:presLayoutVars>
      </dgm:prSet>
      <dgm:spPr/>
    </dgm:pt>
    <dgm:pt modelId="{C0643DB1-A1F5-4FB6-B145-84EFDB7CEA2B}" type="pres">
      <dgm:prSet presAssocID="{2A8A135E-425E-4FC4-947D-3DAEF6A718D1}" presName="axisShape" presStyleLbl="bgShp" presStyleIdx="0" presStyleCnt="1"/>
      <dgm:spPr/>
    </dgm:pt>
    <dgm:pt modelId="{1EC11A83-9D77-4C6B-BC43-728719ACF4DB}" type="pres">
      <dgm:prSet presAssocID="{2A8A135E-425E-4FC4-947D-3DAEF6A718D1}" presName="rect1" presStyleLbl="node1" presStyleIdx="0" presStyleCnt="4">
        <dgm:presLayoutVars>
          <dgm:chMax val="0"/>
          <dgm:chPref val="0"/>
          <dgm:bulletEnabled val="1"/>
        </dgm:presLayoutVars>
      </dgm:prSet>
      <dgm:spPr/>
    </dgm:pt>
    <dgm:pt modelId="{25061B44-F349-40DC-B397-814C8C29A31D}" type="pres">
      <dgm:prSet presAssocID="{2A8A135E-425E-4FC4-947D-3DAEF6A718D1}" presName="rect2" presStyleLbl="node1" presStyleIdx="1" presStyleCnt="4">
        <dgm:presLayoutVars>
          <dgm:chMax val="0"/>
          <dgm:chPref val="0"/>
          <dgm:bulletEnabled val="1"/>
        </dgm:presLayoutVars>
      </dgm:prSet>
      <dgm:spPr/>
    </dgm:pt>
    <dgm:pt modelId="{23A0BE27-089A-497F-915E-D1366DBEA81B}" type="pres">
      <dgm:prSet presAssocID="{2A8A135E-425E-4FC4-947D-3DAEF6A718D1}" presName="rect3" presStyleLbl="node1" presStyleIdx="2" presStyleCnt="4">
        <dgm:presLayoutVars>
          <dgm:chMax val="0"/>
          <dgm:chPref val="0"/>
          <dgm:bulletEnabled val="1"/>
        </dgm:presLayoutVars>
      </dgm:prSet>
      <dgm:spPr/>
    </dgm:pt>
    <dgm:pt modelId="{70B41B31-8005-431A-8A06-D8FEFD2FD591}" type="pres">
      <dgm:prSet presAssocID="{2A8A135E-425E-4FC4-947D-3DAEF6A718D1}" presName="rect4" presStyleLbl="node1" presStyleIdx="3" presStyleCnt="4">
        <dgm:presLayoutVars>
          <dgm:chMax val="0"/>
          <dgm:chPref val="0"/>
          <dgm:bulletEnabled val="1"/>
        </dgm:presLayoutVars>
      </dgm:prSet>
      <dgm:spPr/>
    </dgm:pt>
  </dgm:ptLst>
  <dgm:cxnLst>
    <dgm:cxn modelId="{05FCD224-CF60-4752-9EAF-C9003551AF0C}" srcId="{2A8A135E-425E-4FC4-947D-3DAEF6A718D1}" destId="{7698D6AD-86EC-419A-8B56-6E85D88D90AC}" srcOrd="0" destOrd="0" parTransId="{1F00BA04-2172-4A0B-A06E-F5FF32950097}" sibTransId="{57CCC308-0D1A-431A-B1DE-8EFAFC3D354D}"/>
    <dgm:cxn modelId="{999D6440-FAB2-4319-900F-E59551DE2AB5}" type="presOf" srcId="{C54AAA2C-D860-4587-8BB2-EF47092220BF}" destId="{70B41B31-8005-431A-8A06-D8FEFD2FD591}" srcOrd="0" destOrd="0" presId="urn:microsoft.com/office/officeart/2005/8/layout/matrix2"/>
    <dgm:cxn modelId="{E10A8153-39EB-4F0F-AC11-9CF1598E7343}" type="presOf" srcId="{2A8A135E-425E-4FC4-947D-3DAEF6A718D1}" destId="{2FA8491D-92AE-4A37-94BE-46A044EC6AA0}" srcOrd="0" destOrd="0" presId="urn:microsoft.com/office/officeart/2005/8/layout/matrix2"/>
    <dgm:cxn modelId="{8439DF82-6C05-432D-91B6-9ACFB0EB0573}" type="presOf" srcId="{7698D6AD-86EC-419A-8B56-6E85D88D90AC}" destId="{1EC11A83-9D77-4C6B-BC43-728719ACF4DB}" srcOrd="0" destOrd="0" presId="urn:microsoft.com/office/officeart/2005/8/layout/matrix2"/>
    <dgm:cxn modelId="{82DDB28D-3338-448F-9B35-5A854ACD920B}" type="presOf" srcId="{579CC782-E7FB-4E35-84B6-7F3D642B96C9}" destId="{23A0BE27-089A-497F-915E-D1366DBEA81B}" srcOrd="0" destOrd="0" presId="urn:microsoft.com/office/officeart/2005/8/layout/matrix2"/>
    <dgm:cxn modelId="{DD918B9C-3EB4-4031-BB26-F9C19F5D4B1F}" srcId="{2A8A135E-425E-4FC4-947D-3DAEF6A718D1}" destId="{F74506FD-F6B5-4BE1-8242-77C56DF3ADA7}" srcOrd="1" destOrd="0" parTransId="{C17528F3-4B17-4FF2-A2DE-6326E36A44B2}" sibTransId="{31844C2E-A4B4-4D78-AC4F-3FCF0B49DD0B}"/>
    <dgm:cxn modelId="{198F18D9-7850-444C-B441-88AF96EC935D}" srcId="{2A8A135E-425E-4FC4-947D-3DAEF6A718D1}" destId="{C54AAA2C-D860-4587-8BB2-EF47092220BF}" srcOrd="3" destOrd="0" parTransId="{3EFD262E-B039-4BB5-A607-07DAE1B11EBB}" sibTransId="{703B5A88-1747-46BC-9DE5-CC03A2B079D6}"/>
    <dgm:cxn modelId="{D894ABE8-0B40-4948-8405-DAC1D6F8D205}" type="presOf" srcId="{F74506FD-F6B5-4BE1-8242-77C56DF3ADA7}" destId="{25061B44-F349-40DC-B397-814C8C29A31D}" srcOrd="0" destOrd="0" presId="urn:microsoft.com/office/officeart/2005/8/layout/matrix2"/>
    <dgm:cxn modelId="{EB004BF0-1B49-4F8C-8DD0-4588D3F06345}" srcId="{2A8A135E-425E-4FC4-947D-3DAEF6A718D1}" destId="{579CC782-E7FB-4E35-84B6-7F3D642B96C9}" srcOrd="2" destOrd="0" parTransId="{0F17A4AE-2896-4E21-80BD-4C310E58F2A8}" sibTransId="{ED55DE2A-15A7-498E-BE61-F3FD7930019D}"/>
    <dgm:cxn modelId="{ED526836-E521-44F5-8A34-C98465D8E206}" type="presParOf" srcId="{2FA8491D-92AE-4A37-94BE-46A044EC6AA0}" destId="{C0643DB1-A1F5-4FB6-B145-84EFDB7CEA2B}" srcOrd="0" destOrd="0" presId="urn:microsoft.com/office/officeart/2005/8/layout/matrix2"/>
    <dgm:cxn modelId="{93CC8122-CF32-4580-8459-6D5218835DD9}" type="presParOf" srcId="{2FA8491D-92AE-4A37-94BE-46A044EC6AA0}" destId="{1EC11A83-9D77-4C6B-BC43-728719ACF4DB}" srcOrd="1" destOrd="0" presId="urn:microsoft.com/office/officeart/2005/8/layout/matrix2"/>
    <dgm:cxn modelId="{57B78068-7020-4DD4-9488-878EC5E010E1}" type="presParOf" srcId="{2FA8491D-92AE-4A37-94BE-46A044EC6AA0}" destId="{25061B44-F349-40DC-B397-814C8C29A31D}" srcOrd="2" destOrd="0" presId="urn:microsoft.com/office/officeart/2005/8/layout/matrix2"/>
    <dgm:cxn modelId="{4FF30A73-E3DD-4906-9E06-EC62DB7D5844}" type="presParOf" srcId="{2FA8491D-92AE-4A37-94BE-46A044EC6AA0}" destId="{23A0BE27-089A-497F-915E-D1366DBEA81B}" srcOrd="3" destOrd="0" presId="urn:microsoft.com/office/officeart/2005/8/layout/matrix2"/>
    <dgm:cxn modelId="{DCCDD043-7115-4106-B239-72997232371E}" type="presParOf" srcId="{2FA8491D-92AE-4A37-94BE-46A044EC6AA0}" destId="{70B41B31-8005-431A-8A06-D8FEFD2FD591}" srcOrd="4" destOrd="0" presId="urn:microsoft.com/office/officeart/2005/8/layout/matrix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C78F96D-6A7F-4D73-8AF1-FB24F551A5D5}" type="doc">
      <dgm:prSet loTypeId="urn:microsoft.com/office/officeart/2005/8/layout/chevron1" loCatId="process" qsTypeId="urn:microsoft.com/office/officeart/2005/8/quickstyle/simple1" qsCatId="simple" csTypeId="urn:microsoft.com/office/officeart/2005/8/colors/colorful2" csCatId="colorful" phldr="1"/>
      <dgm:spPr/>
      <dgm:t>
        <a:bodyPr/>
        <a:lstStyle/>
        <a:p>
          <a:endParaRPr lang="en-IN"/>
        </a:p>
      </dgm:t>
    </dgm:pt>
    <dgm:pt modelId="{D165D224-2AEF-4845-A5B1-2999033486B4}">
      <dgm:prSet phldrT="[Text]"/>
      <dgm:spPr/>
      <dgm:t>
        <a:bodyPr/>
        <a:lstStyle/>
        <a:p>
          <a:r>
            <a:rPr lang="en-IN" b="1" i="1"/>
            <a:t>Managing the post office</a:t>
          </a:r>
          <a:endParaRPr lang="en-IN"/>
        </a:p>
      </dgm:t>
    </dgm:pt>
    <dgm:pt modelId="{165BE1FB-8D9F-4FCA-923F-1A1F3519A8FA}" type="parTrans" cxnId="{DF2DC646-3A7C-42F7-A50B-35295049A383}">
      <dgm:prSet/>
      <dgm:spPr/>
      <dgm:t>
        <a:bodyPr/>
        <a:lstStyle/>
        <a:p>
          <a:endParaRPr lang="en-IN"/>
        </a:p>
      </dgm:t>
    </dgm:pt>
    <dgm:pt modelId="{EF240778-8F86-45CC-863C-B41F45D1801B}" type="sibTrans" cxnId="{DF2DC646-3A7C-42F7-A50B-35295049A383}">
      <dgm:prSet/>
      <dgm:spPr/>
      <dgm:t>
        <a:bodyPr/>
        <a:lstStyle/>
        <a:p>
          <a:endParaRPr lang="en-IN"/>
        </a:p>
      </dgm:t>
    </dgm:pt>
    <dgm:pt modelId="{D5ABDB33-E9AB-4FA9-943C-8DAB831E2ECA}">
      <dgm:prSet phldrT="[Text]"/>
      <dgm:spPr/>
      <dgm:t>
        <a:bodyPr/>
        <a:lstStyle/>
        <a:p>
          <a:r>
            <a:rPr lang="en-IN" b="1" i="1"/>
            <a:t>Departmental Heads</a:t>
          </a:r>
          <a:endParaRPr lang="en-IN"/>
        </a:p>
      </dgm:t>
    </dgm:pt>
    <dgm:pt modelId="{67157A4D-247D-4C0A-820A-AE6F039D53C8}" type="parTrans" cxnId="{E2B65640-3772-482B-A21E-E54129F7FCF1}">
      <dgm:prSet/>
      <dgm:spPr/>
      <dgm:t>
        <a:bodyPr/>
        <a:lstStyle/>
        <a:p>
          <a:endParaRPr lang="en-IN"/>
        </a:p>
      </dgm:t>
    </dgm:pt>
    <dgm:pt modelId="{7C7B0ABC-E013-4077-AA9B-436BC180E7DF}" type="sibTrans" cxnId="{E2B65640-3772-482B-A21E-E54129F7FCF1}">
      <dgm:prSet/>
      <dgm:spPr/>
      <dgm:t>
        <a:bodyPr/>
        <a:lstStyle/>
        <a:p>
          <a:endParaRPr lang="en-IN"/>
        </a:p>
      </dgm:t>
    </dgm:pt>
    <dgm:pt modelId="{DC8035BE-610F-4F48-93F2-78707BE21B2A}">
      <dgm:prSet phldrT="[Text]"/>
      <dgm:spPr/>
      <dgm:t>
        <a:bodyPr/>
        <a:lstStyle/>
        <a:p>
          <a:r>
            <a:rPr lang="en-IN" b="1" i="1"/>
            <a:t>Concerning of employees</a:t>
          </a:r>
          <a:endParaRPr lang="en-IN"/>
        </a:p>
      </dgm:t>
    </dgm:pt>
    <dgm:pt modelId="{0927F27B-227D-43BE-8CB9-5D766B210CE7}" type="parTrans" cxnId="{BE6BEB66-6D6A-416D-8DA1-CAE1E256DDC0}">
      <dgm:prSet/>
      <dgm:spPr/>
      <dgm:t>
        <a:bodyPr/>
        <a:lstStyle/>
        <a:p>
          <a:endParaRPr lang="en-IN"/>
        </a:p>
      </dgm:t>
    </dgm:pt>
    <dgm:pt modelId="{A3D85E63-165B-4C4A-AF91-A85266BBDB66}" type="sibTrans" cxnId="{BE6BEB66-6D6A-416D-8DA1-CAE1E256DDC0}">
      <dgm:prSet/>
      <dgm:spPr/>
      <dgm:t>
        <a:bodyPr/>
        <a:lstStyle/>
        <a:p>
          <a:endParaRPr lang="en-IN"/>
        </a:p>
      </dgm:t>
    </dgm:pt>
    <dgm:pt modelId="{3093F383-D50B-43E1-AF57-76507974A59D}">
      <dgm:prSet phldrT="[Text]"/>
      <dgm:spPr/>
      <dgm:t>
        <a:bodyPr/>
        <a:lstStyle/>
        <a:p>
          <a:r>
            <a:rPr lang="en-IN" b="1" i="1"/>
            <a:t>Human Resource Management </a:t>
          </a:r>
          <a:endParaRPr lang="en-IN"/>
        </a:p>
      </dgm:t>
    </dgm:pt>
    <dgm:pt modelId="{F19D2406-5781-4656-AA00-5F1BB65B929B}" type="parTrans" cxnId="{31F310A0-2A89-42B7-B47C-FA66D1E316E3}">
      <dgm:prSet/>
      <dgm:spPr/>
      <dgm:t>
        <a:bodyPr/>
        <a:lstStyle/>
        <a:p>
          <a:endParaRPr lang="en-IN"/>
        </a:p>
      </dgm:t>
    </dgm:pt>
    <dgm:pt modelId="{FBB827C1-45B8-4FF6-9586-111B227CD172}" type="sibTrans" cxnId="{31F310A0-2A89-42B7-B47C-FA66D1E316E3}">
      <dgm:prSet/>
      <dgm:spPr/>
      <dgm:t>
        <a:bodyPr/>
        <a:lstStyle/>
        <a:p>
          <a:endParaRPr lang="en-IN"/>
        </a:p>
      </dgm:t>
    </dgm:pt>
    <dgm:pt modelId="{5ED761A9-9E2D-48E1-B738-C097AB8A07FB}">
      <dgm:prSet phldrT="[Text]"/>
      <dgm:spPr/>
      <dgm:t>
        <a:bodyPr/>
        <a:lstStyle/>
        <a:p>
          <a:r>
            <a:rPr lang="en-IN" b="1" i="1"/>
            <a:t>Department of Information Technology</a:t>
          </a:r>
          <a:endParaRPr lang="en-IN"/>
        </a:p>
      </dgm:t>
    </dgm:pt>
    <dgm:pt modelId="{35C5A3AE-2C9B-4638-8000-5CCEE0A3B6D8}" type="parTrans" cxnId="{E166A77E-8115-4A7E-B8EA-0273296DE974}">
      <dgm:prSet/>
      <dgm:spPr/>
      <dgm:t>
        <a:bodyPr/>
        <a:lstStyle/>
        <a:p>
          <a:endParaRPr lang="en-IN"/>
        </a:p>
      </dgm:t>
    </dgm:pt>
    <dgm:pt modelId="{519185F7-B16D-4360-B4C0-0B6920B4FC1E}" type="sibTrans" cxnId="{E166A77E-8115-4A7E-B8EA-0273296DE974}">
      <dgm:prSet/>
      <dgm:spPr/>
      <dgm:t>
        <a:bodyPr/>
        <a:lstStyle/>
        <a:p>
          <a:endParaRPr lang="en-IN"/>
        </a:p>
      </dgm:t>
    </dgm:pt>
    <dgm:pt modelId="{6AA10E5C-8C5B-4993-BD6D-C6FB9437B796}">
      <dgm:prSet phldrT="[Text]"/>
      <dgm:spPr/>
      <dgm:t>
        <a:bodyPr/>
        <a:lstStyle/>
        <a:p>
          <a:r>
            <a:rPr lang="en-IN" b="1" i="1"/>
            <a:t>Staff operation </a:t>
          </a:r>
          <a:endParaRPr lang="en-IN"/>
        </a:p>
      </dgm:t>
    </dgm:pt>
    <dgm:pt modelId="{75B2EEC7-EC3C-4345-B65E-E81A6B401E90}" type="parTrans" cxnId="{484FA377-696E-49F0-9471-E324E91061CF}">
      <dgm:prSet/>
      <dgm:spPr/>
      <dgm:t>
        <a:bodyPr/>
        <a:lstStyle/>
        <a:p>
          <a:endParaRPr lang="en-IN"/>
        </a:p>
      </dgm:t>
    </dgm:pt>
    <dgm:pt modelId="{96CEB615-C0CA-41C1-98A5-A10F995E6F01}" type="sibTrans" cxnId="{484FA377-696E-49F0-9471-E324E91061CF}">
      <dgm:prSet/>
      <dgm:spPr/>
      <dgm:t>
        <a:bodyPr/>
        <a:lstStyle/>
        <a:p>
          <a:endParaRPr lang="en-IN"/>
        </a:p>
      </dgm:t>
    </dgm:pt>
    <dgm:pt modelId="{82CCDC1E-84EA-4694-B839-9667B7820310}">
      <dgm:prSet phldrT="[Text]"/>
      <dgm:spPr/>
      <dgm:t>
        <a:bodyPr/>
        <a:lstStyle/>
        <a:p>
          <a:r>
            <a:rPr lang="en-IN" b="1" i="1"/>
            <a:t>Financial and budget management </a:t>
          </a:r>
          <a:endParaRPr lang="en-IN"/>
        </a:p>
      </dgm:t>
    </dgm:pt>
    <dgm:pt modelId="{80916FB6-7B6B-474C-9B0D-AE5D040A60BC}" type="parTrans" cxnId="{0A7DF994-69B0-41E1-9A03-E010F0C37D1F}">
      <dgm:prSet/>
      <dgm:spPr/>
      <dgm:t>
        <a:bodyPr/>
        <a:lstStyle/>
        <a:p>
          <a:endParaRPr lang="en-IN"/>
        </a:p>
      </dgm:t>
    </dgm:pt>
    <dgm:pt modelId="{E615A22F-64D6-4EB3-97F2-549484B00885}" type="sibTrans" cxnId="{0A7DF994-69B0-41E1-9A03-E010F0C37D1F}">
      <dgm:prSet/>
      <dgm:spPr/>
      <dgm:t>
        <a:bodyPr/>
        <a:lstStyle/>
        <a:p>
          <a:endParaRPr lang="en-IN"/>
        </a:p>
      </dgm:t>
    </dgm:pt>
    <dgm:pt modelId="{BAB42578-C64D-470B-96A5-FDBC85725ADD}">
      <dgm:prSet phldrT="[Text]"/>
      <dgm:spPr/>
      <dgm:t>
        <a:bodyPr/>
        <a:lstStyle/>
        <a:p>
          <a:r>
            <a:rPr lang="en-IN" b="1" i="1"/>
            <a:t>Quality management </a:t>
          </a:r>
          <a:endParaRPr lang="en-IN"/>
        </a:p>
      </dgm:t>
    </dgm:pt>
    <dgm:pt modelId="{D6CBB958-F8EF-4F59-847A-79071C941A4F}" type="parTrans" cxnId="{079E46CB-57BE-481C-BAC1-8A0AD70AE88D}">
      <dgm:prSet/>
      <dgm:spPr/>
      <dgm:t>
        <a:bodyPr/>
        <a:lstStyle/>
        <a:p>
          <a:endParaRPr lang="en-IN"/>
        </a:p>
      </dgm:t>
    </dgm:pt>
    <dgm:pt modelId="{4B642779-311B-4F3E-A5D7-71E92103655A}" type="sibTrans" cxnId="{079E46CB-57BE-481C-BAC1-8A0AD70AE88D}">
      <dgm:prSet/>
      <dgm:spPr/>
      <dgm:t>
        <a:bodyPr/>
        <a:lstStyle/>
        <a:p>
          <a:endParaRPr lang="en-IN"/>
        </a:p>
      </dgm:t>
    </dgm:pt>
    <dgm:pt modelId="{6F74E40A-6C45-4574-888E-AC5D793CABAC}" type="pres">
      <dgm:prSet presAssocID="{8C78F96D-6A7F-4D73-8AF1-FB24F551A5D5}" presName="Name0" presStyleCnt="0">
        <dgm:presLayoutVars>
          <dgm:dir/>
          <dgm:animLvl val="lvl"/>
          <dgm:resizeHandles val="exact"/>
        </dgm:presLayoutVars>
      </dgm:prSet>
      <dgm:spPr/>
    </dgm:pt>
    <dgm:pt modelId="{ACBFCB43-E834-40C9-ACB7-561EE4E1FFA8}" type="pres">
      <dgm:prSet presAssocID="{D165D224-2AEF-4845-A5B1-2999033486B4}" presName="parTxOnly" presStyleLbl="node1" presStyleIdx="0" presStyleCnt="8">
        <dgm:presLayoutVars>
          <dgm:chMax val="0"/>
          <dgm:chPref val="0"/>
          <dgm:bulletEnabled val="1"/>
        </dgm:presLayoutVars>
      </dgm:prSet>
      <dgm:spPr/>
    </dgm:pt>
    <dgm:pt modelId="{8D7BFF68-3132-4E5C-ACEA-8DDF8B5BCFCA}" type="pres">
      <dgm:prSet presAssocID="{EF240778-8F86-45CC-863C-B41F45D1801B}" presName="parTxOnlySpace" presStyleCnt="0"/>
      <dgm:spPr/>
    </dgm:pt>
    <dgm:pt modelId="{6916AEFE-B64F-4361-BF76-8889122BF9D9}" type="pres">
      <dgm:prSet presAssocID="{D5ABDB33-E9AB-4FA9-943C-8DAB831E2ECA}" presName="parTxOnly" presStyleLbl="node1" presStyleIdx="1" presStyleCnt="8">
        <dgm:presLayoutVars>
          <dgm:chMax val="0"/>
          <dgm:chPref val="0"/>
          <dgm:bulletEnabled val="1"/>
        </dgm:presLayoutVars>
      </dgm:prSet>
      <dgm:spPr/>
    </dgm:pt>
    <dgm:pt modelId="{BA403652-C16D-4209-834A-F7994133E326}" type="pres">
      <dgm:prSet presAssocID="{7C7B0ABC-E013-4077-AA9B-436BC180E7DF}" presName="parTxOnlySpace" presStyleCnt="0"/>
      <dgm:spPr/>
    </dgm:pt>
    <dgm:pt modelId="{C3FF7105-70DB-463B-A675-7969AEE21DAA}" type="pres">
      <dgm:prSet presAssocID="{DC8035BE-610F-4F48-93F2-78707BE21B2A}" presName="parTxOnly" presStyleLbl="node1" presStyleIdx="2" presStyleCnt="8">
        <dgm:presLayoutVars>
          <dgm:chMax val="0"/>
          <dgm:chPref val="0"/>
          <dgm:bulletEnabled val="1"/>
        </dgm:presLayoutVars>
      </dgm:prSet>
      <dgm:spPr/>
    </dgm:pt>
    <dgm:pt modelId="{13891A60-6E72-458D-B6B0-681C9DD8CA5E}" type="pres">
      <dgm:prSet presAssocID="{A3D85E63-165B-4C4A-AF91-A85266BBDB66}" presName="parTxOnlySpace" presStyleCnt="0"/>
      <dgm:spPr/>
    </dgm:pt>
    <dgm:pt modelId="{076D4B6D-B234-423A-89B3-656E48D64946}" type="pres">
      <dgm:prSet presAssocID="{3093F383-D50B-43E1-AF57-76507974A59D}" presName="parTxOnly" presStyleLbl="node1" presStyleIdx="3" presStyleCnt="8">
        <dgm:presLayoutVars>
          <dgm:chMax val="0"/>
          <dgm:chPref val="0"/>
          <dgm:bulletEnabled val="1"/>
        </dgm:presLayoutVars>
      </dgm:prSet>
      <dgm:spPr/>
    </dgm:pt>
    <dgm:pt modelId="{3F80F115-C29C-4123-9BD5-A7E676FD4379}" type="pres">
      <dgm:prSet presAssocID="{FBB827C1-45B8-4FF6-9586-111B227CD172}" presName="parTxOnlySpace" presStyleCnt="0"/>
      <dgm:spPr/>
    </dgm:pt>
    <dgm:pt modelId="{18ED6E7F-AB9B-411C-8F32-D10DF4C8ACC1}" type="pres">
      <dgm:prSet presAssocID="{5ED761A9-9E2D-48E1-B738-C097AB8A07FB}" presName="parTxOnly" presStyleLbl="node1" presStyleIdx="4" presStyleCnt="8">
        <dgm:presLayoutVars>
          <dgm:chMax val="0"/>
          <dgm:chPref val="0"/>
          <dgm:bulletEnabled val="1"/>
        </dgm:presLayoutVars>
      </dgm:prSet>
      <dgm:spPr/>
    </dgm:pt>
    <dgm:pt modelId="{86CB9597-305F-42D4-9D94-A214CC8A5014}" type="pres">
      <dgm:prSet presAssocID="{519185F7-B16D-4360-B4C0-0B6920B4FC1E}" presName="parTxOnlySpace" presStyleCnt="0"/>
      <dgm:spPr/>
    </dgm:pt>
    <dgm:pt modelId="{898CE772-52BF-4AE7-B18A-62AF076DE2CC}" type="pres">
      <dgm:prSet presAssocID="{6AA10E5C-8C5B-4993-BD6D-C6FB9437B796}" presName="parTxOnly" presStyleLbl="node1" presStyleIdx="5" presStyleCnt="8">
        <dgm:presLayoutVars>
          <dgm:chMax val="0"/>
          <dgm:chPref val="0"/>
          <dgm:bulletEnabled val="1"/>
        </dgm:presLayoutVars>
      </dgm:prSet>
      <dgm:spPr/>
    </dgm:pt>
    <dgm:pt modelId="{3DF9B6E3-061F-4DF6-BCAE-8FA77F470BCC}" type="pres">
      <dgm:prSet presAssocID="{96CEB615-C0CA-41C1-98A5-A10F995E6F01}" presName="parTxOnlySpace" presStyleCnt="0"/>
      <dgm:spPr/>
    </dgm:pt>
    <dgm:pt modelId="{9F4DF436-2548-477C-8C9E-C56DD26CEA9F}" type="pres">
      <dgm:prSet presAssocID="{82CCDC1E-84EA-4694-B839-9667B7820310}" presName="parTxOnly" presStyleLbl="node1" presStyleIdx="6" presStyleCnt="8">
        <dgm:presLayoutVars>
          <dgm:chMax val="0"/>
          <dgm:chPref val="0"/>
          <dgm:bulletEnabled val="1"/>
        </dgm:presLayoutVars>
      </dgm:prSet>
      <dgm:spPr/>
    </dgm:pt>
    <dgm:pt modelId="{C47C08DC-9998-47C6-8873-6B565E0708F2}" type="pres">
      <dgm:prSet presAssocID="{E615A22F-64D6-4EB3-97F2-549484B00885}" presName="parTxOnlySpace" presStyleCnt="0"/>
      <dgm:spPr/>
    </dgm:pt>
    <dgm:pt modelId="{386FA106-06A2-4D2E-BA0A-49119A5081CA}" type="pres">
      <dgm:prSet presAssocID="{BAB42578-C64D-470B-96A5-FDBC85725ADD}" presName="parTxOnly" presStyleLbl="node1" presStyleIdx="7" presStyleCnt="8">
        <dgm:presLayoutVars>
          <dgm:chMax val="0"/>
          <dgm:chPref val="0"/>
          <dgm:bulletEnabled val="1"/>
        </dgm:presLayoutVars>
      </dgm:prSet>
      <dgm:spPr/>
    </dgm:pt>
  </dgm:ptLst>
  <dgm:cxnLst>
    <dgm:cxn modelId="{98D35C1A-A506-4AD8-B4AF-FAB73F0C1E77}" type="presOf" srcId="{D5ABDB33-E9AB-4FA9-943C-8DAB831E2ECA}" destId="{6916AEFE-B64F-4361-BF76-8889122BF9D9}" srcOrd="0" destOrd="0" presId="urn:microsoft.com/office/officeart/2005/8/layout/chevron1"/>
    <dgm:cxn modelId="{45D3431C-BB08-4E06-9800-B8158112BB57}" type="presOf" srcId="{8C78F96D-6A7F-4D73-8AF1-FB24F551A5D5}" destId="{6F74E40A-6C45-4574-888E-AC5D793CABAC}" srcOrd="0" destOrd="0" presId="urn:microsoft.com/office/officeart/2005/8/layout/chevron1"/>
    <dgm:cxn modelId="{D611F434-9C74-49B8-A1AF-ACE4C12C844D}" type="presOf" srcId="{82CCDC1E-84EA-4694-B839-9667B7820310}" destId="{9F4DF436-2548-477C-8C9E-C56DD26CEA9F}" srcOrd="0" destOrd="0" presId="urn:microsoft.com/office/officeart/2005/8/layout/chevron1"/>
    <dgm:cxn modelId="{E2B65640-3772-482B-A21E-E54129F7FCF1}" srcId="{8C78F96D-6A7F-4D73-8AF1-FB24F551A5D5}" destId="{D5ABDB33-E9AB-4FA9-943C-8DAB831E2ECA}" srcOrd="1" destOrd="0" parTransId="{67157A4D-247D-4C0A-820A-AE6F039D53C8}" sibTransId="{7C7B0ABC-E013-4077-AA9B-436BC180E7DF}"/>
    <dgm:cxn modelId="{DF2DC646-3A7C-42F7-A50B-35295049A383}" srcId="{8C78F96D-6A7F-4D73-8AF1-FB24F551A5D5}" destId="{D165D224-2AEF-4845-A5B1-2999033486B4}" srcOrd="0" destOrd="0" parTransId="{165BE1FB-8D9F-4FCA-923F-1A1F3519A8FA}" sibTransId="{EF240778-8F86-45CC-863C-B41F45D1801B}"/>
    <dgm:cxn modelId="{BE6BEB66-6D6A-416D-8DA1-CAE1E256DDC0}" srcId="{8C78F96D-6A7F-4D73-8AF1-FB24F551A5D5}" destId="{DC8035BE-610F-4F48-93F2-78707BE21B2A}" srcOrd="2" destOrd="0" parTransId="{0927F27B-227D-43BE-8CB9-5D766B210CE7}" sibTransId="{A3D85E63-165B-4C4A-AF91-A85266BBDB66}"/>
    <dgm:cxn modelId="{484FA377-696E-49F0-9471-E324E91061CF}" srcId="{8C78F96D-6A7F-4D73-8AF1-FB24F551A5D5}" destId="{6AA10E5C-8C5B-4993-BD6D-C6FB9437B796}" srcOrd="5" destOrd="0" parTransId="{75B2EEC7-EC3C-4345-B65E-E81A6B401E90}" sibTransId="{96CEB615-C0CA-41C1-98A5-A10F995E6F01}"/>
    <dgm:cxn modelId="{F297DB58-484F-4310-8EF2-A5CB596AF8CF}" type="presOf" srcId="{5ED761A9-9E2D-48E1-B738-C097AB8A07FB}" destId="{18ED6E7F-AB9B-411C-8F32-D10DF4C8ACC1}" srcOrd="0" destOrd="0" presId="urn:microsoft.com/office/officeart/2005/8/layout/chevron1"/>
    <dgm:cxn modelId="{E166A77E-8115-4A7E-B8EA-0273296DE974}" srcId="{8C78F96D-6A7F-4D73-8AF1-FB24F551A5D5}" destId="{5ED761A9-9E2D-48E1-B738-C097AB8A07FB}" srcOrd="4" destOrd="0" parTransId="{35C5A3AE-2C9B-4638-8000-5CCEE0A3B6D8}" sibTransId="{519185F7-B16D-4360-B4C0-0B6920B4FC1E}"/>
    <dgm:cxn modelId="{F4DBB08B-65B3-4F2C-92BA-581B537D520A}" type="presOf" srcId="{DC8035BE-610F-4F48-93F2-78707BE21B2A}" destId="{C3FF7105-70DB-463B-A675-7969AEE21DAA}" srcOrd="0" destOrd="0" presId="urn:microsoft.com/office/officeart/2005/8/layout/chevron1"/>
    <dgm:cxn modelId="{0A7DF994-69B0-41E1-9A03-E010F0C37D1F}" srcId="{8C78F96D-6A7F-4D73-8AF1-FB24F551A5D5}" destId="{82CCDC1E-84EA-4694-B839-9667B7820310}" srcOrd="6" destOrd="0" parTransId="{80916FB6-7B6B-474C-9B0D-AE5D040A60BC}" sibTransId="{E615A22F-64D6-4EB3-97F2-549484B00885}"/>
    <dgm:cxn modelId="{31F310A0-2A89-42B7-B47C-FA66D1E316E3}" srcId="{8C78F96D-6A7F-4D73-8AF1-FB24F551A5D5}" destId="{3093F383-D50B-43E1-AF57-76507974A59D}" srcOrd="3" destOrd="0" parTransId="{F19D2406-5781-4656-AA00-5F1BB65B929B}" sibTransId="{FBB827C1-45B8-4FF6-9586-111B227CD172}"/>
    <dgm:cxn modelId="{E8DD72A3-EDB1-4F44-8CC7-C44A5BAAE340}" type="presOf" srcId="{BAB42578-C64D-470B-96A5-FDBC85725ADD}" destId="{386FA106-06A2-4D2E-BA0A-49119A5081CA}" srcOrd="0" destOrd="0" presId="urn:microsoft.com/office/officeart/2005/8/layout/chevron1"/>
    <dgm:cxn modelId="{0E0381A9-5BCD-445E-94BA-76D4F6A3C16A}" type="presOf" srcId="{3093F383-D50B-43E1-AF57-76507974A59D}" destId="{076D4B6D-B234-423A-89B3-656E48D64946}" srcOrd="0" destOrd="0" presId="urn:microsoft.com/office/officeart/2005/8/layout/chevron1"/>
    <dgm:cxn modelId="{6CAFEDC2-B4B9-4950-8BD4-0D0BC2482D5A}" type="presOf" srcId="{D165D224-2AEF-4845-A5B1-2999033486B4}" destId="{ACBFCB43-E834-40C9-ACB7-561EE4E1FFA8}" srcOrd="0" destOrd="0" presId="urn:microsoft.com/office/officeart/2005/8/layout/chevron1"/>
    <dgm:cxn modelId="{079E46CB-57BE-481C-BAC1-8A0AD70AE88D}" srcId="{8C78F96D-6A7F-4D73-8AF1-FB24F551A5D5}" destId="{BAB42578-C64D-470B-96A5-FDBC85725ADD}" srcOrd="7" destOrd="0" parTransId="{D6CBB958-F8EF-4F59-847A-79071C941A4F}" sibTransId="{4B642779-311B-4F3E-A5D7-71E92103655A}"/>
    <dgm:cxn modelId="{11EDECD8-2645-43A1-BE87-723C9D91F81A}" type="presOf" srcId="{6AA10E5C-8C5B-4993-BD6D-C6FB9437B796}" destId="{898CE772-52BF-4AE7-B18A-62AF076DE2CC}" srcOrd="0" destOrd="0" presId="urn:microsoft.com/office/officeart/2005/8/layout/chevron1"/>
    <dgm:cxn modelId="{30950961-480F-450F-8479-5D117CCE01B6}" type="presParOf" srcId="{6F74E40A-6C45-4574-888E-AC5D793CABAC}" destId="{ACBFCB43-E834-40C9-ACB7-561EE4E1FFA8}" srcOrd="0" destOrd="0" presId="urn:microsoft.com/office/officeart/2005/8/layout/chevron1"/>
    <dgm:cxn modelId="{BBEA9887-93EC-49C6-A021-35A41E9F76E7}" type="presParOf" srcId="{6F74E40A-6C45-4574-888E-AC5D793CABAC}" destId="{8D7BFF68-3132-4E5C-ACEA-8DDF8B5BCFCA}" srcOrd="1" destOrd="0" presId="urn:microsoft.com/office/officeart/2005/8/layout/chevron1"/>
    <dgm:cxn modelId="{6C8D308F-F330-4CC7-A087-AEC2EED40D82}" type="presParOf" srcId="{6F74E40A-6C45-4574-888E-AC5D793CABAC}" destId="{6916AEFE-B64F-4361-BF76-8889122BF9D9}" srcOrd="2" destOrd="0" presId="urn:microsoft.com/office/officeart/2005/8/layout/chevron1"/>
    <dgm:cxn modelId="{9B3C8989-DE6B-446C-A412-EDB1E9ABD4D9}" type="presParOf" srcId="{6F74E40A-6C45-4574-888E-AC5D793CABAC}" destId="{BA403652-C16D-4209-834A-F7994133E326}" srcOrd="3" destOrd="0" presId="urn:microsoft.com/office/officeart/2005/8/layout/chevron1"/>
    <dgm:cxn modelId="{53FCEBE3-B967-409C-B7CB-1F01F6F20A2E}" type="presParOf" srcId="{6F74E40A-6C45-4574-888E-AC5D793CABAC}" destId="{C3FF7105-70DB-463B-A675-7969AEE21DAA}" srcOrd="4" destOrd="0" presId="urn:microsoft.com/office/officeart/2005/8/layout/chevron1"/>
    <dgm:cxn modelId="{F589400F-59C9-4250-A17D-1722E4902BD4}" type="presParOf" srcId="{6F74E40A-6C45-4574-888E-AC5D793CABAC}" destId="{13891A60-6E72-458D-B6B0-681C9DD8CA5E}" srcOrd="5" destOrd="0" presId="urn:microsoft.com/office/officeart/2005/8/layout/chevron1"/>
    <dgm:cxn modelId="{9D6BDEC6-AF1C-4D97-9866-7C51AA0DE8DE}" type="presParOf" srcId="{6F74E40A-6C45-4574-888E-AC5D793CABAC}" destId="{076D4B6D-B234-423A-89B3-656E48D64946}" srcOrd="6" destOrd="0" presId="urn:microsoft.com/office/officeart/2005/8/layout/chevron1"/>
    <dgm:cxn modelId="{1FE210D7-53E1-4F43-82BC-D2D43D968C35}" type="presParOf" srcId="{6F74E40A-6C45-4574-888E-AC5D793CABAC}" destId="{3F80F115-C29C-4123-9BD5-A7E676FD4379}" srcOrd="7" destOrd="0" presId="urn:microsoft.com/office/officeart/2005/8/layout/chevron1"/>
    <dgm:cxn modelId="{9660F25C-FC61-4B73-B609-ABDBC49FD6DF}" type="presParOf" srcId="{6F74E40A-6C45-4574-888E-AC5D793CABAC}" destId="{18ED6E7F-AB9B-411C-8F32-D10DF4C8ACC1}" srcOrd="8" destOrd="0" presId="urn:microsoft.com/office/officeart/2005/8/layout/chevron1"/>
    <dgm:cxn modelId="{B4C3981F-5C3C-4054-8219-C386B16C1F4B}" type="presParOf" srcId="{6F74E40A-6C45-4574-888E-AC5D793CABAC}" destId="{86CB9597-305F-42D4-9D94-A214CC8A5014}" srcOrd="9" destOrd="0" presId="urn:microsoft.com/office/officeart/2005/8/layout/chevron1"/>
    <dgm:cxn modelId="{940F6985-2C18-409B-A9D3-F85FF3C8B3B3}" type="presParOf" srcId="{6F74E40A-6C45-4574-888E-AC5D793CABAC}" destId="{898CE772-52BF-4AE7-B18A-62AF076DE2CC}" srcOrd="10" destOrd="0" presId="urn:microsoft.com/office/officeart/2005/8/layout/chevron1"/>
    <dgm:cxn modelId="{C74D4AF1-38FA-4707-A9D6-500644998FF5}" type="presParOf" srcId="{6F74E40A-6C45-4574-888E-AC5D793CABAC}" destId="{3DF9B6E3-061F-4DF6-BCAE-8FA77F470BCC}" srcOrd="11" destOrd="0" presId="urn:microsoft.com/office/officeart/2005/8/layout/chevron1"/>
    <dgm:cxn modelId="{01633F4B-ED6E-4DB9-9403-3054228AD08C}" type="presParOf" srcId="{6F74E40A-6C45-4574-888E-AC5D793CABAC}" destId="{9F4DF436-2548-477C-8C9E-C56DD26CEA9F}" srcOrd="12" destOrd="0" presId="urn:microsoft.com/office/officeart/2005/8/layout/chevron1"/>
    <dgm:cxn modelId="{2CA784EE-C8FE-4297-A3E9-33318ABADA31}" type="presParOf" srcId="{6F74E40A-6C45-4574-888E-AC5D793CABAC}" destId="{C47C08DC-9998-47C6-8873-6B565E0708F2}" srcOrd="13" destOrd="0" presId="urn:microsoft.com/office/officeart/2005/8/layout/chevron1"/>
    <dgm:cxn modelId="{F0265D78-8E99-4EBF-A8B1-5FF6FC92B7EA}" type="presParOf" srcId="{6F74E40A-6C45-4574-888E-AC5D793CABAC}" destId="{386FA106-06A2-4D2E-BA0A-49119A5081CA}" srcOrd="14" destOrd="0" presId="urn:microsoft.com/office/officeart/2005/8/layout/chevron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FA582AA-7832-4942-A14E-8632D878B503}" type="doc">
      <dgm:prSet loTypeId="urn:microsoft.com/office/officeart/2011/layout/CircleProcess" loCatId="process" qsTypeId="urn:microsoft.com/office/officeart/2005/8/quickstyle/simple1" qsCatId="simple" csTypeId="urn:microsoft.com/office/officeart/2005/8/colors/colorful5" csCatId="colorful" phldr="1"/>
      <dgm:spPr/>
      <dgm:t>
        <a:bodyPr/>
        <a:lstStyle/>
        <a:p>
          <a:endParaRPr lang="en-IN"/>
        </a:p>
      </dgm:t>
    </dgm:pt>
    <dgm:pt modelId="{490CE233-7CF5-4854-A803-0255BFA08CB4}">
      <dgm:prSet phldrT="[Text]"/>
      <dgm:spPr/>
      <dgm:t>
        <a:bodyPr/>
        <a:lstStyle/>
        <a:p>
          <a:r>
            <a:rPr lang="en-IN" b="1" i="1"/>
            <a:t>Consultancy of changing management </a:t>
          </a:r>
          <a:endParaRPr lang="en-IN"/>
        </a:p>
      </dgm:t>
    </dgm:pt>
    <dgm:pt modelId="{BBE442BA-E177-4EF0-BD8D-11DF2DB747CD}" type="parTrans" cxnId="{7AE6F5DC-36C9-4625-ACEC-DD764F0FF0B0}">
      <dgm:prSet/>
      <dgm:spPr/>
      <dgm:t>
        <a:bodyPr/>
        <a:lstStyle/>
        <a:p>
          <a:endParaRPr lang="en-IN"/>
        </a:p>
      </dgm:t>
    </dgm:pt>
    <dgm:pt modelId="{A94F11F4-F9CF-4DA6-A0E3-EEDEA42A897F}" type="sibTrans" cxnId="{7AE6F5DC-36C9-4625-ACEC-DD764F0FF0B0}">
      <dgm:prSet/>
      <dgm:spPr/>
      <dgm:t>
        <a:bodyPr/>
        <a:lstStyle/>
        <a:p>
          <a:endParaRPr lang="en-IN"/>
        </a:p>
      </dgm:t>
    </dgm:pt>
    <dgm:pt modelId="{380BCCD1-10F5-414D-A61A-DD652CE6389D}">
      <dgm:prSet phldrT="[Text]"/>
      <dgm:spPr/>
      <dgm:t>
        <a:bodyPr/>
        <a:lstStyle/>
        <a:p>
          <a:r>
            <a:rPr lang="en-IN" b="1" i="1"/>
            <a:t>Consulting about technology </a:t>
          </a:r>
          <a:endParaRPr lang="en-IN"/>
        </a:p>
      </dgm:t>
    </dgm:pt>
    <dgm:pt modelId="{69D9DCF4-5140-4262-85B9-DABFAB6B4216}" type="parTrans" cxnId="{AC749E59-96E0-4AFA-A008-9F2581BA2C32}">
      <dgm:prSet/>
      <dgm:spPr/>
      <dgm:t>
        <a:bodyPr/>
        <a:lstStyle/>
        <a:p>
          <a:endParaRPr lang="en-IN"/>
        </a:p>
      </dgm:t>
    </dgm:pt>
    <dgm:pt modelId="{CDE8B573-D9BB-4590-BF4E-74F2D8E2E76A}" type="sibTrans" cxnId="{AC749E59-96E0-4AFA-A008-9F2581BA2C32}">
      <dgm:prSet/>
      <dgm:spPr/>
      <dgm:t>
        <a:bodyPr/>
        <a:lstStyle/>
        <a:p>
          <a:endParaRPr lang="en-IN"/>
        </a:p>
      </dgm:t>
    </dgm:pt>
    <dgm:pt modelId="{7ABA7FB2-B27F-436A-80FE-C84FE3C9015F}">
      <dgm:prSet phldrT="[Text]"/>
      <dgm:spPr/>
      <dgm:t>
        <a:bodyPr/>
        <a:lstStyle/>
        <a:p>
          <a:r>
            <a:rPr lang="en-IN" b="1" i="1"/>
            <a:t>Regulatory consultant </a:t>
          </a:r>
          <a:endParaRPr lang="en-IN"/>
        </a:p>
      </dgm:t>
    </dgm:pt>
    <dgm:pt modelId="{F175DAA2-CAF1-4C23-85BF-A902629CA5B0}" type="parTrans" cxnId="{B08E840F-2B80-4E21-87E8-DEC047FCD66A}">
      <dgm:prSet/>
      <dgm:spPr/>
      <dgm:t>
        <a:bodyPr/>
        <a:lstStyle/>
        <a:p>
          <a:endParaRPr lang="en-IN"/>
        </a:p>
      </dgm:t>
    </dgm:pt>
    <dgm:pt modelId="{3213A2EF-EFD0-49CF-A843-6CA1221FF0BA}" type="sibTrans" cxnId="{B08E840F-2B80-4E21-87E8-DEC047FCD66A}">
      <dgm:prSet/>
      <dgm:spPr/>
      <dgm:t>
        <a:bodyPr/>
        <a:lstStyle/>
        <a:p>
          <a:endParaRPr lang="en-IN"/>
        </a:p>
      </dgm:t>
    </dgm:pt>
    <dgm:pt modelId="{090E9C4E-197A-47C4-AD1F-2C4453EB033E}">
      <dgm:prSet phldrT="[Text]"/>
      <dgm:spPr/>
      <dgm:t>
        <a:bodyPr/>
        <a:lstStyle/>
        <a:p>
          <a:r>
            <a:rPr lang="en-IN" b="1" i="1"/>
            <a:t>Improvement in the consultancy process </a:t>
          </a:r>
          <a:endParaRPr lang="en-IN"/>
        </a:p>
      </dgm:t>
    </dgm:pt>
    <dgm:pt modelId="{53CBC6CF-9FEA-40F0-A6FA-791A4037DCA7}" type="parTrans" cxnId="{358FBE27-29E1-468B-BFF0-31B0F0BDE8FE}">
      <dgm:prSet/>
      <dgm:spPr/>
      <dgm:t>
        <a:bodyPr/>
        <a:lstStyle/>
        <a:p>
          <a:endParaRPr lang="en-IN"/>
        </a:p>
      </dgm:t>
    </dgm:pt>
    <dgm:pt modelId="{A0C17EDF-DA73-4FE9-BB8D-EF299A5C18BF}" type="sibTrans" cxnId="{358FBE27-29E1-468B-BFF0-31B0F0BDE8FE}">
      <dgm:prSet/>
      <dgm:spPr/>
      <dgm:t>
        <a:bodyPr/>
        <a:lstStyle/>
        <a:p>
          <a:endParaRPr lang="en-IN"/>
        </a:p>
      </dgm:t>
    </dgm:pt>
    <dgm:pt modelId="{4D776024-CAA7-43A4-8469-3666E1F6CC62}">
      <dgm:prSet phldrT="[Text]"/>
      <dgm:spPr/>
      <dgm:t>
        <a:bodyPr/>
        <a:lstStyle/>
        <a:p>
          <a:r>
            <a:rPr lang="en-IN" b="1" i="1"/>
            <a:t>Improvement in customer experience </a:t>
          </a:r>
          <a:endParaRPr lang="en-IN"/>
        </a:p>
      </dgm:t>
    </dgm:pt>
    <dgm:pt modelId="{0E62B14E-E156-4540-A86D-4C713431AB56}" type="parTrans" cxnId="{20029023-7105-410C-9505-BB2518B69ACA}">
      <dgm:prSet/>
      <dgm:spPr/>
      <dgm:t>
        <a:bodyPr/>
        <a:lstStyle/>
        <a:p>
          <a:endParaRPr lang="en-IN"/>
        </a:p>
      </dgm:t>
    </dgm:pt>
    <dgm:pt modelId="{B59476C0-C802-4111-B255-4062AF72712B}" type="sibTrans" cxnId="{20029023-7105-410C-9505-BB2518B69ACA}">
      <dgm:prSet/>
      <dgm:spPr/>
      <dgm:t>
        <a:bodyPr/>
        <a:lstStyle/>
        <a:p>
          <a:endParaRPr lang="en-IN"/>
        </a:p>
      </dgm:t>
    </dgm:pt>
    <dgm:pt modelId="{D28984E1-55C0-4F92-B8BE-935C60FAB750}">
      <dgm:prSet phldrT="[Text]"/>
      <dgm:spPr/>
      <dgm:t>
        <a:bodyPr/>
        <a:lstStyle/>
        <a:p>
          <a:r>
            <a:rPr lang="en-IN" b="1" i="1"/>
            <a:t>Development consultants </a:t>
          </a:r>
          <a:endParaRPr lang="en-IN"/>
        </a:p>
      </dgm:t>
    </dgm:pt>
    <dgm:pt modelId="{04391376-EDFB-4E85-A641-6AF78AE9363F}" type="parTrans" cxnId="{135D2464-3754-4FDB-9F12-BAD57C50CAAE}">
      <dgm:prSet/>
      <dgm:spPr/>
      <dgm:t>
        <a:bodyPr/>
        <a:lstStyle/>
        <a:p>
          <a:endParaRPr lang="en-IN"/>
        </a:p>
      </dgm:t>
    </dgm:pt>
    <dgm:pt modelId="{911B7EFD-9433-4B77-B1D8-BCEA18CB4221}" type="sibTrans" cxnId="{135D2464-3754-4FDB-9F12-BAD57C50CAAE}">
      <dgm:prSet/>
      <dgm:spPr/>
      <dgm:t>
        <a:bodyPr/>
        <a:lstStyle/>
        <a:p>
          <a:endParaRPr lang="en-IN"/>
        </a:p>
      </dgm:t>
    </dgm:pt>
    <dgm:pt modelId="{CD2FD196-5E23-4DE3-91D2-1AA3C7DA4354}">
      <dgm:prSet phldrT="[Text]"/>
      <dgm:spPr/>
      <dgm:t>
        <a:bodyPr/>
        <a:lstStyle/>
        <a:p>
          <a:r>
            <a:rPr lang="en-IN" b="1" i="1"/>
            <a:t>Marketing consultants </a:t>
          </a:r>
          <a:endParaRPr lang="en-IN"/>
        </a:p>
      </dgm:t>
    </dgm:pt>
    <dgm:pt modelId="{490C9110-728C-4EE6-908A-956ACC82A1E4}" type="parTrans" cxnId="{8C5DA24D-70D5-4645-8813-2CF7DE7E770F}">
      <dgm:prSet/>
      <dgm:spPr/>
      <dgm:t>
        <a:bodyPr/>
        <a:lstStyle/>
        <a:p>
          <a:endParaRPr lang="en-IN"/>
        </a:p>
      </dgm:t>
    </dgm:pt>
    <dgm:pt modelId="{20AD7AEB-9CC7-4B68-9CD4-B56CE2EE58A7}" type="sibTrans" cxnId="{8C5DA24D-70D5-4645-8813-2CF7DE7E770F}">
      <dgm:prSet/>
      <dgm:spPr/>
      <dgm:t>
        <a:bodyPr/>
        <a:lstStyle/>
        <a:p>
          <a:endParaRPr lang="en-IN"/>
        </a:p>
      </dgm:t>
    </dgm:pt>
    <dgm:pt modelId="{BF688AE5-82AA-4291-908A-4777F02E8D06}" type="pres">
      <dgm:prSet presAssocID="{EFA582AA-7832-4942-A14E-8632D878B503}" presName="Name0" presStyleCnt="0">
        <dgm:presLayoutVars>
          <dgm:chMax val="11"/>
          <dgm:chPref val="11"/>
          <dgm:dir/>
          <dgm:resizeHandles/>
        </dgm:presLayoutVars>
      </dgm:prSet>
      <dgm:spPr/>
    </dgm:pt>
    <dgm:pt modelId="{26ECE9E1-D628-4C75-8CB6-B0513FC46639}" type="pres">
      <dgm:prSet presAssocID="{CD2FD196-5E23-4DE3-91D2-1AA3C7DA4354}" presName="Accent7" presStyleCnt="0"/>
      <dgm:spPr/>
    </dgm:pt>
    <dgm:pt modelId="{2C09C77D-20EC-46B4-AD29-91F0BDCD00D9}" type="pres">
      <dgm:prSet presAssocID="{CD2FD196-5E23-4DE3-91D2-1AA3C7DA4354}" presName="Accent" presStyleLbl="node1" presStyleIdx="0" presStyleCnt="7"/>
      <dgm:spPr/>
    </dgm:pt>
    <dgm:pt modelId="{EA9302EB-BC45-4CC7-8E82-444E3B5E2947}" type="pres">
      <dgm:prSet presAssocID="{CD2FD196-5E23-4DE3-91D2-1AA3C7DA4354}" presName="ParentBackground7" presStyleCnt="0"/>
      <dgm:spPr/>
    </dgm:pt>
    <dgm:pt modelId="{B4901BCD-7FAD-4083-A878-4526F0A19425}" type="pres">
      <dgm:prSet presAssocID="{CD2FD196-5E23-4DE3-91D2-1AA3C7DA4354}" presName="ParentBackground" presStyleLbl="fgAcc1" presStyleIdx="0" presStyleCnt="7"/>
      <dgm:spPr/>
    </dgm:pt>
    <dgm:pt modelId="{8D2BB83B-3572-44AA-90C2-A5CE3A5AF7C5}" type="pres">
      <dgm:prSet presAssocID="{CD2FD196-5E23-4DE3-91D2-1AA3C7DA4354}" presName="Parent7" presStyleLbl="revTx" presStyleIdx="0" presStyleCnt="0">
        <dgm:presLayoutVars>
          <dgm:chMax val="1"/>
          <dgm:chPref val="1"/>
          <dgm:bulletEnabled val="1"/>
        </dgm:presLayoutVars>
      </dgm:prSet>
      <dgm:spPr/>
    </dgm:pt>
    <dgm:pt modelId="{44FCF68F-6290-4257-AC90-094117C98CFC}" type="pres">
      <dgm:prSet presAssocID="{D28984E1-55C0-4F92-B8BE-935C60FAB750}" presName="Accent6" presStyleCnt="0"/>
      <dgm:spPr/>
    </dgm:pt>
    <dgm:pt modelId="{4694B300-D03C-4C9D-B602-67D9EE99D76E}" type="pres">
      <dgm:prSet presAssocID="{D28984E1-55C0-4F92-B8BE-935C60FAB750}" presName="Accent" presStyleLbl="node1" presStyleIdx="1" presStyleCnt="7"/>
      <dgm:spPr/>
    </dgm:pt>
    <dgm:pt modelId="{3B84F2BD-F495-4202-994C-F654414F78A3}" type="pres">
      <dgm:prSet presAssocID="{D28984E1-55C0-4F92-B8BE-935C60FAB750}" presName="ParentBackground6" presStyleCnt="0"/>
      <dgm:spPr/>
    </dgm:pt>
    <dgm:pt modelId="{D97BB5E9-A08C-40D4-8164-AB19AED80683}" type="pres">
      <dgm:prSet presAssocID="{D28984E1-55C0-4F92-B8BE-935C60FAB750}" presName="ParentBackground" presStyleLbl="fgAcc1" presStyleIdx="1" presStyleCnt="7"/>
      <dgm:spPr/>
    </dgm:pt>
    <dgm:pt modelId="{5997DE72-2027-4878-9A7E-72D737F9EF8E}" type="pres">
      <dgm:prSet presAssocID="{D28984E1-55C0-4F92-B8BE-935C60FAB750}" presName="Parent6" presStyleLbl="revTx" presStyleIdx="0" presStyleCnt="0">
        <dgm:presLayoutVars>
          <dgm:chMax val="1"/>
          <dgm:chPref val="1"/>
          <dgm:bulletEnabled val="1"/>
        </dgm:presLayoutVars>
      </dgm:prSet>
      <dgm:spPr/>
    </dgm:pt>
    <dgm:pt modelId="{397B96A0-7F06-4C62-8BE9-559001A6D4F6}" type="pres">
      <dgm:prSet presAssocID="{4D776024-CAA7-43A4-8469-3666E1F6CC62}" presName="Accent5" presStyleCnt="0"/>
      <dgm:spPr/>
    </dgm:pt>
    <dgm:pt modelId="{F0B0F815-76D9-44A6-BEFE-F5244A2DC7F7}" type="pres">
      <dgm:prSet presAssocID="{4D776024-CAA7-43A4-8469-3666E1F6CC62}" presName="Accent" presStyleLbl="node1" presStyleIdx="2" presStyleCnt="7"/>
      <dgm:spPr/>
    </dgm:pt>
    <dgm:pt modelId="{AC224A6F-CBD4-465D-ABC4-4D682EDC4EF5}" type="pres">
      <dgm:prSet presAssocID="{4D776024-CAA7-43A4-8469-3666E1F6CC62}" presName="ParentBackground5" presStyleCnt="0"/>
      <dgm:spPr/>
    </dgm:pt>
    <dgm:pt modelId="{08BA1D42-7EDD-4901-9431-EF6684AE4424}" type="pres">
      <dgm:prSet presAssocID="{4D776024-CAA7-43A4-8469-3666E1F6CC62}" presName="ParentBackground" presStyleLbl="fgAcc1" presStyleIdx="2" presStyleCnt="7"/>
      <dgm:spPr/>
    </dgm:pt>
    <dgm:pt modelId="{DE3D924A-4D62-4BD1-898A-FC5F70AFC575}" type="pres">
      <dgm:prSet presAssocID="{4D776024-CAA7-43A4-8469-3666E1F6CC62}" presName="Parent5" presStyleLbl="revTx" presStyleIdx="0" presStyleCnt="0">
        <dgm:presLayoutVars>
          <dgm:chMax val="1"/>
          <dgm:chPref val="1"/>
          <dgm:bulletEnabled val="1"/>
        </dgm:presLayoutVars>
      </dgm:prSet>
      <dgm:spPr/>
    </dgm:pt>
    <dgm:pt modelId="{DE03ECC0-5013-4B10-B0DA-B303783A0E21}" type="pres">
      <dgm:prSet presAssocID="{7ABA7FB2-B27F-436A-80FE-C84FE3C9015F}" presName="Accent4" presStyleCnt="0"/>
      <dgm:spPr/>
    </dgm:pt>
    <dgm:pt modelId="{35EF31D9-210F-4300-8579-EE708CC2536C}" type="pres">
      <dgm:prSet presAssocID="{7ABA7FB2-B27F-436A-80FE-C84FE3C9015F}" presName="Accent" presStyleLbl="node1" presStyleIdx="3" presStyleCnt="7"/>
      <dgm:spPr/>
    </dgm:pt>
    <dgm:pt modelId="{562224A5-75D5-4CBF-93F4-19B4177C7D94}" type="pres">
      <dgm:prSet presAssocID="{7ABA7FB2-B27F-436A-80FE-C84FE3C9015F}" presName="ParentBackground4" presStyleCnt="0"/>
      <dgm:spPr/>
    </dgm:pt>
    <dgm:pt modelId="{47896525-A769-4E57-902D-162A709DF966}" type="pres">
      <dgm:prSet presAssocID="{7ABA7FB2-B27F-436A-80FE-C84FE3C9015F}" presName="ParentBackground" presStyleLbl="fgAcc1" presStyleIdx="3" presStyleCnt="7"/>
      <dgm:spPr/>
    </dgm:pt>
    <dgm:pt modelId="{C9FD30E6-83FA-4080-8EAF-0E80D2B9D637}" type="pres">
      <dgm:prSet presAssocID="{7ABA7FB2-B27F-436A-80FE-C84FE3C9015F}" presName="Parent4" presStyleLbl="revTx" presStyleIdx="0" presStyleCnt="0">
        <dgm:presLayoutVars>
          <dgm:chMax val="1"/>
          <dgm:chPref val="1"/>
          <dgm:bulletEnabled val="1"/>
        </dgm:presLayoutVars>
      </dgm:prSet>
      <dgm:spPr/>
    </dgm:pt>
    <dgm:pt modelId="{33C1FE9D-578A-4B75-8845-849055FB121D}" type="pres">
      <dgm:prSet presAssocID="{380BCCD1-10F5-414D-A61A-DD652CE6389D}" presName="Accent3" presStyleCnt="0"/>
      <dgm:spPr/>
    </dgm:pt>
    <dgm:pt modelId="{E336D1A7-D58B-4DE4-B4FA-C2855F9FE043}" type="pres">
      <dgm:prSet presAssocID="{380BCCD1-10F5-414D-A61A-DD652CE6389D}" presName="Accent" presStyleLbl="node1" presStyleIdx="4" presStyleCnt="7"/>
      <dgm:spPr/>
    </dgm:pt>
    <dgm:pt modelId="{1642F0F6-626B-444D-AEF7-FE2E9DB44CB2}" type="pres">
      <dgm:prSet presAssocID="{380BCCD1-10F5-414D-A61A-DD652CE6389D}" presName="ParentBackground3" presStyleCnt="0"/>
      <dgm:spPr/>
    </dgm:pt>
    <dgm:pt modelId="{4104ABFB-6390-4F43-9203-713717DFC612}" type="pres">
      <dgm:prSet presAssocID="{380BCCD1-10F5-414D-A61A-DD652CE6389D}" presName="ParentBackground" presStyleLbl="fgAcc1" presStyleIdx="4" presStyleCnt="7"/>
      <dgm:spPr/>
    </dgm:pt>
    <dgm:pt modelId="{5CA5DC15-48BA-48F9-A925-4C191E5238B0}" type="pres">
      <dgm:prSet presAssocID="{380BCCD1-10F5-414D-A61A-DD652CE6389D}" presName="Parent3" presStyleLbl="revTx" presStyleIdx="0" presStyleCnt="0">
        <dgm:presLayoutVars>
          <dgm:chMax val="1"/>
          <dgm:chPref val="1"/>
          <dgm:bulletEnabled val="1"/>
        </dgm:presLayoutVars>
      </dgm:prSet>
      <dgm:spPr/>
    </dgm:pt>
    <dgm:pt modelId="{C50CD3A9-3056-41EB-AB07-CB0B1B04BFB6}" type="pres">
      <dgm:prSet presAssocID="{090E9C4E-197A-47C4-AD1F-2C4453EB033E}" presName="Accent2" presStyleCnt="0"/>
      <dgm:spPr/>
    </dgm:pt>
    <dgm:pt modelId="{7D651821-C951-45DE-BEB6-9BAA4DCD86F5}" type="pres">
      <dgm:prSet presAssocID="{090E9C4E-197A-47C4-AD1F-2C4453EB033E}" presName="Accent" presStyleLbl="node1" presStyleIdx="5" presStyleCnt="7"/>
      <dgm:spPr/>
    </dgm:pt>
    <dgm:pt modelId="{A1C7C6E0-C752-40A6-A757-7B769E97A12F}" type="pres">
      <dgm:prSet presAssocID="{090E9C4E-197A-47C4-AD1F-2C4453EB033E}" presName="ParentBackground2" presStyleCnt="0"/>
      <dgm:spPr/>
    </dgm:pt>
    <dgm:pt modelId="{40880DC0-0C69-4A28-B3D6-52A1A1386910}" type="pres">
      <dgm:prSet presAssocID="{090E9C4E-197A-47C4-AD1F-2C4453EB033E}" presName="ParentBackground" presStyleLbl="fgAcc1" presStyleIdx="5" presStyleCnt="7"/>
      <dgm:spPr/>
    </dgm:pt>
    <dgm:pt modelId="{F03E4813-2BED-4951-94B7-5D485EEE0EAE}" type="pres">
      <dgm:prSet presAssocID="{090E9C4E-197A-47C4-AD1F-2C4453EB033E}" presName="Parent2" presStyleLbl="revTx" presStyleIdx="0" presStyleCnt="0">
        <dgm:presLayoutVars>
          <dgm:chMax val="1"/>
          <dgm:chPref val="1"/>
          <dgm:bulletEnabled val="1"/>
        </dgm:presLayoutVars>
      </dgm:prSet>
      <dgm:spPr/>
    </dgm:pt>
    <dgm:pt modelId="{F45E9E5C-55A3-4649-BB11-FB00D62376A3}" type="pres">
      <dgm:prSet presAssocID="{490CE233-7CF5-4854-A803-0255BFA08CB4}" presName="Accent1" presStyleCnt="0"/>
      <dgm:spPr/>
    </dgm:pt>
    <dgm:pt modelId="{E7709165-284D-4FBA-929A-0B565A9CC682}" type="pres">
      <dgm:prSet presAssocID="{490CE233-7CF5-4854-A803-0255BFA08CB4}" presName="Accent" presStyleLbl="node1" presStyleIdx="6" presStyleCnt="7"/>
      <dgm:spPr/>
    </dgm:pt>
    <dgm:pt modelId="{C9569912-AC8D-46B7-8B7C-6CC4E40EACF3}" type="pres">
      <dgm:prSet presAssocID="{490CE233-7CF5-4854-A803-0255BFA08CB4}" presName="ParentBackground1" presStyleCnt="0"/>
      <dgm:spPr/>
    </dgm:pt>
    <dgm:pt modelId="{95F417D7-4C96-4597-8A96-9204A2B4C3F1}" type="pres">
      <dgm:prSet presAssocID="{490CE233-7CF5-4854-A803-0255BFA08CB4}" presName="ParentBackground" presStyleLbl="fgAcc1" presStyleIdx="6" presStyleCnt="7"/>
      <dgm:spPr/>
    </dgm:pt>
    <dgm:pt modelId="{2D2429C7-E15A-4F5A-A804-10929B121382}" type="pres">
      <dgm:prSet presAssocID="{490CE233-7CF5-4854-A803-0255BFA08CB4}" presName="Parent1" presStyleLbl="revTx" presStyleIdx="0" presStyleCnt="0">
        <dgm:presLayoutVars>
          <dgm:chMax val="1"/>
          <dgm:chPref val="1"/>
          <dgm:bulletEnabled val="1"/>
        </dgm:presLayoutVars>
      </dgm:prSet>
      <dgm:spPr/>
    </dgm:pt>
  </dgm:ptLst>
  <dgm:cxnLst>
    <dgm:cxn modelId="{75B16900-A798-45BF-B18D-3057C6F5F5F5}" type="presOf" srcId="{090E9C4E-197A-47C4-AD1F-2C4453EB033E}" destId="{F03E4813-2BED-4951-94B7-5D485EEE0EAE}" srcOrd="1" destOrd="0" presId="urn:microsoft.com/office/officeart/2011/layout/CircleProcess"/>
    <dgm:cxn modelId="{B08E840F-2B80-4E21-87E8-DEC047FCD66A}" srcId="{EFA582AA-7832-4942-A14E-8632D878B503}" destId="{7ABA7FB2-B27F-436A-80FE-C84FE3C9015F}" srcOrd="3" destOrd="0" parTransId="{F175DAA2-CAF1-4C23-85BF-A902629CA5B0}" sibTransId="{3213A2EF-EFD0-49CF-A843-6CA1221FF0BA}"/>
    <dgm:cxn modelId="{20029023-7105-410C-9505-BB2518B69ACA}" srcId="{EFA582AA-7832-4942-A14E-8632D878B503}" destId="{4D776024-CAA7-43A4-8469-3666E1F6CC62}" srcOrd="4" destOrd="0" parTransId="{0E62B14E-E156-4540-A86D-4C713431AB56}" sibTransId="{B59476C0-C802-4111-B255-4062AF72712B}"/>
    <dgm:cxn modelId="{358FBE27-29E1-468B-BFF0-31B0F0BDE8FE}" srcId="{EFA582AA-7832-4942-A14E-8632D878B503}" destId="{090E9C4E-197A-47C4-AD1F-2C4453EB033E}" srcOrd="1" destOrd="0" parTransId="{53CBC6CF-9FEA-40F0-A6FA-791A4037DCA7}" sibTransId="{A0C17EDF-DA73-4FE9-BB8D-EF299A5C18BF}"/>
    <dgm:cxn modelId="{AD27F42B-1C9A-4E99-81A5-197DAD94B422}" type="presOf" srcId="{380BCCD1-10F5-414D-A61A-DD652CE6389D}" destId="{5CA5DC15-48BA-48F9-A925-4C191E5238B0}" srcOrd="1" destOrd="0" presId="urn:microsoft.com/office/officeart/2011/layout/CircleProcess"/>
    <dgm:cxn modelId="{58798339-0673-4785-8A43-5713D7D5B962}" type="presOf" srcId="{D28984E1-55C0-4F92-B8BE-935C60FAB750}" destId="{5997DE72-2027-4878-9A7E-72D737F9EF8E}" srcOrd="1" destOrd="0" presId="urn:microsoft.com/office/officeart/2011/layout/CircleProcess"/>
    <dgm:cxn modelId="{461A073B-3AE0-46A7-861A-635509D3E343}" type="presOf" srcId="{CD2FD196-5E23-4DE3-91D2-1AA3C7DA4354}" destId="{B4901BCD-7FAD-4083-A878-4526F0A19425}" srcOrd="0" destOrd="0" presId="urn:microsoft.com/office/officeart/2011/layout/CircleProcess"/>
    <dgm:cxn modelId="{135D2464-3754-4FDB-9F12-BAD57C50CAAE}" srcId="{EFA582AA-7832-4942-A14E-8632D878B503}" destId="{D28984E1-55C0-4F92-B8BE-935C60FAB750}" srcOrd="5" destOrd="0" parTransId="{04391376-EDFB-4E85-A641-6AF78AE9363F}" sibTransId="{911B7EFD-9433-4B77-B1D8-BCEA18CB4221}"/>
    <dgm:cxn modelId="{806A7468-DA14-4759-B338-8CC9B1D99D62}" type="presOf" srcId="{D28984E1-55C0-4F92-B8BE-935C60FAB750}" destId="{D97BB5E9-A08C-40D4-8164-AB19AED80683}" srcOrd="0" destOrd="0" presId="urn:microsoft.com/office/officeart/2011/layout/CircleProcess"/>
    <dgm:cxn modelId="{8C5DA24D-70D5-4645-8813-2CF7DE7E770F}" srcId="{EFA582AA-7832-4942-A14E-8632D878B503}" destId="{CD2FD196-5E23-4DE3-91D2-1AA3C7DA4354}" srcOrd="6" destOrd="0" parTransId="{490C9110-728C-4EE6-908A-956ACC82A1E4}" sibTransId="{20AD7AEB-9CC7-4B68-9CD4-B56CE2EE58A7}"/>
    <dgm:cxn modelId="{782E8752-CB4A-4E54-BB44-C282D99E23EE}" type="presOf" srcId="{380BCCD1-10F5-414D-A61A-DD652CE6389D}" destId="{4104ABFB-6390-4F43-9203-713717DFC612}" srcOrd="0" destOrd="0" presId="urn:microsoft.com/office/officeart/2011/layout/CircleProcess"/>
    <dgm:cxn modelId="{AC749E59-96E0-4AFA-A008-9F2581BA2C32}" srcId="{EFA582AA-7832-4942-A14E-8632D878B503}" destId="{380BCCD1-10F5-414D-A61A-DD652CE6389D}" srcOrd="2" destOrd="0" parTransId="{69D9DCF4-5140-4262-85B9-DABFAB6B4216}" sibTransId="{CDE8B573-D9BB-4590-BF4E-74F2D8E2E76A}"/>
    <dgm:cxn modelId="{D403FD79-ADB9-48D3-A1D5-F8E34AFC5F0D}" type="presOf" srcId="{7ABA7FB2-B27F-436A-80FE-C84FE3C9015F}" destId="{C9FD30E6-83FA-4080-8EAF-0E80D2B9D637}" srcOrd="1" destOrd="0" presId="urn:microsoft.com/office/officeart/2011/layout/CircleProcess"/>
    <dgm:cxn modelId="{8831288C-762D-4A03-818C-CA113D15FEA8}" type="presOf" srcId="{7ABA7FB2-B27F-436A-80FE-C84FE3C9015F}" destId="{47896525-A769-4E57-902D-162A709DF966}" srcOrd="0" destOrd="0" presId="urn:microsoft.com/office/officeart/2011/layout/CircleProcess"/>
    <dgm:cxn modelId="{F483709F-FDF9-4890-8DDD-9C58597D94AF}" type="presOf" srcId="{090E9C4E-197A-47C4-AD1F-2C4453EB033E}" destId="{40880DC0-0C69-4A28-B3D6-52A1A1386910}" srcOrd="0" destOrd="0" presId="urn:microsoft.com/office/officeart/2011/layout/CircleProcess"/>
    <dgm:cxn modelId="{FD70A5A2-74F2-4BB2-857C-71A51133669D}" type="presOf" srcId="{4D776024-CAA7-43A4-8469-3666E1F6CC62}" destId="{08BA1D42-7EDD-4901-9431-EF6684AE4424}" srcOrd="0" destOrd="0" presId="urn:microsoft.com/office/officeart/2011/layout/CircleProcess"/>
    <dgm:cxn modelId="{6BB548AC-C4A2-463B-85CB-1F41DC012B5C}" type="presOf" srcId="{CD2FD196-5E23-4DE3-91D2-1AA3C7DA4354}" destId="{8D2BB83B-3572-44AA-90C2-A5CE3A5AF7C5}" srcOrd="1" destOrd="0" presId="urn:microsoft.com/office/officeart/2011/layout/CircleProcess"/>
    <dgm:cxn modelId="{FF7CF2B2-8DFE-441F-A62C-75BBDF4304B8}" type="presOf" srcId="{490CE233-7CF5-4854-A803-0255BFA08CB4}" destId="{95F417D7-4C96-4597-8A96-9204A2B4C3F1}" srcOrd="0" destOrd="0" presId="urn:microsoft.com/office/officeart/2011/layout/CircleProcess"/>
    <dgm:cxn modelId="{7AE6F5DC-36C9-4625-ACEC-DD764F0FF0B0}" srcId="{EFA582AA-7832-4942-A14E-8632D878B503}" destId="{490CE233-7CF5-4854-A803-0255BFA08CB4}" srcOrd="0" destOrd="0" parTransId="{BBE442BA-E177-4EF0-BD8D-11DF2DB747CD}" sibTransId="{A94F11F4-F9CF-4DA6-A0E3-EEDEA42A897F}"/>
    <dgm:cxn modelId="{262D87F1-2330-4E90-AA06-DAA62AF2A64F}" type="presOf" srcId="{EFA582AA-7832-4942-A14E-8632D878B503}" destId="{BF688AE5-82AA-4291-908A-4777F02E8D06}" srcOrd="0" destOrd="0" presId="urn:microsoft.com/office/officeart/2011/layout/CircleProcess"/>
    <dgm:cxn modelId="{7BDE44F5-BAB2-4220-8D9A-0AE71A40879E}" type="presOf" srcId="{490CE233-7CF5-4854-A803-0255BFA08CB4}" destId="{2D2429C7-E15A-4F5A-A804-10929B121382}" srcOrd="1" destOrd="0" presId="urn:microsoft.com/office/officeart/2011/layout/CircleProcess"/>
    <dgm:cxn modelId="{63A05EFD-9E0C-452C-93C4-F0AAC0795F6E}" type="presOf" srcId="{4D776024-CAA7-43A4-8469-3666E1F6CC62}" destId="{DE3D924A-4D62-4BD1-898A-FC5F70AFC575}" srcOrd="1" destOrd="0" presId="urn:microsoft.com/office/officeart/2011/layout/CircleProcess"/>
    <dgm:cxn modelId="{786A0AF9-FFD1-4727-B49F-E52198D29691}" type="presParOf" srcId="{BF688AE5-82AA-4291-908A-4777F02E8D06}" destId="{26ECE9E1-D628-4C75-8CB6-B0513FC46639}" srcOrd="0" destOrd="0" presId="urn:microsoft.com/office/officeart/2011/layout/CircleProcess"/>
    <dgm:cxn modelId="{4B62F4D0-16A2-44D8-957D-39CA16EC7685}" type="presParOf" srcId="{26ECE9E1-D628-4C75-8CB6-B0513FC46639}" destId="{2C09C77D-20EC-46B4-AD29-91F0BDCD00D9}" srcOrd="0" destOrd="0" presId="urn:microsoft.com/office/officeart/2011/layout/CircleProcess"/>
    <dgm:cxn modelId="{0A1529B5-5596-4A73-B9FC-0582DD275BC3}" type="presParOf" srcId="{BF688AE5-82AA-4291-908A-4777F02E8D06}" destId="{EA9302EB-BC45-4CC7-8E82-444E3B5E2947}" srcOrd="1" destOrd="0" presId="urn:microsoft.com/office/officeart/2011/layout/CircleProcess"/>
    <dgm:cxn modelId="{82E2D014-FF12-441B-AD15-3A793E8C40D9}" type="presParOf" srcId="{EA9302EB-BC45-4CC7-8E82-444E3B5E2947}" destId="{B4901BCD-7FAD-4083-A878-4526F0A19425}" srcOrd="0" destOrd="0" presId="urn:microsoft.com/office/officeart/2011/layout/CircleProcess"/>
    <dgm:cxn modelId="{EB63EFDA-8173-42DB-A975-A2EF26F569B8}" type="presParOf" srcId="{BF688AE5-82AA-4291-908A-4777F02E8D06}" destId="{8D2BB83B-3572-44AA-90C2-A5CE3A5AF7C5}" srcOrd="2" destOrd="0" presId="urn:microsoft.com/office/officeart/2011/layout/CircleProcess"/>
    <dgm:cxn modelId="{BB377124-410C-4456-A3B7-E1BE657AE84A}" type="presParOf" srcId="{BF688AE5-82AA-4291-908A-4777F02E8D06}" destId="{44FCF68F-6290-4257-AC90-094117C98CFC}" srcOrd="3" destOrd="0" presId="urn:microsoft.com/office/officeart/2011/layout/CircleProcess"/>
    <dgm:cxn modelId="{3C8B13C4-A92A-46F3-838E-9574027AF9BD}" type="presParOf" srcId="{44FCF68F-6290-4257-AC90-094117C98CFC}" destId="{4694B300-D03C-4C9D-B602-67D9EE99D76E}" srcOrd="0" destOrd="0" presId="urn:microsoft.com/office/officeart/2011/layout/CircleProcess"/>
    <dgm:cxn modelId="{390FF2E2-DF81-4451-8F80-E1060AEE87E5}" type="presParOf" srcId="{BF688AE5-82AA-4291-908A-4777F02E8D06}" destId="{3B84F2BD-F495-4202-994C-F654414F78A3}" srcOrd="4" destOrd="0" presId="urn:microsoft.com/office/officeart/2011/layout/CircleProcess"/>
    <dgm:cxn modelId="{955D41B4-FC5E-4613-ABE6-0441F4309C65}" type="presParOf" srcId="{3B84F2BD-F495-4202-994C-F654414F78A3}" destId="{D97BB5E9-A08C-40D4-8164-AB19AED80683}" srcOrd="0" destOrd="0" presId="urn:microsoft.com/office/officeart/2011/layout/CircleProcess"/>
    <dgm:cxn modelId="{48160BE3-8383-4F70-88DA-50E3DC0170CA}" type="presParOf" srcId="{BF688AE5-82AA-4291-908A-4777F02E8D06}" destId="{5997DE72-2027-4878-9A7E-72D737F9EF8E}" srcOrd="5" destOrd="0" presId="urn:microsoft.com/office/officeart/2011/layout/CircleProcess"/>
    <dgm:cxn modelId="{93DE535F-1CBD-4F06-9BB3-1D74EC6A545F}" type="presParOf" srcId="{BF688AE5-82AA-4291-908A-4777F02E8D06}" destId="{397B96A0-7F06-4C62-8BE9-559001A6D4F6}" srcOrd="6" destOrd="0" presId="urn:microsoft.com/office/officeart/2011/layout/CircleProcess"/>
    <dgm:cxn modelId="{B2BC3B5E-F9F6-4914-87EC-092C82904FB5}" type="presParOf" srcId="{397B96A0-7F06-4C62-8BE9-559001A6D4F6}" destId="{F0B0F815-76D9-44A6-BEFE-F5244A2DC7F7}" srcOrd="0" destOrd="0" presId="urn:microsoft.com/office/officeart/2011/layout/CircleProcess"/>
    <dgm:cxn modelId="{6C487681-13E9-49A0-B139-A569B3DC4958}" type="presParOf" srcId="{BF688AE5-82AA-4291-908A-4777F02E8D06}" destId="{AC224A6F-CBD4-465D-ABC4-4D682EDC4EF5}" srcOrd="7" destOrd="0" presId="urn:microsoft.com/office/officeart/2011/layout/CircleProcess"/>
    <dgm:cxn modelId="{84BF1520-0B94-4156-912F-53CECC324A93}" type="presParOf" srcId="{AC224A6F-CBD4-465D-ABC4-4D682EDC4EF5}" destId="{08BA1D42-7EDD-4901-9431-EF6684AE4424}" srcOrd="0" destOrd="0" presId="urn:microsoft.com/office/officeart/2011/layout/CircleProcess"/>
    <dgm:cxn modelId="{377179B0-C45E-4480-8CA6-BFA144D74774}" type="presParOf" srcId="{BF688AE5-82AA-4291-908A-4777F02E8D06}" destId="{DE3D924A-4D62-4BD1-898A-FC5F70AFC575}" srcOrd="8" destOrd="0" presId="urn:microsoft.com/office/officeart/2011/layout/CircleProcess"/>
    <dgm:cxn modelId="{1E4A632A-2205-4769-8EA4-DCCC47189124}" type="presParOf" srcId="{BF688AE5-82AA-4291-908A-4777F02E8D06}" destId="{DE03ECC0-5013-4B10-B0DA-B303783A0E21}" srcOrd="9" destOrd="0" presId="urn:microsoft.com/office/officeart/2011/layout/CircleProcess"/>
    <dgm:cxn modelId="{28BEE2F4-51AE-4925-A4B4-4B5A7AF868DD}" type="presParOf" srcId="{DE03ECC0-5013-4B10-B0DA-B303783A0E21}" destId="{35EF31D9-210F-4300-8579-EE708CC2536C}" srcOrd="0" destOrd="0" presId="urn:microsoft.com/office/officeart/2011/layout/CircleProcess"/>
    <dgm:cxn modelId="{89CABB39-1C26-4897-A782-6E3C30A9FB3C}" type="presParOf" srcId="{BF688AE5-82AA-4291-908A-4777F02E8D06}" destId="{562224A5-75D5-4CBF-93F4-19B4177C7D94}" srcOrd="10" destOrd="0" presId="urn:microsoft.com/office/officeart/2011/layout/CircleProcess"/>
    <dgm:cxn modelId="{6D55831F-1B26-415E-8E5C-79E84C4AC833}" type="presParOf" srcId="{562224A5-75D5-4CBF-93F4-19B4177C7D94}" destId="{47896525-A769-4E57-902D-162A709DF966}" srcOrd="0" destOrd="0" presId="urn:microsoft.com/office/officeart/2011/layout/CircleProcess"/>
    <dgm:cxn modelId="{A1D8FCF5-FE04-43FA-813A-A10334C2393E}" type="presParOf" srcId="{BF688AE5-82AA-4291-908A-4777F02E8D06}" destId="{C9FD30E6-83FA-4080-8EAF-0E80D2B9D637}" srcOrd="11" destOrd="0" presId="urn:microsoft.com/office/officeart/2011/layout/CircleProcess"/>
    <dgm:cxn modelId="{038D29CD-E115-41E2-A96D-0D536000BC46}" type="presParOf" srcId="{BF688AE5-82AA-4291-908A-4777F02E8D06}" destId="{33C1FE9D-578A-4B75-8845-849055FB121D}" srcOrd="12" destOrd="0" presId="urn:microsoft.com/office/officeart/2011/layout/CircleProcess"/>
    <dgm:cxn modelId="{D269FE80-DC3E-45A4-8CEC-2D6186B5D0BF}" type="presParOf" srcId="{33C1FE9D-578A-4B75-8845-849055FB121D}" destId="{E336D1A7-D58B-4DE4-B4FA-C2855F9FE043}" srcOrd="0" destOrd="0" presId="urn:microsoft.com/office/officeart/2011/layout/CircleProcess"/>
    <dgm:cxn modelId="{BE4134A4-6075-4EA6-A22B-A640091096BC}" type="presParOf" srcId="{BF688AE5-82AA-4291-908A-4777F02E8D06}" destId="{1642F0F6-626B-444D-AEF7-FE2E9DB44CB2}" srcOrd="13" destOrd="0" presId="urn:microsoft.com/office/officeart/2011/layout/CircleProcess"/>
    <dgm:cxn modelId="{8D7C1E9E-3E7C-4B9E-9B97-7DF9130C5545}" type="presParOf" srcId="{1642F0F6-626B-444D-AEF7-FE2E9DB44CB2}" destId="{4104ABFB-6390-4F43-9203-713717DFC612}" srcOrd="0" destOrd="0" presId="urn:microsoft.com/office/officeart/2011/layout/CircleProcess"/>
    <dgm:cxn modelId="{28A1B855-EBA0-4810-B9DA-044AF96C9557}" type="presParOf" srcId="{BF688AE5-82AA-4291-908A-4777F02E8D06}" destId="{5CA5DC15-48BA-48F9-A925-4C191E5238B0}" srcOrd="14" destOrd="0" presId="urn:microsoft.com/office/officeart/2011/layout/CircleProcess"/>
    <dgm:cxn modelId="{F7D4DB19-7D23-4664-9E80-FA5FB2E4B908}" type="presParOf" srcId="{BF688AE5-82AA-4291-908A-4777F02E8D06}" destId="{C50CD3A9-3056-41EB-AB07-CB0B1B04BFB6}" srcOrd="15" destOrd="0" presId="urn:microsoft.com/office/officeart/2011/layout/CircleProcess"/>
    <dgm:cxn modelId="{F0B1B245-8BAD-4C36-8B54-A8A917A43BC2}" type="presParOf" srcId="{C50CD3A9-3056-41EB-AB07-CB0B1B04BFB6}" destId="{7D651821-C951-45DE-BEB6-9BAA4DCD86F5}" srcOrd="0" destOrd="0" presId="urn:microsoft.com/office/officeart/2011/layout/CircleProcess"/>
    <dgm:cxn modelId="{2A1934A8-F5DD-42EF-8A4E-1DEAEA750852}" type="presParOf" srcId="{BF688AE5-82AA-4291-908A-4777F02E8D06}" destId="{A1C7C6E0-C752-40A6-A757-7B769E97A12F}" srcOrd="16" destOrd="0" presId="urn:microsoft.com/office/officeart/2011/layout/CircleProcess"/>
    <dgm:cxn modelId="{4BEBCAB9-8D0D-4A00-A0C6-8897E7529C40}" type="presParOf" srcId="{A1C7C6E0-C752-40A6-A757-7B769E97A12F}" destId="{40880DC0-0C69-4A28-B3D6-52A1A1386910}" srcOrd="0" destOrd="0" presId="urn:microsoft.com/office/officeart/2011/layout/CircleProcess"/>
    <dgm:cxn modelId="{D8985B40-4CF1-4317-AC59-04C8D7DF79EC}" type="presParOf" srcId="{BF688AE5-82AA-4291-908A-4777F02E8D06}" destId="{F03E4813-2BED-4951-94B7-5D485EEE0EAE}" srcOrd="17" destOrd="0" presId="urn:microsoft.com/office/officeart/2011/layout/CircleProcess"/>
    <dgm:cxn modelId="{3AC71A12-E113-4306-9D4F-922DA262A7DD}" type="presParOf" srcId="{BF688AE5-82AA-4291-908A-4777F02E8D06}" destId="{F45E9E5C-55A3-4649-BB11-FB00D62376A3}" srcOrd="18" destOrd="0" presId="urn:microsoft.com/office/officeart/2011/layout/CircleProcess"/>
    <dgm:cxn modelId="{409AAE08-C2D1-4508-BF79-CA73D237858E}" type="presParOf" srcId="{F45E9E5C-55A3-4649-BB11-FB00D62376A3}" destId="{E7709165-284D-4FBA-929A-0B565A9CC682}" srcOrd="0" destOrd="0" presId="urn:microsoft.com/office/officeart/2011/layout/CircleProcess"/>
    <dgm:cxn modelId="{A9C7C50B-1ADF-46F4-8A1D-F7ECD0BBB2D8}" type="presParOf" srcId="{BF688AE5-82AA-4291-908A-4777F02E8D06}" destId="{C9569912-AC8D-46B7-8B7C-6CC4E40EACF3}" srcOrd="19" destOrd="0" presId="urn:microsoft.com/office/officeart/2011/layout/CircleProcess"/>
    <dgm:cxn modelId="{25854FCC-1C17-4DE5-920C-79A611299868}" type="presParOf" srcId="{C9569912-AC8D-46B7-8B7C-6CC4E40EACF3}" destId="{95F417D7-4C96-4597-8A96-9204A2B4C3F1}" srcOrd="0" destOrd="0" presId="urn:microsoft.com/office/officeart/2011/layout/CircleProcess"/>
    <dgm:cxn modelId="{4D141B53-F73D-4D87-BC4E-B0860E973153}" type="presParOf" srcId="{BF688AE5-82AA-4291-908A-4777F02E8D06}" destId="{2D2429C7-E15A-4F5A-A804-10929B121382}" srcOrd="20" destOrd="0" presId="urn:microsoft.com/office/officeart/2011/layout/CircleProcess"/>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643DB1-A1F5-4FB6-B145-84EFDB7CEA2B}">
      <dsp:nvSpPr>
        <dsp:cNvPr id="0" name=""/>
        <dsp:cNvSpPr/>
      </dsp:nvSpPr>
      <dsp:spPr>
        <a:xfrm>
          <a:off x="746650" y="0"/>
          <a:ext cx="3993099" cy="3993099"/>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EC11A83-9D77-4C6B-BC43-728719ACF4DB}">
      <dsp:nvSpPr>
        <dsp:cNvPr id="0" name=""/>
        <dsp:cNvSpPr/>
      </dsp:nvSpPr>
      <dsp:spPr>
        <a:xfrm>
          <a:off x="1006201" y="259551"/>
          <a:ext cx="1597239" cy="159723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i="1" kern="1200">
              <a:latin typeface="Arial" panose="020B0604020202020204" pitchFamily="34" charset="0"/>
              <a:cs typeface="Arial" panose="020B0604020202020204" pitchFamily="34" charset="0"/>
            </a:rPr>
            <a:t>High power</a:t>
          </a:r>
        </a:p>
        <a:p>
          <a:pPr marL="0" lvl="0" indent="0" algn="ctr" defTabSz="488950">
            <a:lnSpc>
              <a:spcPct val="90000"/>
            </a:lnSpc>
            <a:spcBef>
              <a:spcPct val="0"/>
            </a:spcBef>
            <a:spcAft>
              <a:spcPct val="35000"/>
            </a:spcAft>
            <a:buNone/>
          </a:pPr>
          <a:r>
            <a:rPr lang="en-GB" sz="1100" b="1" i="1" kern="1200">
              <a:latin typeface="Arial" panose="020B0604020202020204" pitchFamily="34" charset="0"/>
              <a:cs typeface="Arial" panose="020B0604020202020204" pitchFamily="34" charset="0"/>
            </a:rPr>
            <a:t>Low interest</a:t>
          </a:r>
          <a:endParaRPr lang="en-GB" sz="1100" b="0"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Regulatory body</a:t>
          </a:r>
        </a:p>
      </dsp:txBody>
      <dsp:txXfrm>
        <a:off x="1084172" y="337522"/>
        <a:ext cx="1441297" cy="1441297"/>
      </dsp:txXfrm>
    </dsp:sp>
    <dsp:sp modelId="{25061B44-F349-40DC-B397-814C8C29A31D}">
      <dsp:nvSpPr>
        <dsp:cNvPr id="0" name=""/>
        <dsp:cNvSpPr/>
      </dsp:nvSpPr>
      <dsp:spPr>
        <a:xfrm>
          <a:off x="2882958" y="259551"/>
          <a:ext cx="1597239" cy="159723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i="1" kern="1200">
              <a:latin typeface="Arial" panose="020B0604020202020204" pitchFamily="34" charset="0"/>
              <a:cs typeface="Arial" panose="020B0604020202020204" pitchFamily="34" charset="0"/>
            </a:rPr>
            <a:t>High power </a:t>
          </a:r>
        </a:p>
        <a:p>
          <a:pPr marL="0" lvl="0" indent="0" algn="ctr" defTabSz="488950">
            <a:lnSpc>
              <a:spcPct val="90000"/>
            </a:lnSpc>
            <a:spcBef>
              <a:spcPct val="0"/>
            </a:spcBef>
            <a:spcAft>
              <a:spcPct val="35000"/>
            </a:spcAft>
            <a:buNone/>
          </a:pPr>
          <a:r>
            <a:rPr lang="en-GB" sz="1100" b="1" i="1" kern="1200">
              <a:latin typeface="Arial" panose="020B0604020202020204" pitchFamily="34" charset="0"/>
              <a:cs typeface="Arial" panose="020B0604020202020204" pitchFamily="34" charset="0"/>
            </a:rPr>
            <a:t>High interest</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Employees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Management</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Trade unions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Customers </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Shareholders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Government</a:t>
          </a:r>
        </a:p>
      </dsp:txBody>
      <dsp:txXfrm>
        <a:off x="2960929" y="337522"/>
        <a:ext cx="1441297" cy="1441297"/>
      </dsp:txXfrm>
    </dsp:sp>
    <dsp:sp modelId="{23A0BE27-089A-497F-915E-D1366DBEA81B}">
      <dsp:nvSpPr>
        <dsp:cNvPr id="0" name=""/>
        <dsp:cNvSpPr/>
      </dsp:nvSpPr>
      <dsp:spPr>
        <a:xfrm>
          <a:off x="1006201" y="2136307"/>
          <a:ext cx="1597239" cy="159723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i="1" kern="1200">
              <a:latin typeface="Arial" panose="020B0604020202020204" pitchFamily="34" charset="0"/>
              <a:cs typeface="Arial" panose="020B0604020202020204" pitchFamily="34" charset="0"/>
            </a:rPr>
            <a:t>Low power</a:t>
          </a:r>
        </a:p>
        <a:p>
          <a:pPr marL="0" lvl="0" indent="0" algn="ctr" defTabSz="488950">
            <a:lnSpc>
              <a:spcPct val="90000"/>
            </a:lnSpc>
            <a:spcBef>
              <a:spcPct val="0"/>
            </a:spcBef>
            <a:spcAft>
              <a:spcPct val="35000"/>
            </a:spcAft>
            <a:buNone/>
          </a:pPr>
          <a:r>
            <a:rPr lang="en-GB" sz="1100" b="1" i="1" kern="1200">
              <a:latin typeface="Arial" panose="020B0604020202020204" pitchFamily="34" charset="0"/>
              <a:cs typeface="Arial" panose="020B0604020202020204" pitchFamily="34" charset="0"/>
            </a:rPr>
            <a:t>Low interest</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Political groups(parties)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Media</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Competitors</a:t>
          </a:r>
        </a:p>
        <a:p>
          <a:pPr marL="0" lvl="0" indent="0" algn="ctr"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dsp:txBody>
      <dsp:txXfrm>
        <a:off x="1084172" y="2214278"/>
        <a:ext cx="1441297" cy="1441297"/>
      </dsp:txXfrm>
    </dsp:sp>
    <dsp:sp modelId="{70B41B31-8005-431A-8A06-D8FEFD2FD591}">
      <dsp:nvSpPr>
        <dsp:cNvPr id="0" name=""/>
        <dsp:cNvSpPr/>
      </dsp:nvSpPr>
      <dsp:spPr>
        <a:xfrm>
          <a:off x="2882958" y="2136307"/>
          <a:ext cx="1597239" cy="159723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i="1" kern="1200">
              <a:latin typeface="Arial" panose="020B0604020202020204" pitchFamily="34" charset="0"/>
              <a:cs typeface="Arial" panose="020B0604020202020204" pitchFamily="34" charset="0"/>
            </a:rPr>
            <a:t>Low power</a:t>
          </a:r>
        </a:p>
        <a:p>
          <a:pPr marL="0" lvl="0" indent="0" algn="ctr" defTabSz="488950">
            <a:lnSpc>
              <a:spcPct val="90000"/>
            </a:lnSpc>
            <a:spcBef>
              <a:spcPct val="0"/>
            </a:spcBef>
            <a:spcAft>
              <a:spcPct val="35000"/>
            </a:spcAft>
            <a:buNone/>
          </a:pPr>
          <a:r>
            <a:rPr lang="en-GB" sz="1100" b="1" i="1" kern="1200">
              <a:latin typeface="Arial" panose="020B0604020202020204" pitchFamily="34" charset="0"/>
              <a:cs typeface="Arial" panose="020B0604020202020204" pitchFamily="34" charset="0"/>
            </a:rPr>
            <a:t>High interest</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Costumers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Community</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Suppliers </a:t>
          </a:r>
        </a:p>
      </dsp:txBody>
      <dsp:txXfrm>
        <a:off x="2960929" y="2214278"/>
        <a:ext cx="1441297" cy="14412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BFCB43-E834-40C9-ACB7-561EE4E1FFA8}">
      <dsp:nvSpPr>
        <dsp:cNvPr id="0" name=""/>
        <dsp:cNvSpPr/>
      </dsp:nvSpPr>
      <dsp:spPr>
        <a:xfrm>
          <a:off x="489" y="908761"/>
          <a:ext cx="785004" cy="314001"/>
        </a:xfrm>
        <a:prstGeom prst="chevron">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003" tIns="6668" rIns="6668" bIns="6668" numCol="1" spcCol="1270" anchor="ctr" anchorCtr="0">
          <a:noAutofit/>
        </a:bodyPr>
        <a:lstStyle/>
        <a:p>
          <a:pPr marL="0" lvl="0" indent="0" algn="ctr" defTabSz="222250">
            <a:lnSpc>
              <a:spcPct val="90000"/>
            </a:lnSpc>
            <a:spcBef>
              <a:spcPct val="0"/>
            </a:spcBef>
            <a:spcAft>
              <a:spcPct val="35000"/>
            </a:spcAft>
            <a:buNone/>
          </a:pPr>
          <a:r>
            <a:rPr lang="en-IN" sz="500" b="1" i="1" kern="1200"/>
            <a:t>Managing the post office</a:t>
          </a:r>
          <a:endParaRPr lang="en-IN" sz="500" kern="1200"/>
        </a:p>
      </dsp:txBody>
      <dsp:txXfrm>
        <a:off x="157490" y="908761"/>
        <a:ext cx="471003" cy="314001"/>
      </dsp:txXfrm>
    </dsp:sp>
    <dsp:sp modelId="{6916AEFE-B64F-4361-BF76-8889122BF9D9}">
      <dsp:nvSpPr>
        <dsp:cNvPr id="0" name=""/>
        <dsp:cNvSpPr/>
      </dsp:nvSpPr>
      <dsp:spPr>
        <a:xfrm>
          <a:off x="706993" y="908761"/>
          <a:ext cx="785004" cy="314001"/>
        </a:xfrm>
        <a:prstGeom prst="chevron">
          <a:avLst/>
        </a:prstGeom>
        <a:solidFill>
          <a:schemeClr val="accent2">
            <a:hueOff val="-207909"/>
            <a:satOff val="-11990"/>
            <a:lumOff val="123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003" tIns="6668" rIns="6668" bIns="6668" numCol="1" spcCol="1270" anchor="ctr" anchorCtr="0">
          <a:noAutofit/>
        </a:bodyPr>
        <a:lstStyle/>
        <a:p>
          <a:pPr marL="0" lvl="0" indent="0" algn="ctr" defTabSz="222250">
            <a:lnSpc>
              <a:spcPct val="90000"/>
            </a:lnSpc>
            <a:spcBef>
              <a:spcPct val="0"/>
            </a:spcBef>
            <a:spcAft>
              <a:spcPct val="35000"/>
            </a:spcAft>
            <a:buNone/>
          </a:pPr>
          <a:r>
            <a:rPr lang="en-IN" sz="500" b="1" i="1" kern="1200"/>
            <a:t>Departmental Heads</a:t>
          </a:r>
          <a:endParaRPr lang="en-IN" sz="500" kern="1200"/>
        </a:p>
      </dsp:txBody>
      <dsp:txXfrm>
        <a:off x="863994" y="908761"/>
        <a:ext cx="471003" cy="314001"/>
      </dsp:txXfrm>
    </dsp:sp>
    <dsp:sp modelId="{C3FF7105-70DB-463B-A675-7969AEE21DAA}">
      <dsp:nvSpPr>
        <dsp:cNvPr id="0" name=""/>
        <dsp:cNvSpPr/>
      </dsp:nvSpPr>
      <dsp:spPr>
        <a:xfrm>
          <a:off x="1413497" y="908761"/>
          <a:ext cx="785004" cy="314001"/>
        </a:xfrm>
        <a:prstGeom prst="chevron">
          <a:avLst/>
        </a:prstGeom>
        <a:solidFill>
          <a:schemeClr val="accent2">
            <a:hueOff val="-415818"/>
            <a:satOff val="-23979"/>
            <a:lumOff val="24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003" tIns="6668" rIns="6668" bIns="6668" numCol="1" spcCol="1270" anchor="ctr" anchorCtr="0">
          <a:noAutofit/>
        </a:bodyPr>
        <a:lstStyle/>
        <a:p>
          <a:pPr marL="0" lvl="0" indent="0" algn="ctr" defTabSz="222250">
            <a:lnSpc>
              <a:spcPct val="90000"/>
            </a:lnSpc>
            <a:spcBef>
              <a:spcPct val="0"/>
            </a:spcBef>
            <a:spcAft>
              <a:spcPct val="35000"/>
            </a:spcAft>
            <a:buNone/>
          </a:pPr>
          <a:r>
            <a:rPr lang="en-IN" sz="500" b="1" i="1" kern="1200"/>
            <a:t>Concerning of employees</a:t>
          </a:r>
          <a:endParaRPr lang="en-IN" sz="500" kern="1200"/>
        </a:p>
      </dsp:txBody>
      <dsp:txXfrm>
        <a:off x="1570498" y="908761"/>
        <a:ext cx="471003" cy="314001"/>
      </dsp:txXfrm>
    </dsp:sp>
    <dsp:sp modelId="{076D4B6D-B234-423A-89B3-656E48D64946}">
      <dsp:nvSpPr>
        <dsp:cNvPr id="0" name=""/>
        <dsp:cNvSpPr/>
      </dsp:nvSpPr>
      <dsp:spPr>
        <a:xfrm>
          <a:off x="2120001" y="908761"/>
          <a:ext cx="785004" cy="314001"/>
        </a:xfrm>
        <a:prstGeom prst="chevron">
          <a:avLst/>
        </a:prstGeom>
        <a:solidFill>
          <a:schemeClr val="accent2">
            <a:hueOff val="-623727"/>
            <a:satOff val="-35969"/>
            <a:lumOff val="369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003" tIns="6668" rIns="6668" bIns="6668" numCol="1" spcCol="1270" anchor="ctr" anchorCtr="0">
          <a:noAutofit/>
        </a:bodyPr>
        <a:lstStyle/>
        <a:p>
          <a:pPr marL="0" lvl="0" indent="0" algn="ctr" defTabSz="222250">
            <a:lnSpc>
              <a:spcPct val="90000"/>
            </a:lnSpc>
            <a:spcBef>
              <a:spcPct val="0"/>
            </a:spcBef>
            <a:spcAft>
              <a:spcPct val="35000"/>
            </a:spcAft>
            <a:buNone/>
          </a:pPr>
          <a:r>
            <a:rPr lang="en-IN" sz="500" b="1" i="1" kern="1200"/>
            <a:t>Human Resource Management </a:t>
          </a:r>
          <a:endParaRPr lang="en-IN" sz="500" kern="1200"/>
        </a:p>
      </dsp:txBody>
      <dsp:txXfrm>
        <a:off x="2277002" y="908761"/>
        <a:ext cx="471003" cy="314001"/>
      </dsp:txXfrm>
    </dsp:sp>
    <dsp:sp modelId="{18ED6E7F-AB9B-411C-8F32-D10DF4C8ACC1}">
      <dsp:nvSpPr>
        <dsp:cNvPr id="0" name=""/>
        <dsp:cNvSpPr/>
      </dsp:nvSpPr>
      <dsp:spPr>
        <a:xfrm>
          <a:off x="2826504" y="908761"/>
          <a:ext cx="785004" cy="314001"/>
        </a:xfrm>
        <a:prstGeom prst="chevron">
          <a:avLst/>
        </a:prstGeom>
        <a:solidFill>
          <a:schemeClr val="accent2">
            <a:hueOff val="-831636"/>
            <a:satOff val="-47959"/>
            <a:lumOff val="493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003" tIns="6668" rIns="6668" bIns="6668" numCol="1" spcCol="1270" anchor="ctr" anchorCtr="0">
          <a:noAutofit/>
        </a:bodyPr>
        <a:lstStyle/>
        <a:p>
          <a:pPr marL="0" lvl="0" indent="0" algn="ctr" defTabSz="222250">
            <a:lnSpc>
              <a:spcPct val="90000"/>
            </a:lnSpc>
            <a:spcBef>
              <a:spcPct val="0"/>
            </a:spcBef>
            <a:spcAft>
              <a:spcPct val="35000"/>
            </a:spcAft>
            <a:buNone/>
          </a:pPr>
          <a:r>
            <a:rPr lang="en-IN" sz="500" b="1" i="1" kern="1200"/>
            <a:t>Department of Information Technology</a:t>
          </a:r>
          <a:endParaRPr lang="en-IN" sz="500" kern="1200"/>
        </a:p>
      </dsp:txBody>
      <dsp:txXfrm>
        <a:off x="2983505" y="908761"/>
        <a:ext cx="471003" cy="314001"/>
      </dsp:txXfrm>
    </dsp:sp>
    <dsp:sp modelId="{898CE772-52BF-4AE7-B18A-62AF076DE2CC}">
      <dsp:nvSpPr>
        <dsp:cNvPr id="0" name=""/>
        <dsp:cNvSpPr/>
      </dsp:nvSpPr>
      <dsp:spPr>
        <a:xfrm>
          <a:off x="3533008" y="908761"/>
          <a:ext cx="785004" cy="314001"/>
        </a:xfrm>
        <a:prstGeom prst="chevron">
          <a:avLst/>
        </a:prstGeom>
        <a:solidFill>
          <a:schemeClr val="accent2">
            <a:hueOff val="-1039545"/>
            <a:satOff val="-59949"/>
            <a:lumOff val="616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003" tIns="6668" rIns="6668" bIns="6668" numCol="1" spcCol="1270" anchor="ctr" anchorCtr="0">
          <a:noAutofit/>
        </a:bodyPr>
        <a:lstStyle/>
        <a:p>
          <a:pPr marL="0" lvl="0" indent="0" algn="ctr" defTabSz="222250">
            <a:lnSpc>
              <a:spcPct val="90000"/>
            </a:lnSpc>
            <a:spcBef>
              <a:spcPct val="0"/>
            </a:spcBef>
            <a:spcAft>
              <a:spcPct val="35000"/>
            </a:spcAft>
            <a:buNone/>
          </a:pPr>
          <a:r>
            <a:rPr lang="en-IN" sz="500" b="1" i="1" kern="1200"/>
            <a:t>Staff operation </a:t>
          </a:r>
          <a:endParaRPr lang="en-IN" sz="500" kern="1200"/>
        </a:p>
      </dsp:txBody>
      <dsp:txXfrm>
        <a:off x="3690009" y="908761"/>
        <a:ext cx="471003" cy="314001"/>
      </dsp:txXfrm>
    </dsp:sp>
    <dsp:sp modelId="{9F4DF436-2548-477C-8C9E-C56DD26CEA9F}">
      <dsp:nvSpPr>
        <dsp:cNvPr id="0" name=""/>
        <dsp:cNvSpPr/>
      </dsp:nvSpPr>
      <dsp:spPr>
        <a:xfrm>
          <a:off x="4239512" y="908761"/>
          <a:ext cx="785004" cy="314001"/>
        </a:xfrm>
        <a:prstGeom prst="chevron">
          <a:avLst/>
        </a:prstGeom>
        <a:solidFill>
          <a:schemeClr val="accent2">
            <a:hueOff val="-1247454"/>
            <a:satOff val="-71938"/>
            <a:lumOff val="739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003" tIns="6668" rIns="6668" bIns="6668" numCol="1" spcCol="1270" anchor="ctr" anchorCtr="0">
          <a:noAutofit/>
        </a:bodyPr>
        <a:lstStyle/>
        <a:p>
          <a:pPr marL="0" lvl="0" indent="0" algn="ctr" defTabSz="222250">
            <a:lnSpc>
              <a:spcPct val="90000"/>
            </a:lnSpc>
            <a:spcBef>
              <a:spcPct val="0"/>
            </a:spcBef>
            <a:spcAft>
              <a:spcPct val="35000"/>
            </a:spcAft>
            <a:buNone/>
          </a:pPr>
          <a:r>
            <a:rPr lang="en-IN" sz="500" b="1" i="1" kern="1200"/>
            <a:t>Financial and budget management </a:t>
          </a:r>
          <a:endParaRPr lang="en-IN" sz="500" kern="1200"/>
        </a:p>
      </dsp:txBody>
      <dsp:txXfrm>
        <a:off x="4396513" y="908761"/>
        <a:ext cx="471003" cy="314001"/>
      </dsp:txXfrm>
    </dsp:sp>
    <dsp:sp modelId="{386FA106-06A2-4D2E-BA0A-49119A5081CA}">
      <dsp:nvSpPr>
        <dsp:cNvPr id="0" name=""/>
        <dsp:cNvSpPr/>
      </dsp:nvSpPr>
      <dsp:spPr>
        <a:xfrm>
          <a:off x="4946016" y="908761"/>
          <a:ext cx="785004" cy="314001"/>
        </a:xfrm>
        <a:prstGeom prst="chevron">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003" tIns="6668" rIns="6668" bIns="6668" numCol="1" spcCol="1270" anchor="ctr" anchorCtr="0">
          <a:noAutofit/>
        </a:bodyPr>
        <a:lstStyle/>
        <a:p>
          <a:pPr marL="0" lvl="0" indent="0" algn="ctr" defTabSz="222250">
            <a:lnSpc>
              <a:spcPct val="90000"/>
            </a:lnSpc>
            <a:spcBef>
              <a:spcPct val="0"/>
            </a:spcBef>
            <a:spcAft>
              <a:spcPct val="35000"/>
            </a:spcAft>
            <a:buNone/>
          </a:pPr>
          <a:r>
            <a:rPr lang="en-IN" sz="500" b="1" i="1" kern="1200"/>
            <a:t>Quality management </a:t>
          </a:r>
          <a:endParaRPr lang="en-IN" sz="500" kern="1200"/>
        </a:p>
      </dsp:txBody>
      <dsp:txXfrm>
        <a:off x="5103017" y="908761"/>
        <a:ext cx="471003" cy="31400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09C77D-20EC-46B4-AD29-91F0BDCD00D9}">
      <dsp:nvSpPr>
        <dsp:cNvPr id="0" name=""/>
        <dsp:cNvSpPr/>
      </dsp:nvSpPr>
      <dsp:spPr>
        <a:xfrm>
          <a:off x="4921019" y="1040421"/>
          <a:ext cx="760543" cy="760310"/>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4901BCD-7FAD-4083-A878-4526F0A19425}">
      <dsp:nvSpPr>
        <dsp:cNvPr id="0" name=""/>
        <dsp:cNvSpPr/>
      </dsp:nvSpPr>
      <dsp:spPr>
        <a:xfrm>
          <a:off x="4946857" y="1065769"/>
          <a:ext cx="709428" cy="709614"/>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1" kern="1200"/>
            <a:t>Marketing consultants </a:t>
          </a:r>
          <a:endParaRPr lang="en-IN" sz="600" kern="1200"/>
        </a:p>
      </dsp:txBody>
      <dsp:txXfrm>
        <a:off x="5047963" y="1167162"/>
        <a:ext cx="506654" cy="506829"/>
      </dsp:txXfrm>
    </dsp:sp>
    <dsp:sp modelId="{4694B300-D03C-4C9D-B602-67D9EE99D76E}">
      <dsp:nvSpPr>
        <dsp:cNvPr id="0" name=""/>
        <dsp:cNvSpPr/>
      </dsp:nvSpPr>
      <dsp:spPr>
        <a:xfrm rot="2700000">
          <a:off x="4135578" y="1040336"/>
          <a:ext cx="760347" cy="760347"/>
        </a:xfrm>
        <a:prstGeom prst="teardrop">
          <a:avLst>
            <a:gd name="adj" fmla="val 100000"/>
          </a:avLst>
        </a:prstGeom>
        <a:solidFill>
          <a:schemeClr val="accent5">
            <a:hueOff val="-1126424"/>
            <a:satOff val="-2903"/>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97BB5E9-A08C-40D4-8164-AB19AED80683}">
      <dsp:nvSpPr>
        <dsp:cNvPr id="0" name=""/>
        <dsp:cNvSpPr/>
      </dsp:nvSpPr>
      <dsp:spPr>
        <a:xfrm>
          <a:off x="4161037" y="1065769"/>
          <a:ext cx="709428" cy="709614"/>
        </a:xfrm>
        <a:prstGeom prst="ellipse">
          <a:avLst/>
        </a:prstGeom>
        <a:solidFill>
          <a:schemeClr val="lt1">
            <a:alpha val="90000"/>
            <a:hueOff val="0"/>
            <a:satOff val="0"/>
            <a:lumOff val="0"/>
            <a:alphaOff val="0"/>
          </a:schemeClr>
        </a:solidFill>
        <a:ln w="12700" cap="flat" cmpd="sng" algn="ctr">
          <a:solidFill>
            <a:schemeClr val="accent5">
              <a:hueOff val="-1126424"/>
              <a:satOff val="-2903"/>
              <a:lumOff val="-196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1" kern="1200"/>
            <a:t>Development consultants </a:t>
          </a:r>
          <a:endParaRPr lang="en-IN" sz="600" kern="1200"/>
        </a:p>
      </dsp:txBody>
      <dsp:txXfrm>
        <a:off x="4262143" y="1167162"/>
        <a:ext cx="506654" cy="506829"/>
      </dsp:txXfrm>
    </dsp:sp>
    <dsp:sp modelId="{F0B0F815-76D9-44A6-BEFE-F5244A2DC7F7}">
      <dsp:nvSpPr>
        <dsp:cNvPr id="0" name=""/>
        <dsp:cNvSpPr/>
      </dsp:nvSpPr>
      <dsp:spPr>
        <a:xfrm rot="2700000">
          <a:off x="3350319" y="1040336"/>
          <a:ext cx="760347" cy="760347"/>
        </a:xfrm>
        <a:prstGeom prst="teardrop">
          <a:avLst>
            <a:gd name="adj" fmla="val 100000"/>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8BA1D42-7EDD-4901-9431-EF6684AE4424}">
      <dsp:nvSpPr>
        <dsp:cNvPr id="0" name=""/>
        <dsp:cNvSpPr/>
      </dsp:nvSpPr>
      <dsp:spPr>
        <a:xfrm>
          <a:off x="3375217" y="1065769"/>
          <a:ext cx="709428" cy="709614"/>
        </a:xfrm>
        <a:prstGeom prst="ellipse">
          <a:avLst/>
        </a:prstGeom>
        <a:solidFill>
          <a:schemeClr val="lt1">
            <a:alpha val="90000"/>
            <a:hueOff val="0"/>
            <a:satOff val="0"/>
            <a:lumOff val="0"/>
            <a:alphaOff val="0"/>
          </a:schemeClr>
        </a:solidFill>
        <a:ln w="12700" cap="flat" cmpd="sng" algn="ctr">
          <a:solidFill>
            <a:schemeClr val="accent5">
              <a:hueOff val="-2252848"/>
              <a:satOff val="-5806"/>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1" kern="1200"/>
            <a:t>Improvement in customer experience </a:t>
          </a:r>
          <a:endParaRPr lang="en-IN" sz="600" kern="1200"/>
        </a:p>
      </dsp:txBody>
      <dsp:txXfrm>
        <a:off x="3476885" y="1167162"/>
        <a:ext cx="506654" cy="506829"/>
      </dsp:txXfrm>
    </dsp:sp>
    <dsp:sp modelId="{35EF31D9-210F-4300-8579-EE708CC2536C}">
      <dsp:nvSpPr>
        <dsp:cNvPr id="0" name=""/>
        <dsp:cNvSpPr/>
      </dsp:nvSpPr>
      <dsp:spPr>
        <a:xfrm rot="2700000">
          <a:off x="2564500" y="1040336"/>
          <a:ext cx="760347" cy="760347"/>
        </a:xfrm>
        <a:prstGeom prst="teardrop">
          <a:avLst>
            <a:gd name="adj" fmla="val 10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7896525-A769-4E57-902D-162A709DF966}">
      <dsp:nvSpPr>
        <dsp:cNvPr id="0" name=""/>
        <dsp:cNvSpPr/>
      </dsp:nvSpPr>
      <dsp:spPr>
        <a:xfrm>
          <a:off x="2589959" y="1065769"/>
          <a:ext cx="709428" cy="709614"/>
        </a:xfrm>
        <a:prstGeom prst="ellipse">
          <a:avLst/>
        </a:prstGeom>
        <a:solidFill>
          <a:schemeClr val="lt1">
            <a:alpha val="90000"/>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1" kern="1200"/>
            <a:t>Regulatory consultant </a:t>
          </a:r>
          <a:endParaRPr lang="en-IN" sz="600" kern="1200"/>
        </a:p>
      </dsp:txBody>
      <dsp:txXfrm>
        <a:off x="2691065" y="1167162"/>
        <a:ext cx="506654" cy="506829"/>
      </dsp:txXfrm>
    </dsp:sp>
    <dsp:sp modelId="{E336D1A7-D58B-4DE4-B4FA-C2855F9FE043}">
      <dsp:nvSpPr>
        <dsp:cNvPr id="0" name=""/>
        <dsp:cNvSpPr/>
      </dsp:nvSpPr>
      <dsp:spPr>
        <a:xfrm rot="2700000">
          <a:off x="1778680" y="1040336"/>
          <a:ext cx="760347" cy="760347"/>
        </a:xfrm>
        <a:prstGeom prst="teardrop">
          <a:avLst>
            <a:gd name="adj" fmla="val 100000"/>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04ABFB-6390-4F43-9203-713717DFC612}">
      <dsp:nvSpPr>
        <dsp:cNvPr id="0" name=""/>
        <dsp:cNvSpPr/>
      </dsp:nvSpPr>
      <dsp:spPr>
        <a:xfrm>
          <a:off x="1804139" y="1065769"/>
          <a:ext cx="709428" cy="709614"/>
        </a:xfrm>
        <a:prstGeom prst="ellipse">
          <a:avLst/>
        </a:prstGeom>
        <a:solidFill>
          <a:schemeClr val="lt1">
            <a:alpha val="90000"/>
            <a:hueOff val="0"/>
            <a:satOff val="0"/>
            <a:lumOff val="0"/>
            <a:alphaOff val="0"/>
          </a:schemeClr>
        </a:solidFill>
        <a:ln w="12700" cap="flat" cmpd="sng" algn="ctr">
          <a:solidFill>
            <a:schemeClr val="accent5">
              <a:hueOff val="-4505695"/>
              <a:satOff val="-11613"/>
              <a:lumOff val="-784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1" kern="1200"/>
            <a:t>Consulting about technology </a:t>
          </a:r>
          <a:endParaRPr lang="en-IN" sz="600" kern="1200"/>
        </a:p>
      </dsp:txBody>
      <dsp:txXfrm>
        <a:off x="1905246" y="1167162"/>
        <a:ext cx="506654" cy="506829"/>
      </dsp:txXfrm>
    </dsp:sp>
    <dsp:sp modelId="{7D651821-C951-45DE-BEB6-9BAA4DCD86F5}">
      <dsp:nvSpPr>
        <dsp:cNvPr id="0" name=""/>
        <dsp:cNvSpPr/>
      </dsp:nvSpPr>
      <dsp:spPr>
        <a:xfrm rot="2700000">
          <a:off x="993422" y="1040336"/>
          <a:ext cx="760347" cy="760347"/>
        </a:xfrm>
        <a:prstGeom prst="teardrop">
          <a:avLst>
            <a:gd name="adj" fmla="val 100000"/>
          </a:avLst>
        </a:prstGeom>
        <a:solidFill>
          <a:schemeClr val="accent5">
            <a:hueOff val="-5632119"/>
            <a:satOff val="-14516"/>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0880DC0-0C69-4A28-B3D6-52A1A1386910}">
      <dsp:nvSpPr>
        <dsp:cNvPr id="0" name=""/>
        <dsp:cNvSpPr/>
      </dsp:nvSpPr>
      <dsp:spPr>
        <a:xfrm>
          <a:off x="1018320" y="1065769"/>
          <a:ext cx="709428" cy="709614"/>
        </a:xfrm>
        <a:prstGeom prst="ellipse">
          <a:avLst/>
        </a:prstGeom>
        <a:solidFill>
          <a:schemeClr val="lt1">
            <a:alpha val="90000"/>
            <a:hueOff val="0"/>
            <a:satOff val="0"/>
            <a:lumOff val="0"/>
            <a:alphaOff val="0"/>
          </a:schemeClr>
        </a:solidFill>
        <a:ln w="12700" cap="flat" cmpd="sng" algn="ctr">
          <a:solidFill>
            <a:schemeClr val="accent5">
              <a:hueOff val="-5632119"/>
              <a:satOff val="-14516"/>
              <a:lumOff val="-980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1" kern="1200"/>
            <a:t>Improvement in the consultancy process </a:t>
          </a:r>
          <a:endParaRPr lang="en-IN" sz="600" kern="1200"/>
        </a:p>
      </dsp:txBody>
      <dsp:txXfrm>
        <a:off x="1119988" y="1167162"/>
        <a:ext cx="506654" cy="506829"/>
      </dsp:txXfrm>
    </dsp:sp>
    <dsp:sp modelId="{E7709165-284D-4FBA-929A-0B565A9CC682}">
      <dsp:nvSpPr>
        <dsp:cNvPr id="0" name=""/>
        <dsp:cNvSpPr/>
      </dsp:nvSpPr>
      <dsp:spPr>
        <a:xfrm rot="2700000">
          <a:off x="207602" y="1040336"/>
          <a:ext cx="760347" cy="760347"/>
        </a:xfrm>
        <a:prstGeom prst="teardrop">
          <a:avLst>
            <a:gd name="adj" fmla="val 10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5F417D7-4C96-4597-8A96-9204A2B4C3F1}">
      <dsp:nvSpPr>
        <dsp:cNvPr id="0" name=""/>
        <dsp:cNvSpPr/>
      </dsp:nvSpPr>
      <dsp:spPr>
        <a:xfrm>
          <a:off x="233062" y="1065769"/>
          <a:ext cx="709428" cy="709614"/>
        </a:xfrm>
        <a:prstGeom prst="ellipse">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1" kern="1200"/>
            <a:t>Consultancy of changing management </a:t>
          </a:r>
          <a:endParaRPr lang="en-IN" sz="600" kern="1200"/>
        </a:p>
      </dsp:txBody>
      <dsp:txXfrm>
        <a:off x="334168" y="1167162"/>
        <a:ext cx="506654" cy="506829"/>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95B0F2EDC14C35AFE938F40433239C"/>
        <w:category>
          <w:name w:val="General"/>
          <w:gallery w:val="placeholder"/>
        </w:category>
        <w:types>
          <w:type w:val="bbPlcHdr"/>
        </w:types>
        <w:behaviors>
          <w:behavior w:val="content"/>
        </w:behaviors>
        <w:guid w:val="{6084ED84-2A76-4A6A-B8F5-729B77063CE1}"/>
      </w:docPartPr>
      <w:docPartBody>
        <w:p w:rsidR="00431D44" w:rsidRDefault="00AA3AA3" w:rsidP="00AA3AA3">
          <w:pPr>
            <w:pStyle w:val="CC95B0F2EDC14C35AFE938F40433239C"/>
          </w:pPr>
          <w:r>
            <w:rPr>
              <w:rFonts w:asciiTheme="majorHAnsi" w:hAnsiTheme="majorHAnsi"/>
              <w:color w:val="FFFFFF" w:themeColor="background1"/>
              <w:sz w:val="96"/>
              <w:szCs w:val="96"/>
            </w:rPr>
            <w:t>[Document title]</w:t>
          </w:r>
        </w:p>
      </w:docPartBody>
    </w:docPart>
    <w:docPart>
      <w:docPartPr>
        <w:name w:val="FF5F788A2048461A87CBA5C02187AE7C"/>
        <w:category>
          <w:name w:val="General"/>
          <w:gallery w:val="placeholder"/>
        </w:category>
        <w:types>
          <w:type w:val="bbPlcHdr"/>
        </w:types>
        <w:behaviors>
          <w:behavior w:val="content"/>
        </w:behaviors>
        <w:guid w:val="{99A01AB8-DFBE-44A5-97B3-AEA8F082BA60}"/>
      </w:docPartPr>
      <w:docPartBody>
        <w:p w:rsidR="00431D44" w:rsidRDefault="00AA3AA3" w:rsidP="00AA3AA3">
          <w:pPr>
            <w:pStyle w:val="FF5F788A2048461A87CBA5C02187AE7C"/>
          </w:pPr>
          <w:r>
            <w:rPr>
              <w:color w:val="FFFFFF" w:themeColor="background1"/>
              <w:sz w:val="28"/>
              <w:szCs w:val="28"/>
            </w:rPr>
            <w:t>[Author name]</w:t>
          </w:r>
        </w:p>
      </w:docPartBody>
    </w:docPart>
    <w:docPart>
      <w:docPartPr>
        <w:name w:val="0AAF2FD42A914EA98792E8E41379A904"/>
        <w:category>
          <w:name w:val="General"/>
          <w:gallery w:val="placeholder"/>
        </w:category>
        <w:types>
          <w:type w:val="bbPlcHdr"/>
        </w:types>
        <w:behaviors>
          <w:behavior w:val="content"/>
        </w:behaviors>
        <w:guid w:val="{8D0F4BBC-A8B2-4AE5-B204-937129791979}"/>
      </w:docPartPr>
      <w:docPartBody>
        <w:p w:rsidR="00431D44" w:rsidRDefault="00AA3AA3" w:rsidP="00AA3AA3">
          <w:pPr>
            <w:pStyle w:val="0AAF2FD42A914EA98792E8E41379A904"/>
          </w:pPr>
          <w:r>
            <w:rPr>
              <w:color w:val="FFFFFF" w:themeColor="background1"/>
              <w:sz w:val="28"/>
              <w:szCs w:val="28"/>
            </w:rPr>
            <w:t>[Course title]</w:t>
          </w:r>
        </w:p>
      </w:docPartBody>
    </w:docPart>
    <w:docPart>
      <w:docPartPr>
        <w:name w:val="83387EC3162341AD944C69A309A192E2"/>
        <w:category>
          <w:name w:val="General"/>
          <w:gallery w:val="placeholder"/>
        </w:category>
        <w:types>
          <w:type w:val="bbPlcHdr"/>
        </w:types>
        <w:behaviors>
          <w:behavior w:val="content"/>
        </w:behaviors>
        <w:guid w:val="{5FFCC82D-7002-4D62-8550-6DB98759218C}"/>
      </w:docPartPr>
      <w:docPartBody>
        <w:p w:rsidR="00431D44" w:rsidRDefault="00AA3AA3" w:rsidP="00AA3AA3">
          <w:pPr>
            <w:pStyle w:val="83387EC3162341AD944C69A309A192E2"/>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AA3"/>
    <w:rsid w:val="002C3D73"/>
    <w:rsid w:val="00431D44"/>
    <w:rsid w:val="00534FF0"/>
    <w:rsid w:val="00A32CF7"/>
    <w:rsid w:val="00AA3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95B0F2EDC14C35AFE938F40433239C">
    <w:name w:val="CC95B0F2EDC14C35AFE938F40433239C"/>
    <w:rsid w:val="00AA3AA3"/>
  </w:style>
  <w:style w:type="paragraph" w:customStyle="1" w:styleId="FF5F788A2048461A87CBA5C02187AE7C">
    <w:name w:val="FF5F788A2048461A87CBA5C02187AE7C"/>
    <w:rsid w:val="00AA3AA3"/>
  </w:style>
  <w:style w:type="paragraph" w:customStyle="1" w:styleId="0AAF2FD42A914EA98792E8E41379A904">
    <w:name w:val="0AAF2FD42A914EA98792E8E41379A904"/>
    <w:rsid w:val="00AA3AA3"/>
  </w:style>
  <w:style w:type="paragraph" w:customStyle="1" w:styleId="83387EC3162341AD944C69A309A192E2">
    <w:name w:val="83387EC3162341AD944C69A309A192E2"/>
    <w:rsid w:val="00AA3A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Code: BMSW6103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B8C771-5063-46BB-8274-4142567F9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24</Pages>
  <Words>7569</Words>
  <Characters>43145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CHANGE MANAGEMENT PORTFOLIO</vt:lpstr>
    </vt:vector>
  </TitlesOfParts>
  <Company/>
  <LinksUpToDate>false</LinksUpToDate>
  <CharactersWithSpaces>50613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MANAGEMENT PORTFOLIO</dc:title>
  <dc:subject/>
  <dc:creator>Student: Mariana Grigorita</dc:creator>
  <cp:keywords/>
  <dc:description/>
  <cp:lastModifiedBy>mariana grigorita</cp:lastModifiedBy>
  <cp:revision>6</cp:revision>
  <dcterms:created xsi:type="dcterms:W3CDTF">2023-06-28T08:08:00Z</dcterms:created>
  <dcterms:modified xsi:type="dcterms:W3CDTF">2023-07-13T09:15:00Z</dcterms:modified>
  <cp:category>Lecturer: Dennis Pepple</cp:category>
</cp:coreProperties>
</file>