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70AD3" w14:textId="2BBDB318" w:rsidR="00B3051F" w:rsidRDefault="00B3051F">
      <w:pPr>
        <w:rPr>
          <w:b/>
          <w:bCs/>
          <w:u w:val="single"/>
        </w:rPr>
      </w:pPr>
      <w:r w:rsidRPr="00B3051F">
        <w:rPr>
          <w:b/>
          <w:bCs/>
          <w:u w:val="single"/>
        </w:rPr>
        <w:t>Health and Safety Considerations for the Retrofit of Croft Street Block 2, Swansea</w:t>
      </w:r>
    </w:p>
    <w:p w14:paraId="51C18466" w14:textId="77777777" w:rsidR="00B3051F" w:rsidRDefault="00B3051F">
      <w:pPr>
        <w:rPr>
          <w:b/>
          <w:bCs/>
          <w:u w:val="single"/>
        </w:rPr>
      </w:pPr>
    </w:p>
    <w:p w14:paraId="2D621AA8" w14:textId="5D6F174B" w:rsidR="00B3051F" w:rsidRDefault="00B3051F">
      <w:pPr>
        <w:rPr>
          <w:b/>
          <w:bCs/>
          <w:u w:val="single"/>
        </w:rPr>
      </w:pPr>
      <w:r>
        <w:rPr>
          <w:b/>
          <w:bCs/>
          <w:u w:val="single"/>
        </w:rPr>
        <w:t>Introduction</w:t>
      </w:r>
    </w:p>
    <w:p w14:paraId="13FD9329" w14:textId="59BF1055" w:rsidR="00B3051F" w:rsidRDefault="00B3051F">
      <w:r>
        <w:t>The construction industry is widely recognised as one of the most hazardous sectors in the United Kingdom due to the high-risk activities regularly undertaken on construction sites. Projects involving refurbishment and retrofit of occupied high-rise residential buildings present addition challenges because contractors must protect not only workers but also residents and members of the public. The proposed refurbishment of Croft Street Block 2 in Swansea is a significant example of this type of project. Planned works include the installation of new kitchens and bathrooms, the fitting of fire sprinkler systems, and the addition of weather-proof external cladding to improve energy efficiency and living conditions within the building. Although these improvements will modernise the tower block and increase resident safety in the long term, the construction process itself introduces a range of serious health and safety risks that must be effectively managed.</w:t>
      </w:r>
    </w:p>
    <w:p w14:paraId="3723A027" w14:textId="64ED5E0B" w:rsidR="00B3051F" w:rsidRDefault="00B3051F">
      <w:r>
        <w:t>This report examines the relevance of the Building Safety Act 2022 and the proposed Building Safety (Wales) Bill to the Croft Street Block 2 project and explains how these regulations are likely to influence the management and delivery of the works. The report also evaluates the most important health and safety legislation applicable to the project and explains how compliance can be achieved from a managerial perspective through effective procedures, training, supervision and risk management. Finally, the report discusses how the Construction (Design and Management) Regulations 2015 (CDM 2015) would apply to the refurbishment works and how compliance with these regulations can reduce risk and improve overall safety performance throughout the project lifecycle.</w:t>
      </w:r>
    </w:p>
    <w:p w14:paraId="38516EE9" w14:textId="77777777" w:rsidR="00B3051F" w:rsidRDefault="00B3051F"/>
    <w:p w14:paraId="79C58F0B" w14:textId="776C6554" w:rsidR="00B3051F" w:rsidRDefault="00B3051F">
      <w:pPr>
        <w:rPr>
          <w:b/>
          <w:bCs/>
          <w:u w:val="single"/>
        </w:rPr>
      </w:pPr>
      <w:r w:rsidRPr="00B3051F">
        <w:rPr>
          <w:b/>
          <w:bCs/>
          <w:u w:val="single"/>
        </w:rPr>
        <w:t>The Relevance of the Building Safety Act and Building Safety (Wales) Bill</w:t>
      </w:r>
    </w:p>
    <w:p w14:paraId="626791FD" w14:textId="07693BF6" w:rsidR="00B3051F" w:rsidRDefault="009254DE">
      <w:r>
        <w:t>The Building Safety Act 2022 was introduced by the UK Government following the Grenfell Tower disaster in 2017, which exposed serious failings in the management, regulation, and construction of high-rise residential buildings. The Act represents on of the most significant reforms to building safety legislation in recent decades and is directly relevant to the proposed retrofit works at Croft Street Block 2 as the building is a high-rise residential structure. The legislation applies particularly to higher-risk buildings, which are generally defined as residential buildings over 18 metres in height or those containing at least seven storeys. Since the project involves the replacement of external cladding and the installation of fire safety systems, the requirements of the Act will strongly influence how the work is planned, managed and monitored.</w:t>
      </w:r>
    </w:p>
    <w:p w14:paraId="326CC397" w14:textId="24D7C8D8" w:rsidR="00247923" w:rsidRDefault="00247923">
      <w:r>
        <w:lastRenderedPageBreak/>
        <w:t>One of the key impacts of the Building Safety Act is the introduction of stronger duty holder responsibilities. Under the legislation, all parties involved in the design and construction process must clearly understand and fulfil their responsibilities for ensuring building safety. These duty holders include the client, principal designer, principal contractor, designers and contractors. For the Croft Street Block 2 project, we would need to ensure that only competent and appropriately qualified individuals and organisations are appointed to carry out the work. Competence is now a major focus within the construction industry, particularly on high-rise residential projects. Contractors involved in specialist work such as scaffolding, sprinkler installation, electrical works, or cladding systems would need to demonstrate suitable qualifications, training, and previous experience before being allowed to work on site.</w:t>
      </w:r>
    </w:p>
    <w:p w14:paraId="0ECB7080" w14:textId="102C803D" w:rsidR="00F95CF4" w:rsidRDefault="00F95CF4">
      <w:r>
        <w:t>Another major feature of the Building Safety Act is the requirement for a “golden thread” of information. This refers to the creation and maintenance of accurate digital records throughout the lifecycle of the building. For this project, detailed information relating to fire safety systems, cladding materials, inspection reports, risk assessments, design changes and maintenance requirements would need to be recorded and retained. The purpose of the golden thread is to ensure that those responsible for the building in the future fully understand the safety systems and structural elements that have been installed. Maintaining accurate records also improves accountability and allows regulators to inspect evidence of compliance where necessary.</w:t>
      </w:r>
    </w:p>
    <w:p w14:paraId="0AFA944D" w14:textId="6D177781" w:rsidR="00F2273A" w:rsidRDefault="00F2273A">
      <w:r>
        <w:t xml:space="preserve">Fire safety is another critical aspect of the Building Safety Act that is highly relevant to the project. The Grenfell Tower tragedy demonstrated the catastrophic consequences of inadequate fire safety measures and the use of unsafe cladding materials. As a result, the refurbishments work for this project would need to ensure that all external cladding systems comply with modern fire safety standards. Materials used on the exterior of the building must be non-combustible and installed correctly to prevent the spread of fire. In addition, the installation of sprinkler systems would need to be carefully coordinated and tested to ensure they function effectively in the event of an emergency. Temporary fire safety requirements would also be required during construction because parts of the building may remain occupied while work is ongoing. This means that escape routes must </w:t>
      </w:r>
      <w:r w:rsidR="00DD6000">
        <w:t>always remain accessible</w:t>
      </w:r>
      <w:r>
        <w:t>, emergency lighting must be maintained, and fire detection systems may need temporary adaptations during specific phases of work.</w:t>
      </w:r>
    </w:p>
    <w:p w14:paraId="2F7ABF1E" w14:textId="6C407F35" w:rsidR="00DD6000" w:rsidRDefault="00DD6000">
      <w:r>
        <w:t xml:space="preserve">The Building Safety Act also places greater emphasis on protecting residents and involving them in building safety decisions. Since Croft Street Block 2 is an occupied residential tower block, residents may continue living in the building while refurbishment work takes place. This creates additional risks associated with noise, dust, restricted areas, falling materials and fire hazards. Effective communication with residents is therefore essential. Contractors and managers would need to inform occupants about upcoming work, temporary disruptions, emergency procedures and </w:t>
      </w:r>
      <w:r>
        <w:lastRenderedPageBreak/>
        <w:t>any changes to access arrangements. Vulnerable residents, such as elderly individuals or those with mobility difficulties would also require additional consideration to ensure their safety during the refurbishment process.</w:t>
      </w:r>
    </w:p>
    <w:p w14:paraId="665D527F" w14:textId="4BC5A279" w:rsidR="00DD6000" w:rsidRDefault="00CE5B77">
      <w:r>
        <w:t>The proposed Building Safety (Wales) Bill is also likely to influence the project as the works are located within Wales. Although the legislation is still developing, it is expected to introduce similar forms of those contained within the Building Safety Act while focusing specifically on Welsh housing and safety priorities. The Welsh Government has shown a strong commitment to improving fire safety and accountability in high-rise residential buildings, particularly after concerns regarding cladding safety across Wales. The installation of fire sprinklers at Croft Street Block 2 reflects this focus on improving resident protection. The Welsh legislation is also expected to reinforce the need for robust management systems, competent contractors, and effective communication with residents throughout the construction process.</w:t>
      </w:r>
    </w:p>
    <w:p w14:paraId="6647775E" w14:textId="77777777" w:rsidR="004D6363" w:rsidRDefault="004D6363"/>
    <w:p w14:paraId="4F360905" w14:textId="46B26F04" w:rsidR="004D6363" w:rsidRDefault="004D6363">
      <w:pPr>
        <w:rPr>
          <w:b/>
          <w:bCs/>
          <w:u w:val="single"/>
        </w:rPr>
      </w:pPr>
      <w:r w:rsidRPr="004D6363">
        <w:rPr>
          <w:b/>
          <w:bCs/>
          <w:u w:val="single"/>
        </w:rPr>
        <w:t>Health and Safety Legislation Applicable to the Project</w:t>
      </w:r>
    </w:p>
    <w:p w14:paraId="7D275C45" w14:textId="1DEA4FE3" w:rsidR="004D6363" w:rsidRDefault="004D6363">
      <w:r>
        <w:t>The Health and Safety at Work etc. Act 1974 is the primary piece of health and safety legislation governing workplaces within the United Kingdom. The Act places a legal duty on employers to protect the health, safety, and welfare of employees and anyone else who may be affected by construction activities. On this project, this duty extends not only to workers but also to residents, visitors, subcontractors, and members of the public. Mangers on the project would therefore need to ensure that work activities are properly planned, supervised, and carried out safely.</w:t>
      </w:r>
    </w:p>
    <w:p w14:paraId="543CB59E" w14:textId="55FF6161" w:rsidR="004D6363" w:rsidRDefault="004D6363">
      <w:r>
        <w:t>One of the most important managerial responsibilities under the Act is the provision of safe systems of work. This involves identifying hazards, assessing risks, and im</w:t>
      </w:r>
      <w:r w:rsidR="00815F9D">
        <w:t>plementing control measures to reduce the likelihood of accidents or ill health. Site managers would need to organise regular site inspections, safety audits, and toolbox talks to monitor standards and reinforce safe working practices. All workers should receive site-specific induction training before starting work so they understand the hazards associated with the project and the procedures that must be followed.</w:t>
      </w:r>
    </w:p>
    <w:p w14:paraId="77088734" w14:textId="0BE66C93" w:rsidR="00BC1F04" w:rsidRDefault="00BC1F04">
      <w:r>
        <w:t>The Management of Health and Safety at Work Regulations 1999 build upon the requirements of the Health and Safety at Work Act by requiring employers to carry out suitable and sufficient risk assessments. Due to the complexity of the refurbishments works, detailed risk assessments would be required for activities such as working at height, electrical installation, manual handling, hot works, and resident interaction. Managers would need to ensure that method statements are prepared for higher-risk activities, so workers clearly understand the safety way to carry out their tasks.</w:t>
      </w:r>
    </w:p>
    <w:p w14:paraId="54D84712" w14:textId="3A430AA2" w:rsidR="00766546" w:rsidRDefault="00766546">
      <w:r>
        <w:lastRenderedPageBreak/>
        <w:t>Work at height is one of the most significant hazards associated with the project as external cladding will need to be installed on a high-rise structure. The Work at Height Regulations 2005 is there for highly relevant. Falls from heigh remain one of the leading causes of fatalities in the construction industry, meaning strict controls must be implemented. Scaffolding used on the project would need to be erected by competent and qualified scaffolders holding CISRS certification. Once erected, the scaffolding must be inspected before use, every seven days thereafter, and after severe weather conditions such as strong winds. Inspection records should be retained on site for review by managers and regulators.</w:t>
      </w:r>
      <w:r w:rsidR="00FF1541">
        <w:t xml:space="preserve"> </w:t>
      </w:r>
      <w:r>
        <w:t xml:space="preserve">Managers would also need to ensure that suitable edge protection, guardrails, toe boards, and fall prevention systems are installed. Workers using safety harnesses would require proper training in both harness use and emergency rescue procedures. </w:t>
      </w:r>
    </w:p>
    <w:p w14:paraId="7414A8CB" w14:textId="33E6378B" w:rsidR="00836273" w:rsidRDefault="00836273">
      <w:r>
        <w:t xml:space="preserve">Another major concern on refurbishment projects involving older buildings is asbestos exposure. The Control of Asbestos Regulations 2012 require employers to identify and manage asbestos-containing materials before construction work begins. Older residential buildings frequently contain asbestos within insulation materials, </w:t>
      </w:r>
      <w:r w:rsidR="008A2E45">
        <w:t>ceiling</w:t>
      </w:r>
      <w:r>
        <w:t xml:space="preserve"> coatings, floor tiles, pipe lagging or service ducts.</w:t>
      </w:r>
      <w:r w:rsidR="008A2E45">
        <w:t xml:space="preserve"> Before any intrusive work takes place at Croft Street Block 2, a refurbishment and demolition asbestos survey most be completed by a competent surveyor. If asbestos is identified, licensed asbestos contractors may be required to remove or encapsulate the materials safely.</w:t>
      </w:r>
    </w:p>
    <w:p w14:paraId="34EA151B" w14:textId="55D8FB6E" w:rsidR="008A2E45" w:rsidRDefault="008A2E45">
      <w:r>
        <w:t>Managers must ensure that all workers receive asbestos awareness training, so they understand how to recognise potential asbestos-containing materials and what actions to take if they encounter them. Areas where asbestos work is being undertaken should be isolated to prevent exposure to workers and residents. Failure to manage asbestos properly can lead to severe long-term illnesses such as asbestosis and mesothelioma.</w:t>
      </w:r>
    </w:p>
    <w:p w14:paraId="2CEF8037" w14:textId="60BC5AF7" w:rsidR="008A2E45" w:rsidRDefault="008A2E45">
      <w:r>
        <w:t>The control of Substances Hazardous to Health Regulations 2002 (COSHH) are also important because construction workers may be exposed to hazardous substances such as silica dust, adhesives, paints, sealants, and cleaning chemicals. Dust generated during drilling, cutting, or demolition work can cause serious respiratory illnesses if inhaled over prolonged periods. Managers would therefore need to carry out COSHH assessments and implement suitable control measures such as dust extraction systems, wet cutting techniques, and respiratory protective equipment. Materials should also be stored safely to reduce risks associated with fire or chemical exposure.</w:t>
      </w:r>
    </w:p>
    <w:p w14:paraId="74C15A1F" w14:textId="0A3D6C57" w:rsidR="00FC2679" w:rsidRDefault="00FC2679">
      <w:r>
        <w:t xml:space="preserve">Manual handling is another significant hazard because workers will be required to move kitchen units, bathroom fittings, cladding panels, and construction throughout the project. The Manual Handling Operations Regulations 1992 require employers to avoid hazardous manual handling wherever reasonably practicable. Managers should therefore introduce mechanical lifting aids, plan deliveries carefully, and provide </w:t>
      </w:r>
      <w:r>
        <w:lastRenderedPageBreak/>
        <w:t>manual handling training to workers. Team lifting procedures may also be necessary when handling large or award materials.</w:t>
      </w:r>
    </w:p>
    <w:p w14:paraId="3DAF5DD1" w14:textId="3F2E6FE3" w:rsidR="00FC2679" w:rsidRDefault="00FC2679">
      <w:r>
        <w:t>Furthermore, The Provision and Use of Work Equipment Regulations 1998 (PUWER) apply to all tools and equipment used on the project. Power tools, lifting equipment, access platforms, and electrical systems must be maintained in safe condition and inspected regularly. Defective equipment should be removed from use immediately. Workers using specialist equipment must also receive adequate training and supervision to ensure safe operation.</w:t>
      </w:r>
    </w:p>
    <w:p w14:paraId="24E2CA5B" w14:textId="75590333" w:rsidR="00FC2679" w:rsidRDefault="00FC2679">
      <w:r>
        <w:t>Finally, the Workplace (Health, Safety and Welfare) Regulations 1992 require suitable welfare facilities to be provide on-site. Construction workers must have access to toilets, washing facilities, drinking water, rest areas and drying rooms. Because the building will remain occupied during refurbishment, welfare facilities for workers should be separated from resident facilities wherever possible.</w:t>
      </w:r>
    </w:p>
    <w:p w14:paraId="1800B758" w14:textId="77777777" w:rsidR="00FC2679" w:rsidRDefault="00FC2679"/>
    <w:p w14:paraId="3796A269" w14:textId="238FF5D7" w:rsidR="00FC2679" w:rsidRDefault="00FC2679">
      <w:pPr>
        <w:rPr>
          <w:b/>
          <w:bCs/>
          <w:u w:val="single"/>
        </w:rPr>
      </w:pPr>
      <w:r w:rsidRPr="00951D59">
        <w:rPr>
          <w:b/>
          <w:bCs/>
          <w:u w:val="single"/>
        </w:rPr>
        <w:t>Compliance with CDM</w:t>
      </w:r>
      <w:r w:rsidR="00951D59" w:rsidRPr="00951D59">
        <w:rPr>
          <w:b/>
          <w:bCs/>
          <w:u w:val="single"/>
        </w:rPr>
        <w:t xml:space="preserve"> Regulations 2015</w:t>
      </w:r>
    </w:p>
    <w:p w14:paraId="272FFFEB" w14:textId="5BFA1858" w:rsidR="00951D59" w:rsidRDefault="00F4126E">
      <w:r>
        <w:t>The Construction (Design and Management) Regulations 2015vare particularly important for the Croft Street Block 2 project as they establish a framework for managing health and safety throughout the construction process. CDM 2015 applies to all construction projects involving more than one contractor and places duties on clients, designers, contractors and workers to cooperate and coordinate effectively.</w:t>
      </w:r>
    </w:p>
    <w:p w14:paraId="185BC236" w14:textId="7479195C" w:rsidR="00F4126E" w:rsidRDefault="00F4126E">
      <w:r>
        <w:t>The client has a legal responsibility to ensure that sufficient time and resources are allocated to the project and that competent are appointed. The client must also provide pre-construction information to contractors and designers. For this project, relevant information would include asbestos surveys, fire safety information, building drawings, structural details, and information relating to resident occupancy.</w:t>
      </w:r>
    </w:p>
    <w:p w14:paraId="6C2055D2" w14:textId="67C43DB1" w:rsidR="00F4126E" w:rsidRPr="00F4126E" w:rsidRDefault="00F4126E">
      <w:r>
        <w:t>The principal designer is responsible for managing health and safety during the design stage. One of the main objectives of CDM is to eliminate hazards through better design wherever possible. For example, designers may specify prefabricated cladding systems that reduce the amount of time workers spend at heigh. Designers should also consider how future maintenance activities can be carried out safely once the refurbishment has been completed.</w:t>
      </w:r>
    </w:p>
    <w:p w14:paraId="4460F495" w14:textId="69B2CBD7" w:rsidR="00BC1F04" w:rsidRDefault="00F4126E">
      <w:r>
        <w:t xml:space="preserve">The principal contractor is responsible for managing health and safety during the construction phase. A construction phase plan must be prepared before work begins and should include risk assessments, emergency procedures, site rules, welfare arrangements and fire safety measure. Since the project involves multiple contractors working simultaneously, effective coordination is essential. </w:t>
      </w:r>
    </w:p>
    <w:p w14:paraId="1FC0A9C8" w14:textId="7BC66738" w:rsidR="00F4126E" w:rsidRDefault="00F4126E">
      <w:r>
        <w:lastRenderedPageBreak/>
        <w:t xml:space="preserve">Protecting residents throughout the construction process is one of the most significant challenges associated with the project. Temporary barriers and secure hoarding should be used to separate work areas from occupied sections of the building. Dust suppression measures and noise management procedures should also be implemented to minimise disruption and protect health. </w:t>
      </w:r>
    </w:p>
    <w:p w14:paraId="212F1892" w14:textId="250449C8" w:rsidR="00F4126E" w:rsidRDefault="00F4126E">
      <w:r>
        <w:t xml:space="preserve">Worker consultation and training are also key requirements of CDM 2015. Toolbox talks, safety briefings and near-miss reporting systems and help improve communication and encourage workers to participate in maintaining a safe working environment. </w:t>
      </w:r>
    </w:p>
    <w:p w14:paraId="2B9726ED" w14:textId="77777777" w:rsidR="00FF1541" w:rsidRDefault="00FF1541"/>
    <w:p w14:paraId="50CA9035" w14:textId="2C41A235" w:rsidR="00FF1541" w:rsidRPr="00FF1541" w:rsidRDefault="00FF1541">
      <w:pPr>
        <w:rPr>
          <w:b/>
          <w:bCs/>
          <w:u w:val="single"/>
        </w:rPr>
      </w:pPr>
      <w:r w:rsidRPr="00FF1541">
        <w:rPr>
          <w:b/>
          <w:bCs/>
          <w:u w:val="single"/>
        </w:rPr>
        <w:t>Conclusion</w:t>
      </w:r>
    </w:p>
    <w:p w14:paraId="0588A81F" w14:textId="07D2CB1B" w:rsidR="00F2273A" w:rsidRDefault="00FF1541">
      <w:r>
        <w:t>In conclusion, the retrofit of Croft Street Block 2 presents a wide range of complex health and safety challenges due to the nature of the refurbishment work and the continued occupation of the building during construction. The Building Safety Act 2022 and the proposed Building Safety (Wales) Bill are highly relevant as well as many different health and safety regulations which I have previously mentioned.</w:t>
      </w:r>
    </w:p>
    <w:p w14:paraId="08B410DF" w14:textId="4E0EFF85" w:rsidR="00FF1541" w:rsidRDefault="00FF1541">
      <w:r>
        <w:t>Effective planning, supervision, communication, and training will be critical to reducing risks throughout the project. CDM Regulations 2015 provide a structured framework for achieving this by encouraging cooperation, safe design, and proactive management of hazards. Through competent management and careful implementation of safety procedures, the refurbishment of Croft Street Block 2 can be completed safely while improving the long-term quality and safety of the residential building.</w:t>
      </w:r>
    </w:p>
    <w:p w14:paraId="71A62456" w14:textId="77777777" w:rsidR="00FF1541" w:rsidRDefault="00FF1541"/>
    <w:p w14:paraId="0B09E47E" w14:textId="77777777" w:rsidR="00FF1541" w:rsidRDefault="00FF1541"/>
    <w:p w14:paraId="2F1E038A" w14:textId="77777777" w:rsidR="00FF1541" w:rsidRDefault="00FF1541">
      <w:pPr>
        <w:rPr>
          <w:b/>
          <w:bCs/>
          <w:u w:val="single"/>
        </w:rPr>
      </w:pPr>
    </w:p>
    <w:p w14:paraId="5376B089" w14:textId="77777777" w:rsidR="00FF1541" w:rsidRDefault="00FF1541">
      <w:pPr>
        <w:rPr>
          <w:b/>
          <w:bCs/>
          <w:u w:val="single"/>
        </w:rPr>
      </w:pPr>
    </w:p>
    <w:p w14:paraId="629F8148" w14:textId="77777777" w:rsidR="00FF1541" w:rsidRDefault="00FF1541">
      <w:pPr>
        <w:rPr>
          <w:b/>
          <w:bCs/>
          <w:u w:val="single"/>
        </w:rPr>
      </w:pPr>
    </w:p>
    <w:p w14:paraId="68E7009A" w14:textId="77777777" w:rsidR="00FF1541" w:rsidRDefault="00FF1541">
      <w:pPr>
        <w:rPr>
          <w:b/>
          <w:bCs/>
          <w:u w:val="single"/>
        </w:rPr>
      </w:pPr>
    </w:p>
    <w:p w14:paraId="3A9326D5" w14:textId="77777777" w:rsidR="00FF1541" w:rsidRDefault="00FF1541">
      <w:pPr>
        <w:rPr>
          <w:b/>
          <w:bCs/>
          <w:u w:val="single"/>
        </w:rPr>
      </w:pPr>
    </w:p>
    <w:p w14:paraId="1705ECD3" w14:textId="77777777" w:rsidR="00FF1541" w:rsidRDefault="00FF1541">
      <w:pPr>
        <w:rPr>
          <w:b/>
          <w:bCs/>
          <w:u w:val="single"/>
        </w:rPr>
      </w:pPr>
    </w:p>
    <w:p w14:paraId="15061BFE" w14:textId="77777777" w:rsidR="00FF1541" w:rsidRDefault="00FF1541">
      <w:pPr>
        <w:rPr>
          <w:b/>
          <w:bCs/>
          <w:u w:val="single"/>
        </w:rPr>
      </w:pPr>
    </w:p>
    <w:p w14:paraId="2DD3A699" w14:textId="77777777" w:rsidR="00FF1541" w:rsidRDefault="00FF1541">
      <w:pPr>
        <w:rPr>
          <w:b/>
          <w:bCs/>
          <w:u w:val="single"/>
        </w:rPr>
      </w:pPr>
    </w:p>
    <w:p w14:paraId="5945913D" w14:textId="77777777" w:rsidR="00FF1541" w:rsidRDefault="00FF1541">
      <w:pPr>
        <w:rPr>
          <w:b/>
          <w:bCs/>
          <w:u w:val="single"/>
        </w:rPr>
      </w:pPr>
    </w:p>
    <w:p w14:paraId="5A2A5C7F" w14:textId="77777777" w:rsidR="00FF1541" w:rsidRDefault="00FF1541">
      <w:pPr>
        <w:rPr>
          <w:b/>
          <w:bCs/>
          <w:u w:val="single"/>
        </w:rPr>
      </w:pPr>
    </w:p>
    <w:p w14:paraId="3A5DE711" w14:textId="5CE1B6B0" w:rsidR="00FF1541" w:rsidRDefault="00FF1541">
      <w:pPr>
        <w:rPr>
          <w:b/>
          <w:bCs/>
          <w:u w:val="single"/>
        </w:rPr>
      </w:pPr>
      <w:r w:rsidRPr="00FF1541">
        <w:rPr>
          <w:b/>
          <w:bCs/>
          <w:u w:val="single"/>
        </w:rPr>
        <w:lastRenderedPageBreak/>
        <w:t>Glossary of Terms, Acronyms and Abbreviations</w:t>
      </w:r>
    </w:p>
    <w:p w14:paraId="4300F34F" w14:textId="297AC0DA" w:rsidR="00FF1541" w:rsidRDefault="00FF1541" w:rsidP="00FF1541">
      <w:pPr>
        <w:pStyle w:val="ListParagraph"/>
        <w:numPr>
          <w:ilvl w:val="0"/>
          <w:numId w:val="1"/>
        </w:numPr>
      </w:pPr>
      <w:r>
        <w:t>CDM – Construction (Design and Management) Regulations 2015</w:t>
      </w:r>
    </w:p>
    <w:p w14:paraId="2C486986" w14:textId="77777777" w:rsidR="00FF1541" w:rsidRDefault="00FF1541" w:rsidP="00FF1541">
      <w:pPr>
        <w:pStyle w:val="ListParagraph"/>
      </w:pPr>
    </w:p>
    <w:p w14:paraId="6694B77C" w14:textId="348B4707" w:rsidR="00FF1541" w:rsidRDefault="00FF1541" w:rsidP="00FF1541">
      <w:pPr>
        <w:pStyle w:val="ListParagraph"/>
        <w:numPr>
          <w:ilvl w:val="0"/>
          <w:numId w:val="1"/>
        </w:numPr>
      </w:pPr>
      <w:r>
        <w:t>COSHH – Control of Substances Harzardous to Health</w:t>
      </w:r>
    </w:p>
    <w:p w14:paraId="423BBD21" w14:textId="77777777" w:rsidR="00FF1541" w:rsidRDefault="00FF1541" w:rsidP="00FF1541">
      <w:pPr>
        <w:pStyle w:val="ListParagraph"/>
      </w:pPr>
    </w:p>
    <w:p w14:paraId="0C37581B" w14:textId="41C1FD9B" w:rsidR="00FF1541" w:rsidRDefault="00FF1541" w:rsidP="00FF1541">
      <w:pPr>
        <w:pStyle w:val="ListParagraph"/>
        <w:numPr>
          <w:ilvl w:val="0"/>
          <w:numId w:val="1"/>
        </w:numPr>
      </w:pPr>
      <w:r>
        <w:t xml:space="preserve">CISRS – Construction Industry Scaffolders </w:t>
      </w:r>
      <w:proofErr w:type="gramStart"/>
      <w:r>
        <w:t>record</w:t>
      </w:r>
      <w:proofErr w:type="gramEnd"/>
      <w:r>
        <w:t xml:space="preserve"> Scheme</w:t>
      </w:r>
    </w:p>
    <w:p w14:paraId="0F4789EF" w14:textId="77777777" w:rsidR="00FF1541" w:rsidRDefault="00FF1541" w:rsidP="00FF1541">
      <w:pPr>
        <w:pStyle w:val="ListParagraph"/>
      </w:pPr>
    </w:p>
    <w:p w14:paraId="6E38ACBC" w14:textId="46852E65" w:rsidR="00FF1541" w:rsidRDefault="00FF1541" w:rsidP="00FF1541">
      <w:pPr>
        <w:pStyle w:val="ListParagraph"/>
        <w:numPr>
          <w:ilvl w:val="0"/>
          <w:numId w:val="1"/>
        </w:numPr>
      </w:pPr>
      <w:r>
        <w:t>HSE – Health and Safety Executive</w:t>
      </w:r>
    </w:p>
    <w:p w14:paraId="24D6C96C" w14:textId="77777777" w:rsidR="00FF1541" w:rsidRDefault="00FF1541" w:rsidP="00FF1541">
      <w:pPr>
        <w:pStyle w:val="ListParagraph"/>
      </w:pPr>
    </w:p>
    <w:p w14:paraId="1CCDF904" w14:textId="506669EA" w:rsidR="00FF1541" w:rsidRDefault="00FF1541" w:rsidP="00FF1541">
      <w:pPr>
        <w:pStyle w:val="ListParagraph"/>
        <w:numPr>
          <w:ilvl w:val="0"/>
          <w:numId w:val="1"/>
        </w:numPr>
      </w:pPr>
      <w:r>
        <w:t>PUWER – Provision and Use of Work Equipment Regulations</w:t>
      </w:r>
    </w:p>
    <w:p w14:paraId="283BA53B" w14:textId="77777777" w:rsidR="00FF1541" w:rsidRDefault="00FF1541" w:rsidP="00FF1541">
      <w:pPr>
        <w:pStyle w:val="ListParagraph"/>
      </w:pPr>
    </w:p>
    <w:p w14:paraId="2DEAEABA" w14:textId="18A5DB64" w:rsidR="00FF1541" w:rsidRDefault="00FF1541" w:rsidP="00FF1541">
      <w:pPr>
        <w:pStyle w:val="ListParagraph"/>
        <w:numPr>
          <w:ilvl w:val="0"/>
          <w:numId w:val="1"/>
        </w:numPr>
      </w:pPr>
      <w:r>
        <w:t>PAT – Portable Appliance Testing</w:t>
      </w:r>
    </w:p>
    <w:p w14:paraId="199B9EC2" w14:textId="77777777" w:rsidR="00FF1541" w:rsidRDefault="00FF1541" w:rsidP="00FF1541">
      <w:pPr>
        <w:pStyle w:val="ListParagraph"/>
      </w:pPr>
    </w:p>
    <w:p w14:paraId="45CB0C17" w14:textId="79209E26" w:rsidR="00FF1541" w:rsidRDefault="00FF1541" w:rsidP="00FF1541">
      <w:pPr>
        <w:pStyle w:val="ListParagraph"/>
        <w:numPr>
          <w:ilvl w:val="0"/>
          <w:numId w:val="1"/>
        </w:numPr>
      </w:pPr>
      <w:r>
        <w:t>Principal Designer – Duty holder responsible for managing health and safety during design</w:t>
      </w:r>
    </w:p>
    <w:p w14:paraId="009F3544" w14:textId="77777777" w:rsidR="00FF1541" w:rsidRDefault="00FF1541" w:rsidP="00FF1541">
      <w:pPr>
        <w:pStyle w:val="ListParagraph"/>
      </w:pPr>
    </w:p>
    <w:p w14:paraId="099051CF" w14:textId="722B1063" w:rsidR="00FF1541" w:rsidRDefault="00FF1541" w:rsidP="00FF1541">
      <w:pPr>
        <w:pStyle w:val="ListParagraph"/>
        <w:numPr>
          <w:ilvl w:val="0"/>
          <w:numId w:val="1"/>
        </w:numPr>
      </w:pPr>
      <w:r>
        <w:t>Principal Contractor – Contractor responsible for managing health and safety during construction</w:t>
      </w:r>
    </w:p>
    <w:p w14:paraId="21C5B566" w14:textId="77777777" w:rsidR="00FF1541" w:rsidRDefault="00FF1541" w:rsidP="00FF1541">
      <w:pPr>
        <w:pStyle w:val="ListParagraph"/>
      </w:pPr>
    </w:p>
    <w:p w14:paraId="114867E0" w14:textId="6442CFCE" w:rsidR="00FF1541" w:rsidRDefault="00FF1541" w:rsidP="00FF1541">
      <w:pPr>
        <w:pStyle w:val="ListParagraph"/>
        <w:numPr>
          <w:ilvl w:val="0"/>
          <w:numId w:val="1"/>
        </w:numPr>
      </w:pPr>
      <w:r>
        <w:t>Golden Thread – Digital record of building safety information</w:t>
      </w:r>
    </w:p>
    <w:p w14:paraId="4E306CB0" w14:textId="77777777" w:rsidR="00FF1541" w:rsidRDefault="00FF1541" w:rsidP="00FF1541">
      <w:pPr>
        <w:pStyle w:val="ListParagraph"/>
      </w:pPr>
    </w:p>
    <w:p w14:paraId="44CB8169" w14:textId="48635F10" w:rsidR="00FF1541" w:rsidRDefault="00FF1541" w:rsidP="00FF1541">
      <w:pPr>
        <w:pStyle w:val="ListParagraph"/>
        <w:numPr>
          <w:ilvl w:val="0"/>
          <w:numId w:val="1"/>
        </w:numPr>
      </w:pPr>
      <w:r>
        <w:t>Higher-Risk Building – Residential building over 18 metres or seven storeys</w:t>
      </w:r>
    </w:p>
    <w:p w14:paraId="5496F3ED" w14:textId="77777777" w:rsidR="00FF1541" w:rsidRDefault="00FF1541" w:rsidP="00FF1541">
      <w:pPr>
        <w:pStyle w:val="ListParagraph"/>
      </w:pPr>
    </w:p>
    <w:p w14:paraId="4990D70D" w14:textId="7E4DD945" w:rsidR="00FF1541" w:rsidRDefault="00FF1541" w:rsidP="00FF1541">
      <w:pPr>
        <w:pStyle w:val="ListParagraph"/>
        <w:numPr>
          <w:ilvl w:val="0"/>
          <w:numId w:val="1"/>
        </w:numPr>
      </w:pPr>
      <w:r>
        <w:t>Toolbox Talk – Informal safety briefing delivered to workers</w:t>
      </w:r>
    </w:p>
    <w:p w14:paraId="2B9E1FFA" w14:textId="77777777" w:rsidR="00FF1541" w:rsidRDefault="00FF1541" w:rsidP="00FF1541">
      <w:pPr>
        <w:pStyle w:val="ListParagraph"/>
      </w:pPr>
    </w:p>
    <w:p w14:paraId="7257C143" w14:textId="6D0DA80C" w:rsidR="00FF1541" w:rsidRPr="00FF1541" w:rsidRDefault="00FF1541" w:rsidP="00FF1541">
      <w:pPr>
        <w:pStyle w:val="ListParagraph"/>
        <w:numPr>
          <w:ilvl w:val="0"/>
          <w:numId w:val="1"/>
        </w:numPr>
      </w:pPr>
      <w:r>
        <w:t>Fire Compartmentation – Fire-resistant separation designed to prevent spread of fire</w:t>
      </w:r>
    </w:p>
    <w:p w14:paraId="5E4F980E" w14:textId="77777777" w:rsidR="009254DE" w:rsidRPr="009254DE" w:rsidRDefault="009254DE"/>
    <w:sectPr w:rsidR="009254DE" w:rsidRPr="00925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32221"/>
    <w:multiLevelType w:val="hybridMultilevel"/>
    <w:tmpl w:val="1A1E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993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51F"/>
    <w:rsid w:val="00247923"/>
    <w:rsid w:val="004D6363"/>
    <w:rsid w:val="0060180B"/>
    <w:rsid w:val="00766546"/>
    <w:rsid w:val="00815F9D"/>
    <w:rsid w:val="00836273"/>
    <w:rsid w:val="008A2E45"/>
    <w:rsid w:val="009254DE"/>
    <w:rsid w:val="00951D59"/>
    <w:rsid w:val="00B3051F"/>
    <w:rsid w:val="00B4255A"/>
    <w:rsid w:val="00BC1F04"/>
    <w:rsid w:val="00CE5B77"/>
    <w:rsid w:val="00DD6000"/>
    <w:rsid w:val="00F2273A"/>
    <w:rsid w:val="00F4126E"/>
    <w:rsid w:val="00F95CF4"/>
    <w:rsid w:val="00FC2679"/>
    <w:rsid w:val="00FF1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4295"/>
  <w15:chartTrackingRefBased/>
  <w15:docId w15:val="{3AA34D95-70EB-4AA0-887E-EBD1AEAD9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5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5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5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5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5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5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5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5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5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5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5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5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5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5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5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5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5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51F"/>
    <w:rPr>
      <w:rFonts w:eastAsiaTheme="majorEastAsia" w:cstheme="majorBidi"/>
      <w:color w:val="272727" w:themeColor="text1" w:themeTint="D8"/>
    </w:rPr>
  </w:style>
  <w:style w:type="paragraph" w:styleId="Title">
    <w:name w:val="Title"/>
    <w:basedOn w:val="Normal"/>
    <w:next w:val="Normal"/>
    <w:link w:val="TitleChar"/>
    <w:uiPriority w:val="10"/>
    <w:qFormat/>
    <w:rsid w:val="00B30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5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5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5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51F"/>
    <w:pPr>
      <w:spacing w:before="160"/>
      <w:jc w:val="center"/>
    </w:pPr>
    <w:rPr>
      <w:i/>
      <w:iCs/>
      <w:color w:val="404040" w:themeColor="text1" w:themeTint="BF"/>
    </w:rPr>
  </w:style>
  <w:style w:type="character" w:customStyle="1" w:styleId="QuoteChar">
    <w:name w:val="Quote Char"/>
    <w:basedOn w:val="DefaultParagraphFont"/>
    <w:link w:val="Quote"/>
    <w:uiPriority w:val="29"/>
    <w:rsid w:val="00B3051F"/>
    <w:rPr>
      <w:i/>
      <w:iCs/>
      <w:color w:val="404040" w:themeColor="text1" w:themeTint="BF"/>
    </w:rPr>
  </w:style>
  <w:style w:type="paragraph" w:styleId="ListParagraph">
    <w:name w:val="List Paragraph"/>
    <w:basedOn w:val="Normal"/>
    <w:uiPriority w:val="34"/>
    <w:qFormat/>
    <w:rsid w:val="00B3051F"/>
    <w:pPr>
      <w:ind w:left="720"/>
      <w:contextualSpacing/>
    </w:pPr>
  </w:style>
  <w:style w:type="character" w:styleId="IntenseEmphasis">
    <w:name w:val="Intense Emphasis"/>
    <w:basedOn w:val="DefaultParagraphFont"/>
    <w:uiPriority w:val="21"/>
    <w:qFormat/>
    <w:rsid w:val="00B3051F"/>
    <w:rPr>
      <w:i/>
      <w:iCs/>
      <w:color w:val="0F4761" w:themeColor="accent1" w:themeShade="BF"/>
    </w:rPr>
  </w:style>
  <w:style w:type="paragraph" w:styleId="IntenseQuote">
    <w:name w:val="Intense Quote"/>
    <w:basedOn w:val="Normal"/>
    <w:next w:val="Normal"/>
    <w:link w:val="IntenseQuoteChar"/>
    <w:uiPriority w:val="30"/>
    <w:qFormat/>
    <w:rsid w:val="00B305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51F"/>
    <w:rPr>
      <w:i/>
      <w:iCs/>
      <w:color w:val="0F4761" w:themeColor="accent1" w:themeShade="BF"/>
    </w:rPr>
  </w:style>
  <w:style w:type="character" w:styleId="IntenseReference">
    <w:name w:val="Intense Reference"/>
    <w:basedOn w:val="DefaultParagraphFont"/>
    <w:uiPriority w:val="32"/>
    <w:qFormat/>
    <w:rsid w:val="00B305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7</Pages>
  <Words>2548</Words>
  <Characters>14528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Webster (2519062)</dc:creator>
  <cp:keywords/>
  <dc:description/>
  <cp:lastModifiedBy>Cai Webster (2519062)</cp:lastModifiedBy>
  <cp:revision>12</cp:revision>
  <dcterms:created xsi:type="dcterms:W3CDTF">2026-05-07T21:25:00Z</dcterms:created>
  <dcterms:modified xsi:type="dcterms:W3CDTF">2026-05-07T22:38:00Z</dcterms:modified>
</cp:coreProperties>
</file>