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9D116B" w:rsidRDefault="00F43361">
      <w:pPr>
        <w:rPr>
          <w:rFonts w:ascii="Calibri" w:eastAsia="Calibri" w:hAnsi="Calibri" w:cs="Calibri"/>
          <w:b/>
          <w:i/>
          <w:sz w:val="28"/>
          <w:szCs w:val="28"/>
        </w:rPr>
      </w:pPr>
      <w:bookmarkStart w:id="0" w:name="_ubfx5fyekv9m" w:colFirst="0" w:colLast="0"/>
      <w:bookmarkEnd w:id="0"/>
      <w:r>
        <w:rPr>
          <w:rFonts w:ascii="Calibri" w:eastAsia="Calibri" w:hAnsi="Calibri" w:cs="Calibri"/>
          <w:b/>
          <w:i/>
          <w:sz w:val="28"/>
          <w:szCs w:val="28"/>
        </w:rPr>
        <w:t xml:space="preserve">Critically discuss whether prejudice and discrimination, in the form of teacher expectations of learners, are of urgent concern in contemporary education environments in the UK. </w:t>
      </w:r>
    </w:p>
    <w:p w14:paraId="00000002" w14:textId="77777777" w:rsidR="009D116B" w:rsidRDefault="009D116B">
      <w:pPr>
        <w:rPr>
          <w:rFonts w:ascii="Calibri" w:eastAsia="Calibri" w:hAnsi="Calibri" w:cs="Calibri"/>
          <w:b/>
          <w:i/>
          <w:sz w:val="24"/>
          <w:szCs w:val="24"/>
        </w:rPr>
      </w:pPr>
      <w:bookmarkStart w:id="1" w:name="_5p1dgopt6lng" w:colFirst="0" w:colLast="0"/>
      <w:bookmarkEnd w:id="1"/>
    </w:p>
    <w:p w14:paraId="00000003" w14:textId="77777777" w:rsidR="009D116B" w:rsidRDefault="00F43361">
      <w:pPr>
        <w:spacing w:before="240" w:after="240"/>
        <w:rPr>
          <w:rFonts w:ascii="Calibri" w:eastAsia="Calibri" w:hAnsi="Calibri" w:cs="Calibri"/>
          <w:sz w:val="24"/>
          <w:szCs w:val="24"/>
          <w:shd w:val="clear" w:color="auto" w:fill="D5A6BD"/>
        </w:rPr>
      </w:pPr>
      <w:r>
        <w:rPr>
          <w:rFonts w:ascii="Calibri" w:eastAsia="Calibri" w:hAnsi="Calibri" w:cs="Calibri"/>
          <w:sz w:val="24"/>
          <w:szCs w:val="24"/>
        </w:rPr>
        <w:t>Educators in Wales currently find themselves in the throes of far reaching r</w:t>
      </w:r>
      <w:r>
        <w:rPr>
          <w:rFonts w:ascii="Calibri" w:eastAsia="Calibri" w:hAnsi="Calibri" w:cs="Calibri"/>
          <w:sz w:val="24"/>
          <w:szCs w:val="24"/>
        </w:rPr>
        <w:t>eforms. Globally, education reform is nothing new as ‘</w:t>
      </w:r>
      <w:r>
        <w:rPr>
          <w:rFonts w:ascii="Calibri" w:eastAsia="Calibri" w:hAnsi="Calibri" w:cs="Calibri"/>
          <w:i/>
          <w:sz w:val="24"/>
          <w:szCs w:val="24"/>
        </w:rPr>
        <w:t>national curricula are constantly changing’</w:t>
      </w:r>
      <w:r>
        <w:rPr>
          <w:rFonts w:ascii="Calibri" w:eastAsia="Calibri" w:hAnsi="Calibri" w:cs="Calibri"/>
          <w:sz w:val="24"/>
          <w:szCs w:val="24"/>
        </w:rPr>
        <w:t xml:space="preserve">  and historically, Wales is no different (Sinnema, 2015, p. 965). The narrative behind the new Curriculum for Wales (CfW), is an attempt to balance ‘national </w:t>
      </w:r>
      <w:r>
        <w:rPr>
          <w:rFonts w:ascii="Calibri" w:eastAsia="Calibri" w:hAnsi="Calibri" w:cs="Calibri"/>
          <w:sz w:val="24"/>
          <w:szCs w:val="24"/>
        </w:rPr>
        <w:t>goals’ with the ‘encouragement of greater local decision making, in recognition of the limitations of compliance-based approaches’ (Donaldson, 2015, p.18). The ambition to empower the profession in such a way sits at two distinct levels of the curriculum s</w:t>
      </w:r>
      <w:r>
        <w:rPr>
          <w:rFonts w:ascii="Calibri" w:eastAsia="Calibri" w:hAnsi="Calibri" w:cs="Calibri"/>
          <w:sz w:val="24"/>
          <w:szCs w:val="24"/>
        </w:rPr>
        <w:t>trata, these being a national framework, the macro, and the school level, this being the meso (Thijs and Van den Akker, 2009). The process of both the national and local level curriculum development is one based upon the concept of subsidiarity, that being</w:t>
      </w:r>
      <w:r>
        <w:rPr>
          <w:rFonts w:ascii="Calibri" w:eastAsia="Calibri" w:hAnsi="Calibri" w:cs="Calibri"/>
          <w:sz w:val="24"/>
          <w:szCs w:val="24"/>
          <w:highlight w:val="white"/>
        </w:rPr>
        <w:t xml:space="preserve"> ‘the principle of </w:t>
      </w:r>
      <w:hyperlink r:id="rId6">
        <w:r>
          <w:rPr>
            <w:rFonts w:ascii="Calibri" w:eastAsia="Calibri" w:hAnsi="Calibri" w:cs="Calibri"/>
            <w:sz w:val="24"/>
            <w:szCs w:val="24"/>
          </w:rPr>
          <w:t>allowing</w:t>
        </w:r>
      </w:hyperlink>
      <w:r>
        <w:rPr>
          <w:rFonts w:ascii="Calibri" w:eastAsia="Calibri" w:hAnsi="Calibri" w:cs="Calibri"/>
          <w:sz w:val="24"/>
          <w:szCs w:val="24"/>
          <w:highlight w:val="white"/>
        </w:rPr>
        <w:t xml:space="preserve"> the individual members of a large organization to make decisions on </w:t>
      </w:r>
      <w:hyperlink r:id="rId7">
        <w:r>
          <w:rPr>
            <w:rFonts w:ascii="Calibri" w:eastAsia="Calibri" w:hAnsi="Calibri" w:cs="Calibri"/>
            <w:sz w:val="24"/>
            <w:szCs w:val="24"/>
          </w:rPr>
          <w:t>issu</w:t>
        </w:r>
        <w:r>
          <w:rPr>
            <w:rFonts w:ascii="Calibri" w:eastAsia="Calibri" w:hAnsi="Calibri" w:cs="Calibri"/>
            <w:sz w:val="24"/>
            <w:szCs w:val="24"/>
          </w:rPr>
          <w:t>es</w:t>
        </w:r>
      </w:hyperlink>
      <w:r>
        <w:rPr>
          <w:rFonts w:ascii="Calibri" w:eastAsia="Calibri" w:hAnsi="Calibri" w:cs="Calibri"/>
          <w:sz w:val="24"/>
          <w:szCs w:val="24"/>
          <w:highlight w:val="white"/>
        </w:rPr>
        <w:t xml:space="preserve"> that </w:t>
      </w:r>
      <w:hyperlink r:id="rId8">
        <w:r>
          <w:rPr>
            <w:rFonts w:ascii="Calibri" w:eastAsia="Calibri" w:hAnsi="Calibri" w:cs="Calibri"/>
            <w:sz w:val="24"/>
            <w:szCs w:val="24"/>
          </w:rPr>
          <w:t>affect</w:t>
        </w:r>
      </w:hyperlink>
      <w:r>
        <w:rPr>
          <w:rFonts w:ascii="Calibri" w:eastAsia="Calibri" w:hAnsi="Calibri" w:cs="Calibri"/>
          <w:sz w:val="24"/>
          <w:szCs w:val="24"/>
          <w:highlight w:val="white"/>
        </w:rPr>
        <w:t xml:space="preserve"> them’ (Collins Dictionary Online, 2021). The </w:t>
      </w:r>
      <w:r>
        <w:rPr>
          <w:rFonts w:ascii="Calibri" w:eastAsia="Calibri" w:hAnsi="Calibri" w:cs="Calibri"/>
          <w:sz w:val="24"/>
          <w:szCs w:val="24"/>
        </w:rPr>
        <w:t>aim is to provide ‘greater professional agency and opportunities to make local curricular decisions; encourage teache</w:t>
      </w:r>
      <w:r>
        <w:rPr>
          <w:rFonts w:ascii="Calibri" w:eastAsia="Calibri" w:hAnsi="Calibri" w:cs="Calibri"/>
          <w:sz w:val="24"/>
          <w:szCs w:val="24"/>
        </w:rPr>
        <w:t>r professionalism; stimulate improvements in teaching; enhance the responsiveness of schools to local and national needs; and lead to increased confidence in the reforms’ (Newton, 2020, p.215). In the words of our former Education Minister, the current sys</w:t>
      </w:r>
      <w:r>
        <w:rPr>
          <w:rFonts w:ascii="Calibri" w:eastAsia="Calibri" w:hAnsi="Calibri" w:cs="Calibri"/>
          <w:sz w:val="24"/>
          <w:szCs w:val="24"/>
        </w:rPr>
        <w:t xml:space="preserve">tem has become ‘narrow, inflexible and crowded’ (Welsh Government, 2019). This professional flexibility arguably raises urgent concerns, regarding the equity of provision for learners. Firstly, the equity, quality and consistency of curriculum content and </w:t>
      </w:r>
      <w:r>
        <w:rPr>
          <w:rFonts w:ascii="Calibri" w:eastAsia="Calibri" w:hAnsi="Calibri" w:cs="Calibri"/>
          <w:sz w:val="24"/>
          <w:szCs w:val="24"/>
        </w:rPr>
        <w:t xml:space="preserve">secondly, its delivery in Wales’ classrooms. </w:t>
      </w:r>
    </w:p>
    <w:p w14:paraId="00000004" w14:textId="77777777" w:rsidR="009D116B" w:rsidRDefault="00F43361">
      <w:pPr>
        <w:rPr>
          <w:rFonts w:ascii="Calibri" w:eastAsia="Calibri" w:hAnsi="Calibri" w:cs="Calibri"/>
          <w:sz w:val="24"/>
          <w:szCs w:val="24"/>
          <w:highlight w:val="white"/>
        </w:rPr>
      </w:pPr>
      <w:bookmarkStart w:id="2" w:name="_fbvz1gk3sfe" w:colFirst="0" w:colLast="0"/>
      <w:bookmarkEnd w:id="2"/>
      <w:r>
        <w:rPr>
          <w:rFonts w:ascii="Calibri" w:eastAsia="Calibri" w:hAnsi="Calibri" w:cs="Calibri"/>
          <w:sz w:val="24"/>
          <w:szCs w:val="24"/>
        </w:rPr>
        <w:t>These concerns specifically relate to the influence that teachers’ expectations will have upon what materials are learned, how these materials are delivered and what approaches are taken when attempting to meas</w:t>
      </w:r>
      <w:r>
        <w:rPr>
          <w:rFonts w:ascii="Calibri" w:eastAsia="Calibri" w:hAnsi="Calibri" w:cs="Calibri"/>
          <w:sz w:val="24"/>
          <w:szCs w:val="24"/>
        </w:rPr>
        <w:t xml:space="preserve">ure progress i.e. curriculum content, pedagogy and assessment. Despite the overall effect of teacher expectation being ‘typically small’ (Jussim &amp; Harber, 2005, p.131), Rubie-Davies et al (2004, p.2), explain that ‘all teachers have expectations for their </w:t>
      </w:r>
      <w:r>
        <w:rPr>
          <w:rFonts w:ascii="Calibri" w:eastAsia="Calibri" w:hAnsi="Calibri" w:cs="Calibri"/>
          <w:sz w:val="24"/>
          <w:szCs w:val="24"/>
        </w:rPr>
        <w:t>students’ learning and these expectations may form the basis of teachers’ planning and instructional decisions.’ Such teacher expectations ‘are thought to be largely influenced by factors such as students' prior achievement, but also by ethnicity, SES, gen</w:t>
      </w:r>
      <w:r>
        <w:rPr>
          <w:rFonts w:ascii="Calibri" w:eastAsia="Calibri" w:hAnsi="Calibri" w:cs="Calibri"/>
          <w:sz w:val="24"/>
          <w:szCs w:val="24"/>
        </w:rPr>
        <w:t>der, and student diagnostic labeling’ (Peterson et al, 2016, p.12). Rosenthal and Jacobsen’s (1968), seminal work demonstrated that high teacher expectations were often confirmed by student’s actual attainment, building on a number of Merton’s (1948) self-</w:t>
      </w:r>
      <w:r>
        <w:rPr>
          <w:rFonts w:ascii="Calibri" w:eastAsia="Calibri" w:hAnsi="Calibri" w:cs="Calibri"/>
          <w:sz w:val="24"/>
          <w:szCs w:val="24"/>
        </w:rPr>
        <w:t>fulfilling prophecy observations which he in turn attributes as examples of the Thomas theorem i.e. the interpretation of situations having causal effect upon actions and outcomes. It is important to note at this juncture, that whilst the body of knowledge</w:t>
      </w:r>
      <w:r>
        <w:rPr>
          <w:rFonts w:ascii="Calibri" w:eastAsia="Calibri" w:hAnsi="Calibri" w:cs="Calibri"/>
          <w:sz w:val="24"/>
          <w:szCs w:val="24"/>
        </w:rPr>
        <w:t xml:space="preserve"> mostly focuses upon measuring student progress and achievement, undoubtedly student </w:t>
      </w:r>
      <w:r>
        <w:rPr>
          <w:rFonts w:ascii="Calibri" w:eastAsia="Calibri" w:hAnsi="Calibri" w:cs="Calibri"/>
          <w:sz w:val="24"/>
          <w:szCs w:val="24"/>
        </w:rPr>
        <w:lastRenderedPageBreak/>
        <w:t xml:space="preserve">achievement is predicated upon </w:t>
      </w:r>
      <w:r>
        <w:rPr>
          <w:rFonts w:ascii="Calibri" w:eastAsia="Calibri" w:hAnsi="Calibri" w:cs="Calibri"/>
          <w:i/>
          <w:sz w:val="24"/>
          <w:szCs w:val="24"/>
        </w:rPr>
        <w:t>the what</w:t>
      </w:r>
      <w:r>
        <w:rPr>
          <w:rFonts w:ascii="Calibri" w:eastAsia="Calibri" w:hAnsi="Calibri" w:cs="Calibri"/>
          <w:sz w:val="24"/>
          <w:szCs w:val="24"/>
        </w:rPr>
        <w:t xml:space="preserve"> - curricula content, and </w:t>
      </w:r>
      <w:r>
        <w:rPr>
          <w:rFonts w:ascii="Calibri" w:eastAsia="Calibri" w:hAnsi="Calibri" w:cs="Calibri"/>
          <w:i/>
          <w:sz w:val="24"/>
          <w:szCs w:val="24"/>
        </w:rPr>
        <w:t>the how</w:t>
      </w:r>
      <w:r>
        <w:rPr>
          <w:rFonts w:ascii="Calibri" w:eastAsia="Calibri" w:hAnsi="Calibri" w:cs="Calibri"/>
          <w:sz w:val="24"/>
          <w:szCs w:val="24"/>
        </w:rPr>
        <w:t xml:space="preserve"> - pedagogy (Willingham, 2009; Darling-Hammond, 2010; Perkins 2014; Hirsch, 2016; Claxton, 2021), i</w:t>
      </w:r>
      <w:r>
        <w:rPr>
          <w:rFonts w:ascii="Calibri" w:eastAsia="Calibri" w:hAnsi="Calibri" w:cs="Calibri"/>
          <w:sz w:val="24"/>
          <w:szCs w:val="24"/>
        </w:rPr>
        <w:t>n that achievement and curriculum are very much ‘two sides of one coin’ (</w:t>
      </w:r>
      <w:r>
        <w:rPr>
          <w:rFonts w:ascii="Calibri" w:eastAsia="Calibri" w:hAnsi="Calibri" w:cs="Calibri"/>
          <w:sz w:val="24"/>
          <w:szCs w:val="24"/>
          <w:highlight w:val="white"/>
        </w:rPr>
        <w:t>Grigorenko, 2009). For the purposes of this discussion, teacher expectations are explored in relation to student achievement in its own right but also, achievement as a lens for teach</w:t>
      </w:r>
      <w:r>
        <w:rPr>
          <w:rFonts w:ascii="Calibri" w:eastAsia="Calibri" w:hAnsi="Calibri" w:cs="Calibri"/>
          <w:sz w:val="24"/>
          <w:szCs w:val="24"/>
          <w:highlight w:val="white"/>
        </w:rPr>
        <w:t xml:space="preserve">ers’ decisions relating to curriculum and pedagogy, advocated by the CfW guidance. These decisions will be influenced by individual, group and organisational bias, ‘with </w:t>
      </w:r>
      <w:r>
        <w:rPr>
          <w:rFonts w:ascii="Calibri" w:eastAsia="Calibri" w:hAnsi="Calibri" w:cs="Calibri"/>
          <w:sz w:val="24"/>
          <w:szCs w:val="24"/>
        </w:rPr>
        <w:t xml:space="preserve">the pedagogical decisions that teachers make and the learning opportunities that they </w:t>
      </w:r>
      <w:r>
        <w:rPr>
          <w:rFonts w:ascii="Calibri" w:eastAsia="Calibri" w:hAnsi="Calibri" w:cs="Calibri"/>
          <w:sz w:val="24"/>
          <w:szCs w:val="24"/>
        </w:rPr>
        <w:t>provide often are based on their expectations for children’s achievement’ (Rubie-Davies et al 2004, p.2).</w:t>
      </w:r>
    </w:p>
    <w:p w14:paraId="00000005" w14:textId="77777777" w:rsidR="009D116B" w:rsidRDefault="009D116B">
      <w:pPr>
        <w:rPr>
          <w:rFonts w:ascii="Calibri" w:eastAsia="Calibri" w:hAnsi="Calibri" w:cs="Calibri"/>
          <w:sz w:val="24"/>
          <w:szCs w:val="24"/>
        </w:rPr>
      </w:pPr>
      <w:bookmarkStart w:id="3" w:name="_vwauiwedqfgl" w:colFirst="0" w:colLast="0"/>
      <w:bookmarkEnd w:id="3"/>
    </w:p>
    <w:p w14:paraId="00000006" w14:textId="77777777" w:rsidR="009D116B" w:rsidRDefault="00F43361">
      <w:pPr>
        <w:rPr>
          <w:rFonts w:ascii="Calibri" w:eastAsia="Calibri" w:hAnsi="Calibri" w:cs="Calibri"/>
          <w:b/>
          <w:sz w:val="24"/>
          <w:szCs w:val="24"/>
          <w:shd w:val="clear" w:color="auto" w:fill="FFF2CC"/>
        </w:rPr>
      </w:pPr>
      <w:bookmarkStart w:id="4" w:name="_j1it99nlbtjh" w:colFirst="0" w:colLast="0"/>
      <w:bookmarkEnd w:id="4"/>
      <w:r>
        <w:rPr>
          <w:rFonts w:ascii="Calibri" w:eastAsia="Calibri" w:hAnsi="Calibri" w:cs="Calibri"/>
          <w:sz w:val="24"/>
          <w:szCs w:val="24"/>
        </w:rPr>
        <w:t xml:space="preserve">It is important to note that </w:t>
      </w:r>
      <w:r>
        <w:rPr>
          <w:rFonts w:ascii="Calibri" w:eastAsia="Calibri" w:hAnsi="Calibri" w:cs="Calibri"/>
          <w:sz w:val="24"/>
          <w:szCs w:val="24"/>
        </w:rPr>
        <w:t>‘teachers’ expectations can be biased in two ways... bias arises if the teacher’s expectations are systematically too high or too low for most students in their class’ (Timmermans, de Boer and van der Werf, 2016, p.461), referred to by Allport (1954) as ‘f</w:t>
      </w:r>
      <w:r>
        <w:rPr>
          <w:rFonts w:ascii="Calibri" w:eastAsia="Calibri" w:hAnsi="Calibri" w:cs="Calibri"/>
          <w:sz w:val="24"/>
          <w:szCs w:val="24"/>
        </w:rPr>
        <w:t>avor’ and ‘disfavor’. Arguably, school leaders and teachers demonstrate bias through their expectations on a daily basis; an implication of implicit bias, stereotyping and experiences of working to meet the needs of the different learners in their class. W</w:t>
      </w:r>
      <w:r>
        <w:rPr>
          <w:rFonts w:ascii="Calibri" w:eastAsia="Calibri" w:hAnsi="Calibri" w:cs="Calibri"/>
          <w:sz w:val="24"/>
          <w:szCs w:val="24"/>
        </w:rPr>
        <w:t xml:space="preserve">ith the advent of CfW and the increased ability to influence the curriculum and pedagogical decision making, ‘located at the teacher level rather than at the teacher by student interaction level’ (Rubie-Davies et al, 2004), there is a growing need to know </w:t>
      </w:r>
      <w:r>
        <w:rPr>
          <w:rFonts w:ascii="Calibri" w:eastAsia="Calibri" w:hAnsi="Calibri" w:cs="Calibri"/>
          <w:sz w:val="24"/>
          <w:szCs w:val="24"/>
        </w:rPr>
        <w:t xml:space="preserve">about, and understand how to mitigate the negative impacts of such prejudice and discrimation in the classroom.    </w:t>
      </w:r>
    </w:p>
    <w:p w14:paraId="00000007" w14:textId="77777777" w:rsidR="009D116B" w:rsidRDefault="00F43361">
      <w:pPr>
        <w:spacing w:before="240" w:after="240"/>
        <w:rPr>
          <w:rFonts w:ascii="Calibri" w:eastAsia="Calibri" w:hAnsi="Calibri" w:cs="Calibri"/>
          <w:sz w:val="24"/>
          <w:szCs w:val="24"/>
        </w:rPr>
      </w:pPr>
      <w:r>
        <w:rPr>
          <w:rFonts w:ascii="Calibri" w:eastAsia="Calibri" w:hAnsi="Calibri" w:cs="Calibri"/>
          <w:sz w:val="24"/>
          <w:szCs w:val="24"/>
        </w:rPr>
        <w:t>Whilst ‘social psychologists are careful to disentangle discrimination from its close cousins of prejudice and stereotypes’ (Al Ramiah et al</w:t>
      </w:r>
      <w:r>
        <w:rPr>
          <w:rFonts w:ascii="Calibri" w:eastAsia="Calibri" w:hAnsi="Calibri" w:cs="Calibri"/>
          <w:sz w:val="24"/>
          <w:szCs w:val="24"/>
        </w:rPr>
        <w:t xml:space="preserve">, 2010, p. 84), they are very much interrelated and often, interdependent. There is a statutory duty on school governors and practioners to protect and not discriminate against characteristics determined by; ‘age; disability; gender reassignment; marriage </w:t>
      </w:r>
      <w:r>
        <w:rPr>
          <w:rFonts w:ascii="Calibri" w:eastAsia="Calibri" w:hAnsi="Calibri" w:cs="Calibri"/>
          <w:sz w:val="24"/>
          <w:szCs w:val="24"/>
        </w:rPr>
        <w:t>and civil partnershiprace; pregnancy and maternity; religion or belief; sex; and sexual orientation’ (Government Equalities Office, 2010, p.3). In order to both appreciate the implications of teacher expectations upon curriculum design, whilst also seeking</w:t>
      </w:r>
      <w:r>
        <w:rPr>
          <w:rFonts w:ascii="Calibri" w:eastAsia="Calibri" w:hAnsi="Calibri" w:cs="Calibri"/>
          <w:sz w:val="24"/>
          <w:szCs w:val="24"/>
        </w:rPr>
        <w:t xml:space="preserve"> to attentuate any such implications, it would be beneficial to establish greater clarity regarding the definitions of stereotypes, prejudice and discrimination. </w:t>
      </w:r>
    </w:p>
    <w:p w14:paraId="00000008" w14:textId="77777777" w:rsidR="009D116B" w:rsidRDefault="00F43361">
      <w:pPr>
        <w:spacing w:before="240" w:after="240"/>
        <w:rPr>
          <w:rFonts w:ascii="Calibri" w:eastAsia="Calibri" w:hAnsi="Calibri" w:cs="Calibri"/>
          <w:sz w:val="24"/>
          <w:szCs w:val="24"/>
        </w:rPr>
      </w:pPr>
      <w:r>
        <w:rPr>
          <w:rFonts w:ascii="Calibri" w:eastAsia="Calibri" w:hAnsi="Calibri" w:cs="Calibri"/>
          <w:sz w:val="24"/>
          <w:szCs w:val="24"/>
        </w:rPr>
        <w:t>Stereotypes are preconceived generalizations about a particular group of people (Govorun, Fue</w:t>
      </w:r>
      <w:r>
        <w:rPr>
          <w:rFonts w:ascii="Calibri" w:eastAsia="Calibri" w:hAnsi="Calibri" w:cs="Calibri"/>
          <w:sz w:val="24"/>
          <w:szCs w:val="24"/>
        </w:rPr>
        <w:t>gen, &amp; Payne, 2006; Kanahara, 2006, cited in Heiden and Harpel, 2013, p.21). They are borne of the fact that we, as individuals, only engage with a limited proportion of the world and as such our actual experiences are far more restricted than our opinions</w:t>
      </w:r>
      <w:r>
        <w:rPr>
          <w:rFonts w:ascii="Calibri" w:eastAsia="Calibri" w:hAnsi="Calibri" w:cs="Calibri"/>
          <w:sz w:val="24"/>
          <w:szCs w:val="24"/>
        </w:rPr>
        <w:t xml:space="preserve"> and imagination, that which we cannot directly access. These opinions are fuelled and refuelled by the experiences and reports of others (Lippman, 1922). ‘Lacking anything familiar to draw upon, we will instead default to our biases, the things we heard s</w:t>
      </w:r>
      <w:r>
        <w:rPr>
          <w:rFonts w:ascii="Calibri" w:eastAsia="Calibri" w:hAnsi="Calibri" w:cs="Calibri"/>
          <w:sz w:val="24"/>
          <w:szCs w:val="24"/>
        </w:rPr>
        <w:t>omewhere and think are probably true’ (Haslam, 2018, p.26). However, Jussim et al (2009, p.200), fervently point out that ‘not all beliefs about groups are stereotypes, but stereotypes are the subset of all beliefs about groups that are inaccurate’. Often,</w:t>
      </w:r>
      <w:r>
        <w:rPr>
          <w:rFonts w:ascii="Calibri" w:eastAsia="Calibri" w:hAnsi="Calibri" w:cs="Calibri"/>
          <w:sz w:val="24"/>
          <w:szCs w:val="24"/>
        </w:rPr>
        <w:t xml:space="preserve"> ‘we notice a trait which marks a well known </w:t>
      </w:r>
      <w:r>
        <w:rPr>
          <w:rFonts w:ascii="Calibri" w:eastAsia="Calibri" w:hAnsi="Calibri" w:cs="Calibri"/>
          <w:sz w:val="24"/>
          <w:szCs w:val="24"/>
        </w:rPr>
        <w:lastRenderedPageBreak/>
        <w:t xml:space="preserve">type, and fill in the rest of the picture by means of the stereotypes we carry about in our heads’ (p. 60). In my experience, this is as much a reality in today’s classrooms as it was for Lippman in 1922. There </w:t>
      </w:r>
      <w:r>
        <w:rPr>
          <w:rFonts w:ascii="Calibri" w:eastAsia="Calibri" w:hAnsi="Calibri" w:cs="Calibri"/>
          <w:sz w:val="24"/>
          <w:szCs w:val="24"/>
        </w:rPr>
        <w:t xml:space="preserve">is now urgency in the need for educators to appreciate and consider how their own beliefs may influence their behaviours and for them to challenge such prejudices.  </w:t>
      </w:r>
    </w:p>
    <w:p w14:paraId="00000009" w14:textId="77777777" w:rsidR="009D116B" w:rsidRDefault="00F43361">
      <w:pPr>
        <w:spacing w:before="240" w:after="240"/>
        <w:rPr>
          <w:rFonts w:ascii="Calibri" w:eastAsia="Calibri" w:hAnsi="Calibri" w:cs="Calibri"/>
          <w:i/>
          <w:sz w:val="24"/>
          <w:szCs w:val="24"/>
        </w:rPr>
      </w:pPr>
      <w:r>
        <w:rPr>
          <w:rFonts w:ascii="Calibri" w:eastAsia="Calibri" w:hAnsi="Calibri" w:cs="Calibri"/>
          <w:i/>
          <w:sz w:val="24"/>
          <w:szCs w:val="24"/>
        </w:rPr>
        <w:t>‘There is no one universal truth about the social world on which people can all rely. Inst</w:t>
      </w:r>
      <w:r>
        <w:rPr>
          <w:rFonts w:ascii="Calibri" w:eastAsia="Calibri" w:hAnsi="Calibri" w:cs="Calibri"/>
          <w:i/>
          <w:sz w:val="24"/>
          <w:szCs w:val="24"/>
        </w:rPr>
        <w:t>ead, people’s experiences and perspectives color the landscape of their beliefs, for better or worse, and it is this portrait that people use to navigate their social world’.</w:t>
      </w:r>
    </w:p>
    <w:p w14:paraId="0000000A" w14:textId="77777777" w:rsidR="009D116B" w:rsidRDefault="00F43361">
      <w:pPr>
        <w:spacing w:before="240" w:after="240"/>
        <w:ind w:left="5040" w:firstLine="720"/>
        <w:rPr>
          <w:rFonts w:ascii="Calibri" w:eastAsia="Calibri" w:hAnsi="Calibri" w:cs="Calibri"/>
          <w:sz w:val="24"/>
          <w:szCs w:val="24"/>
        </w:rPr>
      </w:pPr>
      <w:r>
        <w:rPr>
          <w:rFonts w:ascii="Calibri" w:eastAsia="Calibri" w:hAnsi="Calibri" w:cs="Calibri"/>
          <w:sz w:val="24"/>
          <w:szCs w:val="24"/>
        </w:rPr>
        <w:t xml:space="preserve"> (Kite and Whitely, 2016, p.13).</w:t>
      </w:r>
    </w:p>
    <w:p w14:paraId="0000000B" w14:textId="77777777" w:rsidR="009D116B" w:rsidRDefault="00F43361">
      <w:pPr>
        <w:spacing w:before="240" w:after="240"/>
        <w:rPr>
          <w:rFonts w:ascii="Calibri" w:eastAsia="Calibri" w:hAnsi="Calibri" w:cs="Calibri"/>
          <w:sz w:val="24"/>
          <w:szCs w:val="24"/>
        </w:rPr>
      </w:pPr>
      <w:r>
        <w:rPr>
          <w:rFonts w:ascii="Calibri" w:eastAsia="Calibri" w:hAnsi="Calibri" w:cs="Calibri"/>
          <w:sz w:val="24"/>
          <w:szCs w:val="24"/>
        </w:rPr>
        <w:t xml:space="preserve">Abrams (2010, p.3) explains that, when it comes </w:t>
      </w:r>
      <w:r>
        <w:rPr>
          <w:rFonts w:ascii="Calibri" w:eastAsia="Calibri" w:hAnsi="Calibri" w:cs="Calibri"/>
          <w:sz w:val="24"/>
          <w:szCs w:val="24"/>
        </w:rPr>
        <w:t>to understanding prejudice, the social psychology literature identifies four areas for concern; the intergroup context; the psychological bases for prejudice; manifestations of prejudice; and the effect of experience determines prejudice, it settles on a s</w:t>
      </w:r>
      <w:r>
        <w:rPr>
          <w:rFonts w:ascii="Calibri" w:eastAsia="Calibri" w:hAnsi="Calibri" w:cs="Calibri"/>
          <w:sz w:val="24"/>
          <w:szCs w:val="24"/>
        </w:rPr>
        <w:t>imple definition, determining it as a ‘bias that devalues people because of their perceived membership of a social group’ (p.8). It is this attitude of prejudice that Kite and Whitely (2016), consider ‘to be evaluations of or emotional responses to an enti</w:t>
      </w:r>
      <w:r>
        <w:rPr>
          <w:rFonts w:ascii="Calibri" w:eastAsia="Calibri" w:hAnsi="Calibri" w:cs="Calibri"/>
          <w:sz w:val="24"/>
          <w:szCs w:val="24"/>
        </w:rPr>
        <w:t>re social group or individuals who are members of that group’ (p.15). Tumin, Barton, and Burrus (1958), proffer ‘that there exists between the attitude of prejudice and the action of discrimination a gap in which a variety of facilitating or inhibiting fac</w:t>
      </w:r>
      <w:r>
        <w:rPr>
          <w:rFonts w:ascii="Calibri" w:eastAsia="Calibri" w:hAnsi="Calibri" w:cs="Calibri"/>
          <w:sz w:val="24"/>
          <w:szCs w:val="24"/>
        </w:rPr>
        <w:t xml:space="preserve">tors can be interposed’; elaborating upon this perceived relationship by defining prejudice and discrimination as being the difference between ‘private feelings’ and ‘public actions’ (p.41).  </w:t>
      </w:r>
    </w:p>
    <w:p w14:paraId="0000000C" w14:textId="77777777" w:rsidR="009D116B" w:rsidRDefault="00F43361">
      <w:pPr>
        <w:spacing w:before="240" w:after="240"/>
        <w:rPr>
          <w:rFonts w:ascii="Calibri" w:eastAsia="Calibri" w:hAnsi="Calibri" w:cs="Calibri"/>
          <w:b/>
          <w:sz w:val="24"/>
          <w:szCs w:val="24"/>
          <w:shd w:val="clear" w:color="auto" w:fill="FFF2CC"/>
        </w:rPr>
      </w:pPr>
      <w:bookmarkStart w:id="5" w:name="_78chnbpo12gx" w:colFirst="0" w:colLast="0"/>
      <w:bookmarkEnd w:id="5"/>
      <w:r>
        <w:rPr>
          <w:rFonts w:ascii="Calibri" w:eastAsia="Calibri" w:hAnsi="Calibri" w:cs="Calibri"/>
          <w:sz w:val="24"/>
          <w:szCs w:val="24"/>
        </w:rPr>
        <w:t>Discrimination refers to unjustifiable negative behaviour towar</w:t>
      </w:r>
      <w:r>
        <w:rPr>
          <w:rFonts w:ascii="Calibri" w:eastAsia="Calibri" w:hAnsi="Calibri" w:cs="Calibri"/>
          <w:sz w:val="24"/>
          <w:szCs w:val="24"/>
        </w:rPr>
        <w:t>ds a group or its members’ (Al Ramiah, 2010, p.85). That is, behaviours consisting of ‘treating people differently from others based primarily on membership in a social group’ (Sue, 2003), cited in Kite and Whitely (2016). Offering further clarification, t</w:t>
      </w:r>
      <w:r>
        <w:rPr>
          <w:rFonts w:ascii="Calibri" w:eastAsia="Calibri" w:hAnsi="Calibri" w:cs="Calibri"/>
          <w:sz w:val="24"/>
          <w:szCs w:val="24"/>
        </w:rPr>
        <w:t>hat whilst ‘people tend to think of discrimination in negative terms, it also can result in someone being treated more positively than she or he otherwise would be based on group membership’ (p.16). Discrimination may be both overt or covert in nature, inc</w:t>
      </w:r>
      <w:r>
        <w:rPr>
          <w:rFonts w:ascii="Calibri" w:eastAsia="Calibri" w:hAnsi="Calibri" w:cs="Calibri"/>
          <w:sz w:val="24"/>
          <w:szCs w:val="24"/>
        </w:rPr>
        <w:t>reasingly more so covert and subtle particularly as ‘societal developments have established that public discrimination is neither legally nor socially acceptable’ (Colella and King, 2018). Partnering the increased autonomy of local curriculum design and de</w:t>
      </w:r>
      <w:r>
        <w:rPr>
          <w:rFonts w:ascii="Calibri" w:eastAsia="Calibri" w:hAnsi="Calibri" w:cs="Calibri"/>
          <w:sz w:val="24"/>
          <w:szCs w:val="24"/>
        </w:rPr>
        <w:t xml:space="preserve">livery with positive and negative implications of teachers’ expectations, practitioners in Wales must take greater ownership of their thinking and behaviours regarding inequity and prejudice towards learners as groups and as individual members. </w:t>
      </w:r>
    </w:p>
    <w:p w14:paraId="0000000D" w14:textId="77777777" w:rsidR="009D116B" w:rsidRDefault="00F43361">
      <w:pPr>
        <w:rPr>
          <w:rFonts w:ascii="Calibri" w:eastAsia="Calibri" w:hAnsi="Calibri" w:cs="Calibri"/>
          <w:sz w:val="24"/>
          <w:szCs w:val="24"/>
          <w:highlight w:val="white"/>
        </w:rPr>
      </w:pPr>
      <w:r>
        <w:rPr>
          <w:rFonts w:ascii="Calibri" w:eastAsia="Calibri" w:hAnsi="Calibri" w:cs="Calibri"/>
          <w:sz w:val="24"/>
          <w:szCs w:val="24"/>
        </w:rPr>
        <w:t>Kite and W</w:t>
      </w:r>
      <w:r>
        <w:rPr>
          <w:rFonts w:ascii="Calibri" w:eastAsia="Calibri" w:hAnsi="Calibri" w:cs="Calibri"/>
          <w:sz w:val="24"/>
          <w:szCs w:val="24"/>
        </w:rPr>
        <w:t>hitely (2016, p.23), assert that ‘it is not easy to predict when stereotypes lead to prejudice or discrimination or who is most likely to treat people differently based on their group membership’. If we consider classrooms as microcosms of wider society, w</w:t>
      </w:r>
      <w:r>
        <w:rPr>
          <w:rFonts w:ascii="Calibri" w:eastAsia="Calibri" w:hAnsi="Calibri" w:cs="Calibri"/>
          <w:sz w:val="24"/>
          <w:szCs w:val="24"/>
        </w:rPr>
        <w:t xml:space="preserve">e can begin </w:t>
      </w:r>
      <w:r>
        <w:rPr>
          <w:rFonts w:ascii="Calibri" w:eastAsia="Calibri" w:hAnsi="Calibri" w:cs="Calibri"/>
          <w:sz w:val="24"/>
          <w:szCs w:val="24"/>
        </w:rPr>
        <w:lastRenderedPageBreak/>
        <w:t>to appreciate the extent of the task facing the teaching profession in balancing curriculum and pedagogy decision making with; in-group and out-group dynamics; varying and evolving degrees of ‘intersectionality’ between the group membership; an</w:t>
      </w:r>
      <w:r>
        <w:rPr>
          <w:rFonts w:ascii="Calibri" w:eastAsia="Calibri" w:hAnsi="Calibri" w:cs="Calibri"/>
          <w:sz w:val="24"/>
          <w:szCs w:val="24"/>
        </w:rPr>
        <w:t xml:space="preserve">d both implicit and explicit teacher and student bias. </w:t>
      </w:r>
      <w:r>
        <w:rPr>
          <w:rFonts w:ascii="Calibri" w:eastAsia="Calibri" w:hAnsi="Calibri" w:cs="Calibri"/>
          <w:sz w:val="24"/>
          <w:szCs w:val="24"/>
          <w:highlight w:val="white"/>
        </w:rPr>
        <w:t>‘Of course, it is already the case that learners in disadvantaged schools often have a more limited academic curriculum. The risk of even greater flexibility is that the differentiation may increase’ (</w:t>
      </w:r>
      <w:r>
        <w:rPr>
          <w:rFonts w:ascii="Calibri" w:eastAsia="Calibri" w:hAnsi="Calibri" w:cs="Calibri"/>
          <w:sz w:val="24"/>
          <w:szCs w:val="24"/>
          <w:highlight w:val="white"/>
        </w:rPr>
        <w:t xml:space="preserve">Power, Newton and Taylor 2020, p.323). </w:t>
      </w:r>
      <w:r>
        <w:rPr>
          <w:rFonts w:ascii="Calibri" w:eastAsia="Calibri" w:hAnsi="Calibri" w:cs="Calibri"/>
          <w:sz w:val="24"/>
          <w:szCs w:val="24"/>
        </w:rPr>
        <w:t xml:space="preserve">It could be strongly argued that the expectations and attitudes held by teachers, towards groups or members of groups, will now directly influence vital decisions regarding the substance of </w:t>
      </w:r>
      <w:r>
        <w:rPr>
          <w:rFonts w:ascii="Calibri" w:eastAsia="Calibri" w:hAnsi="Calibri" w:cs="Calibri"/>
          <w:i/>
          <w:sz w:val="24"/>
          <w:szCs w:val="24"/>
        </w:rPr>
        <w:t>what</w:t>
      </w:r>
      <w:r>
        <w:rPr>
          <w:rFonts w:ascii="Calibri" w:eastAsia="Calibri" w:hAnsi="Calibri" w:cs="Calibri"/>
          <w:sz w:val="24"/>
          <w:szCs w:val="24"/>
        </w:rPr>
        <w:t xml:space="preserve"> is being taught as wel</w:t>
      </w:r>
      <w:r>
        <w:rPr>
          <w:rFonts w:ascii="Calibri" w:eastAsia="Calibri" w:hAnsi="Calibri" w:cs="Calibri"/>
          <w:sz w:val="24"/>
          <w:szCs w:val="24"/>
        </w:rPr>
        <w:t xml:space="preserve">l as </w:t>
      </w:r>
      <w:r>
        <w:rPr>
          <w:rFonts w:ascii="Calibri" w:eastAsia="Calibri" w:hAnsi="Calibri" w:cs="Calibri"/>
          <w:i/>
          <w:sz w:val="24"/>
          <w:szCs w:val="24"/>
        </w:rPr>
        <w:t>how</w:t>
      </w:r>
      <w:r>
        <w:rPr>
          <w:rFonts w:ascii="Calibri" w:eastAsia="Calibri" w:hAnsi="Calibri" w:cs="Calibri"/>
          <w:sz w:val="24"/>
          <w:szCs w:val="24"/>
        </w:rPr>
        <w:t xml:space="preserve"> it is being taught. In the context of Wales’ reform, ‘</w:t>
      </w:r>
      <w:r>
        <w:rPr>
          <w:rFonts w:ascii="Calibri" w:eastAsia="Calibri" w:hAnsi="Calibri" w:cs="Calibri"/>
          <w:sz w:val="24"/>
          <w:szCs w:val="24"/>
          <w:highlight w:val="white"/>
        </w:rPr>
        <w:t>given the uneven distribution of most experienced and highly qualified teachers across and within schools, it is possible that these risks will be greater for disadvantaged schools and learners</w:t>
      </w:r>
      <w:r>
        <w:rPr>
          <w:rFonts w:ascii="Calibri" w:eastAsia="Calibri" w:hAnsi="Calibri" w:cs="Calibri"/>
          <w:sz w:val="24"/>
          <w:szCs w:val="24"/>
          <w:highlight w:val="white"/>
        </w:rPr>
        <w:t>’ (p.322). This is of increasing concern as teachers tend to have lower expectations of learner performance outcomes for those in both ethnic minority and socio-economically disadvantaged groupings (</w:t>
      </w:r>
      <w:r>
        <w:rPr>
          <w:rFonts w:ascii="Calibri" w:eastAsia="Calibri" w:hAnsi="Calibri" w:cs="Calibri"/>
          <w:sz w:val="24"/>
          <w:szCs w:val="24"/>
        </w:rPr>
        <w:t xml:space="preserve">Banaji and Greenwald, 1995; </w:t>
      </w:r>
      <w:r>
        <w:rPr>
          <w:rFonts w:ascii="Calibri" w:eastAsia="Calibri" w:hAnsi="Calibri" w:cs="Calibri"/>
          <w:sz w:val="24"/>
          <w:szCs w:val="24"/>
          <w:highlight w:val="white"/>
        </w:rPr>
        <w:t xml:space="preserve">Hardin and Banaji, 2013; </w:t>
      </w:r>
      <w:r>
        <w:rPr>
          <w:rFonts w:ascii="Calibri" w:eastAsia="Calibri" w:hAnsi="Calibri" w:cs="Calibri"/>
          <w:sz w:val="24"/>
          <w:szCs w:val="24"/>
        </w:rPr>
        <w:t>Kite</w:t>
      </w:r>
      <w:r>
        <w:rPr>
          <w:rFonts w:ascii="Calibri" w:eastAsia="Calibri" w:hAnsi="Calibri" w:cs="Calibri"/>
          <w:sz w:val="24"/>
          <w:szCs w:val="24"/>
        </w:rPr>
        <w:t xml:space="preserve"> and Whitely, 2016; Timmermans, Boer, van de Werf, 2016; Brentnall, 2017; </w:t>
      </w:r>
      <w:r>
        <w:rPr>
          <w:rFonts w:ascii="Calibri" w:eastAsia="Calibri" w:hAnsi="Calibri" w:cs="Calibri"/>
          <w:sz w:val="24"/>
          <w:szCs w:val="24"/>
          <w:highlight w:val="white"/>
        </w:rPr>
        <w:t>Newton, 2020</w:t>
      </w:r>
      <w:r>
        <w:rPr>
          <w:rFonts w:ascii="Calibri" w:eastAsia="Calibri" w:hAnsi="Calibri" w:cs="Calibri"/>
          <w:sz w:val="24"/>
          <w:szCs w:val="24"/>
        </w:rPr>
        <w:t>)</w:t>
      </w:r>
      <w:r>
        <w:rPr>
          <w:rFonts w:ascii="Calibri" w:eastAsia="Calibri" w:hAnsi="Calibri" w:cs="Calibri"/>
          <w:sz w:val="24"/>
          <w:szCs w:val="24"/>
          <w:highlight w:val="white"/>
        </w:rPr>
        <w:t>. As such, school leaders and teachers should be asking if these lower expectations will result in detrimental decisions regarding curriculum content for learners and if</w:t>
      </w:r>
      <w:r>
        <w:rPr>
          <w:rFonts w:ascii="Calibri" w:eastAsia="Calibri" w:hAnsi="Calibri" w:cs="Calibri"/>
          <w:sz w:val="24"/>
          <w:szCs w:val="24"/>
          <w:highlight w:val="white"/>
        </w:rPr>
        <w:t xml:space="preserve"> so, how?</w:t>
      </w:r>
    </w:p>
    <w:p w14:paraId="0000000E" w14:textId="77777777" w:rsidR="009D116B" w:rsidRDefault="009D116B">
      <w:pPr>
        <w:rPr>
          <w:rFonts w:ascii="Calibri" w:eastAsia="Calibri" w:hAnsi="Calibri" w:cs="Calibri"/>
          <w:sz w:val="24"/>
          <w:szCs w:val="24"/>
          <w:highlight w:val="white"/>
        </w:rPr>
      </w:pPr>
    </w:p>
    <w:p w14:paraId="0000000F" w14:textId="77777777" w:rsidR="009D116B" w:rsidRDefault="00F43361">
      <w:pPr>
        <w:rPr>
          <w:rFonts w:ascii="Calibri" w:eastAsia="Calibri" w:hAnsi="Calibri" w:cs="Calibri"/>
          <w:sz w:val="24"/>
          <w:szCs w:val="24"/>
          <w:highlight w:val="white"/>
        </w:rPr>
      </w:pPr>
      <w:r>
        <w:rPr>
          <w:rFonts w:ascii="Calibri" w:eastAsia="Calibri" w:hAnsi="Calibri" w:cs="Calibri"/>
          <w:sz w:val="24"/>
          <w:szCs w:val="24"/>
          <w:highlight w:val="white"/>
        </w:rPr>
        <w:t>Such concerns regarding teacher freedoms are by no means new. Brophy’s (1982) review of research into how teachers determine content considered ‘both the conscious decision making involved in selecting the curriculum to be taught to the students</w:t>
      </w:r>
      <w:r>
        <w:rPr>
          <w:rFonts w:ascii="Calibri" w:eastAsia="Calibri" w:hAnsi="Calibri" w:cs="Calibri"/>
          <w:sz w:val="24"/>
          <w:szCs w:val="24"/>
          <w:highlight w:val="white"/>
        </w:rPr>
        <w:t xml:space="preserve"> and the unwitting reductions and distortions introduced into this intended curriculum in the process of attempting to teach it’. He explains that ‘teachers' own knowledge and beliefs and their assessments of the benefits and costs of content alternatives </w:t>
      </w:r>
      <w:r>
        <w:rPr>
          <w:rFonts w:ascii="Calibri" w:eastAsia="Calibri" w:hAnsi="Calibri" w:cs="Calibri"/>
          <w:sz w:val="24"/>
          <w:szCs w:val="24"/>
          <w:highlight w:val="white"/>
        </w:rPr>
        <w:t>affected their behavior’ (</w:t>
      </w:r>
      <w:r>
        <w:rPr>
          <w:rFonts w:ascii="Calibri" w:eastAsia="Calibri" w:hAnsi="Calibri" w:cs="Calibri"/>
          <w:sz w:val="24"/>
          <w:szCs w:val="24"/>
        </w:rPr>
        <w:t>p.2)</w:t>
      </w:r>
      <w:r>
        <w:rPr>
          <w:rFonts w:ascii="Calibri" w:eastAsia="Calibri" w:hAnsi="Calibri" w:cs="Calibri"/>
          <w:sz w:val="24"/>
          <w:szCs w:val="24"/>
          <w:highlight w:val="white"/>
        </w:rPr>
        <w:t xml:space="preserve">. </w:t>
      </w:r>
    </w:p>
    <w:p w14:paraId="00000010" w14:textId="77777777" w:rsidR="009D116B" w:rsidRDefault="00F43361">
      <w:pPr>
        <w:rPr>
          <w:rFonts w:ascii="Calibri" w:eastAsia="Calibri" w:hAnsi="Calibri" w:cs="Calibri"/>
          <w:sz w:val="24"/>
          <w:szCs w:val="24"/>
          <w:highlight w:val="white"/>
        </w:rPr>
      </w:pPr>
      <w:r>
        <w:rPr>
          <w:rFonts w:ascii="Calibri" w:eastAsia="Calibri" w:hAnsi="Calibri" w:cs="Calibri"/>
          <w:sz w:val="24"/>
          <w:szCs w:val="24"/>
        </w:rPr>
        <w:t>Building on this, Rubie-Davies et al (2004), conducted a study of the relationship between teachers’ expectations of student groups and the teacher’s own individual pedagogical beliefs, of New Zealand primary school teacher</w:t>
      </w:r>
      <w:r>
        <w:rPr>
          <w:rFonts w:ascii="Calibri" w:eastAsia="Calibri" w:hAnsi="Calibri" w:cs="Calibri"/>
          <w:sz w:val="24"/>
          <w:szCs w:val="24"/>
        </w:rPr>
        <w:t xml:space="preserve">s. They propose that it is these very expectations and beliefs that will largely steer a teacher when it comes to student grouping, planning and teaching. In this instance, </w:t>
      </w:r>
      <w:r>
        <w:rPr>
          <w:rFonts w:ascii="Calibri" w:eastAsia="Calibri" w:hAnsi="Calibri" w:cs="Calibri"/>
          <w:sz w:val="24"/>
          <w:szCs w:val="24"/>
          <w:highlight w:val="white"/>
        </w:rPr>
        <w:t>New Zealand provides a practical contextual comparator to Wales with regards to pop</w:t>
      </w:r>
      <w:r>
        <w:rPr>
          <w:rFonts w:ascii="Calibri" w:eastAsia="Calibri" w:hAnsi="Calibri" w:cs="Calibri"/>
          <w:sz w:val="24"/>
          <w:szCs w:val="24"/>
          <w:highlight w:val="white"/>
        </w:rPr>
        <w:t xml:space="preserve">ulation, geography, single state school system and remarkable similarities between their national curriculum and CfW. </w:t>
      </w:r>
    </w:p>
    <w:p w14:paraId="00000011" w14:textId="77777777" w:rsidR="009D116B" w:rsidRDefault="009D116B">
      <w:pPr>
        <w:rPr>
          <w:rFonts w:ascii="Calibri" w:eastAsia="Calibri" w:hAnsi="Calibri" w:cs="Calibri"/>
          <w:sz w:val="24"/>
          <w:szCs w:val="24"/>
          <w:highlight w:val="white"/>
        </w:rPr>
      </w:pPr>
    </w:p>
    <w:p w14:paraId="00000012" w14:textId="77777777" w:rsidR="009D116B" w:rsidRDefault="00F43361">
      <w:pPr>
        <w:rPr>
          <w:rFonts w:ascii="Calibri" w:eastAsia="Calibri" w:hAnsi="Calibri" w:cs="Calibri"/>
          <w:sz w:val="24"/>
          <w:szCs w:val="24"/>
        </w:rPr>
      </w:pPr>
      <w:r>
        <w:rPr>
          <w:rFonts w:ascii="Calibri" w:eastAsia="Calibri" w:hAnsi="Calibri" w:cs="Calibri"/>
          <w:sz w:val="24"/>
          <w:szCs w:val="24"/>
          <w:highlight w:val="white"/>
        </w:rPr>
        <w:t>The results of the first part of the study fell broadly into three groups; those with significantly high expectations for student achiev</w:t>
      </w:r>
      <w:r>
        <w:rPr>
          <w:rFonts w:ascii="Calibri" w:eastAsia="Calibri" w:hAnsi="Calibri" w:cs="Calibri"/>
          <w:sz w:val="24"/>
          <w:szCs w:val="24"/>
          <w:highlight w:val="white"/>
        </w:rPr>
        <w:t xml:space="preserve">ement, those with average expectations and those with significantly low expectations of achievement. These findings provide ‘some evidence </w:t>
      </w:r>
      <w:r>
        <w:rPr>
          <w:rFonts w:ascii="Calibri" w:eastAsia="Calibri" w:hAnsi="Calibri" w:cs="Calibri"/>
          <w:sz w:val="24"/>
          <w:szCs w:val="24"/>
        </w:rPr>
        <w:t>that for the high expectation teachers their students did achieve at significantly higher levels by the end of the ye</w:t>
      </w:r>
      <w:r>
        <w:rPr>
          <w:rFonts w:ascii="Calibri" w:eastAsia="Calibri" w:hAnsi="Calibri" w:cs="Calibri"/>
          <w:sz w:val="24"/>
          <w:szCs w:val="24"/>
        </w:rPr>
        <w:t>ar’ and for ‘the teachers whose expectations were low, their students did not make significant progress over the year’ (p.9). Whilst the mean effect size was significant for students’ achievement in the classrooms of the high expectation teachers, it is im</w:t>
      </w:r>
      <w:r>
        <w:rPr>
          <w:rFonts w:ascii="Calibri" w:eastAsia="Calibri" w:hAnsi="Calibri" w:cs="Calibri"/>
          <w:sz w:val="24"/>
          <w:szCs w:val="24"/>
        </w:rPr>
        <w:t xml:space="preserve">portant to note the limitations include the small sample size and a focus on a specific curriculum area. A subsequent part of the study examined ‘teacher pedagogical </w:t>
      </w:r>
      <w:r>
        <w:rPr>
          <w:rFonts w:ascii="Calibri" w:eastAsia="Calibri" w:hAnsi="Calibri" w:cs="Calibri"/>
          <w:sz w:val="24"/>
          <w:szCs w:val="24"/>
        </w:rPr>
        <w:lastRenderedPageBreak/>
        <w:t>beliefs and reported practices’ in an attempt to establish an ‘understanding of some of th</w:t>
      </w:r>
      <w:r>
        <w:rPr>
          <w:rFonts w:ascii="Calibri" w:eastAsia="Calibri" w:hAnsi="Calibri" w:cs="Calibri"/>
          <w:sz w:val="24"/>
          <w:szCs w:val="24"/>
        </w:rPr>
        <w:t xml:space="preserve">e mechanisms of teacher expectations’ and identify potential interventions which could be applied to support the raising of low teachers’ expectations (p.9).  </w:t>
      </w:r>
    </w:p>
    <w:p w14:paraId="00000013" w14:textId="77777777" w:rsidR="009D116B" w:rsidRDefault="009D116B">
      <w:pPr>
        <w:rPr>
          <w:rFonts w:ascii="Calibri" w:eastAsia="Calibri" w:hAnsi="Calibri" w:cs="Calibri"/>
          <w:sz w:val="24"/>
          <w:szCs w:val="24"/>
        </w:rPr>
      </w:pPr>
    </w:p>
    <w:p w14:paraId="00000014"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Despite the complex findings related to the mechanisms of practice, in this part of the study, </w:t>
      </w:r>
      <w:r>
        <w:rPr>
          <w:rFonts w:ascii="Calibri" w:eastAsia="Calibri" w:hAnsi="Calibri" w:cs="Calibri"/>
          <w:sz w:val="24"/>
          <w:szCs w:val="24"/>
        </w:rPr>
        <w:t>undoubtedly a number of them are particularly pertinent to those teachers preparing and planning to effectively realise Wales’ increased curriculum and pedagogical freedoms in the classroom. Often contradictory to the findings of the low and average expect</w:t>
      </w:r>
      <w:r>
        <w:rPr>
          <w:rFonts w:ascii="Calibri" w:eastAsia="Calibri" w:hAnsi="Calibri" w:cs="Calibri"/>
          <w:sz w:val="24"/>
          <w:szCs w:val="24"/>
        </w:rPr>
        <w:t>ation teachers, the results related to the teachers with high expectations found that for the most part they; grouped students in more dynamic ways than simple or fixed ability grouping; planned similar activities for all abilities of student, reducing dif</w:t>
      </w:r>
      <w:r>
        <w:rPr>
          <w:rFonts w:ascii="Calibri" w:eastAsia="Calibri" w:hAnsi="Calibri" w:cs="Calibri"/>
          <w:sz w:val="24"/>
          <w:szCs w:val="24"/>
        </w:rPr>
        <w:t>ferentiation through task; provided challenging learning activities for all abilities; provided advanced extension activities for ‘high ability students to complete independently although they did not usually confine such activities only to their high abil</w:t>
      </w:r>
      <w:r>
        <w:rPr>
          <w:rFonts w:ascii="Calibri" w:eastAsia="Calibri" w:hAnsi="Calibri" w:cs="Calibri"/>
          <w:sz w:val="24"/>
          <w:szCs w:val="24"/>
        </w:rPr>
        <w:t>ity students’; referred to terms such as ‘independent,’ ‘research’ and ‘problem solving’ (p.14), when discussing planning for low ability students; saw themselves as facilitators of learning rather than directors; ‘spoke more frequently about assessing and</w:t>
      </w:r>
      <w:r>
        <w:rPr>
          <w:rFonts w:ascii="Calibri" w:eastAsia="Calibri" w:hAnsi="Calibri" w:cs="Calibri"/>
          <w:sz w:val="24"/>
          <w:szCs w:val="24"/>
        </w:rPr>
        <w:t xml:space="preserve"> monitoring their students’ learning’, appearing to monitor student’s learning ‘fairly closely’ (p.15); more often, expressed beliefs about the place of assessment and monitoring for learning; set clear learning goals; and consider ways to centre learning </w:t>
      </w:r>
      <w:r>
        <w:rPr>
          <w:rFonts w:ascii="Calibri" w:eastAsia="Calibri" w:hAnsi="Calibri" w:cs="Calibri"/>
          <w:sz w:val="24"/>
          <w:szCs w:val="24"/>
        </w:rPr>
        <w:t xml:space="preserve">around student interests. </w:t>
      </w:r>
    </w:p>
    <w:p w14:paraId="00000015" w14:textId="77777777" w:rsidR="009D116B" w:rsidRDefault="009D116B">
      <w:pPr>
        <w:rPr>
          <w:rFonts w:ascii="Calibri" w:eastAsia="Calibri" w:hAnsi="Calibri" w:cs="Calibri"/>
          <w:sz w:val="24"/>
          <w:szCs w:val="24"/>
        </w:rPr>
      </w:pPr>
    </w:p>
    <w:p w14:paraId="00000016" w14:textId="77777777" w:rsidR="009D116B" w:rsidRDefault="00F43361">
      <w:pPr>
        <w:rPr>
          <w:rFonts w:ascii="Calibri" w:eastAsia="Calibri" w:hAnsi="Calibri" w:cs="Calibri"/>
          <w:sz w:val="24"/>
          <w:szCs w:val="24"/>
        </w:rPr>
      </w:pPr>
      <w:r>
        <w:rPr>
          <w:rFonts w:ascii="Calibri" w:eastAsia="Calibri" w:hAnsi="Calibri" w:cs="Calibri"/>
          <w:sz w:val="24"/>
          <w:szCs w:val="24"/>
        </w:rPr>
        <w:t>These particular classroom approaches echo the ways for ‘re-booting teachers’ expectations’, where Kaplan and Owings (2013, p.148) lean heavily upon seven principles which focus upon developing the positive relationships between</w:t>
      </w:r>
      <w:r>
        <w:rPr>
          <w:rFonts w:ascii="Calibri" w:eastAsia="Calibri" w:hAnsi="Calibri" w:cs="Calibri"/>
          <w:sz w:val="24"/>
          <w:szCs w:val="24"/>
        </w:rPr>
        <w:t xml:space="preserve"> classroom equity, high standards and teacher beliefs (</w:t>
      </w:r>
      <w:r>
        <w:rPr>
          <w:rFonts w:ascii="Calibri" w:eastAsia="Calibri" w:hAnsi="Calibri" w:cs="Calibri"/>
          <w:sz w:val="24"/>
          <w:szCs w:val="24"/>
          <w:highlight w:val="white"/>
        </w:rPr>
        <w:t>Tomlinson and Javius, (2012)</w:t>
      </w:r>
      <w:r>
        <w:rPr>
          <w:rFonts w:ascii="Calibri" w:eastAsia="Calibri" w:hAnsi="Calibri" w:cs="Calibri"/>
          <w:sz w:val="24"/>
          <w:szCs w:val="24"/>
        </w:rPr>
        <w:t>. Both these principles and the above findings of Rubie-Davies et al (2004), have an uncanny affinity to several of the twelve pedagogical principles advocated in Wales’ cur</w:t>
      </w:r>
      <w:r>
        <w:rPr>
          <w:rFonts w:ascii="Calibri" w:eastAsia="Calibri" w:hAnsi="Calibri" w:cs="Calibri"/>
          <w:sz w:val="24"/>
          <w:szCs w:val="24"/>
        </w:rPr>
        <w:t>riculum reform report, Successful Futures (2015). However, the findings cannot offer a panacea with which to counter the implications of teacher expectations in all classrooms, as pedagogy is complex and dependent upon a number of variables which ‘combines</w:t>
      </w:r>
      <w:r>
        <w:rPr>
          <w:rFonts w:ascii="Calibri" w:eastAsia="Calibri" w:hAnsi="Calibri" w:cs="Calibri"/>
          <w:sz w:val="24"/>
          <w:szCs w:val="24"/>
        </w:rPr>
        <w:t xml:space="preserve"> theoretical and practical knowledge and skills with fine judgements about what is required to promote effective learning in particular contexts’ (Donaldson, 2015, p.63). There is however a caveat, albeit now sixteen years weightier than when it was origin</w:t>
      </w:r>
      <w:r>
        <w:rPr>
          <w:rFonts w:ascii="Calibri" w:eastAsia="Calibri" w:hAnsi="Calibri" w:cs="Calibri"/>
          <w:sz w:val="24"/>
          <w:szCs w:val="24"/>
        </w:rPr>
        <w:t>ally written, in that ‘no broad review summarizing and synthesising what is known and unknown about teacher expectations and self fulfilling prophecies has appeared in about 20 years’ (Jussim and Harber, 2005, p,131). Jussim and Harber (2005, p.134) justif</w:t>
      </w:r>
      <w:r>
        <w:rPr>
          <w:rFonts w:ascii="Calibri" w:eastAsia="Calibri" w:hAnsi="Calibri" w:cs="Calibri"/>
          <w:sz w:val="24"/>
          <w:szCs w:val="24"/>
        </w:rPr>
        <w:t>y their concerns regarding the impact of self fulfilling prophecy through findings which include; statistically significant gain data being questionably presented as a ‘dramatic effect’; subjects were more likely to convince perceivers to change their expe</w:t>
      </w:r>
      <w:r>
        <w:rPr>
          <w:rFonts w:ascii="Calibri" w:eastAsia="Calibri" w:hAnsi="Calibri" w:cs="Calibri"/>
          <w:sz w:val="24"/>
          <w:szCs w:val="24"/>
        </w:rPr>
        <w:t xml:space="preserve">ctations of them, rather than the perceivers expectations being met; and their impact is typically small and only occasionally large.   </w:t>
      </w:r>
    </w:p>
    <w:p w14:paraId="00000017" w14:textId="77777777" w:rsidR="009D116B" w:rsidRDefault="009D116B">
      <w:pPr>
        <w:rPr>
          <w:rFonts w:ascii="Calibri" w:eastAsia="Calibri" w:hAnsi="Calibri" w:cs="Calibri"/>
          <w:sz w:val="24"/>
          <w:szCs w:val="24"/>
        </w:rPr>
      </w:pPr>
    </w:p>
    <w:p w14:paraId="00000018" w14:textId="77777777" w:rsidR="009D116B" w:rsidRDefault="00F43361">
      <w:pPr>
        <w:rPr>
          <w:rFonts w:ascii="Calibri" w:eastAsia="Calibri" w:hAnsi="Calibri" w:cs="Calibri"/>
          <w:sz w:val="24"/>
          <w:szCs w:val="24"/>
          <w:shd w:val="clear" w:color="auto" w:fill="EAD1DC"/>
        </w:rPr>
      </w:pPr>
      <w:r>
        <w:rPr>
          <w:rFonts w:ascii="Calibri" w:eastAsia="Calibri" w:hAnsi="Calibri" w:cs="Calibri"/>
          <w:sz w:val="24"/>
          <w:szCs w:val="24"/>
        </w:rPr>
        <w:lastRenderedPageBreak/>
        <w:t>Although the study highlights potentially</w:t>
      </w:r>
      <w:r>
        <w:rPr>
          <w:rFonts w:ascii="Calibri" w:eastAsia="Calibri" w:hAnsi="Calibri" w:cs="Calibri"/>
          <w:sz w:val="24"/>
          <w:szCs w:val="24"/>
        </w:rPr>
        <w:t xml:space="preserve"> effective pedagogical mechanisms drawn from the observed practices and beliefs of those teachers with high student expectations, it has limitations and resultant  concerns which arise in relation to implementation of CfW. If such a small scale study of pr</w:t>
      </w:r>
      <w:r>
        <w:rPr>
          <w:rFonts w:ascii="Calibri" w:eastAsia="Calibri" w:hAnsi="Calibri" w:cs="Calibri"/>
          <w:sz w:val="24"/>
          <w:szCs w:val="24"/>
        </w:rPr>
        <w:t xml:space="preserve">actitioners ‘has shown that the pedagogical beliefs and reported practices of these groups vary in substantive ways’, how does Wales’ education system establish greater consistency of </w:t>
      </w:r>
      <w:r>
        <w:rPr>
          <w:rFonts w:ascii="Calibri" w:eastAsia="Calibri" w:hAnsi="Calibri" w:cs="Calibri"/>
          <w:i/>
          <w:sz w:val="24"/>
          <w:szCs w:val="24"/>
        </w:rPr>
        <w:t>curriculum content</w:t>
      </w:r>
      <w:r>
        <w:rPr>
          <w:rFonts w:ascii="Calibri" w:eastAsia="Calibri" w:hAnsi="Calibri" w:cs="Calibri"/>
          <w:sz w:val="24"/>
          <w:szCs w:val="24"/>
        </w:rPr>
        <w:t xml:space="preserve"> and </w:t>
      </w:r>
      <w:r>
        <w:rPr>
          <w:rFonts w:ascii="Calibri" w:eastAsia="Calibri" w:hAnsi="Calibri" w:cs="Calibri"/>
          <w:i/>
          <w:sz w:val="24"/>
          <w:szCs w:val="24"/>
        </w:rPr>
        <w:t>classroom practice</w:t>
      </w:r>
      <w:r>
        <w:rPr>
          <w:rFonts w:ascii="Calibri" w:eastAsia="Calibri" w:hAnsi="Calibri" w:cs="Calibri"/>
          <w:sz w:val="24"/>
          <w:szCs w:val="24"/>
        </w:rPr>
        <w:t xml:space="preserve">, and thus improve </w:t>
      </w:r>
      <w:r>
        <w:rPr>
          <w:rFonts w:ascii="Calibri" w:eastAsia="Calibri" w:hAnsi="Calibri" w:cs="Calibri"/>
          <w:i/>
          <w:sz w:val="24"/>
          <w:szCs w:val="24"/>
        </w:rPr>
        <w:t>equity of pr</w:t>
      </w:r>
      <w:r>
        <w:rPr>
          <w:rFonts w:ascii="Calibri" w:eastAsia="Calibri" w:hAnsi="Calibri" w:cs="Calibri"/>
          <w:i/>
          <w:sz w:val="24"/>
          <w:szCs w:val="24"/>
        </w:rPr>
        <w:t>ovision</w:t>
      </w:r>
      <w:r>
        <w:rPr>
          <w:rFonts w:ascii="Calibri" w:eastAsia="Calibri" w:hAnsi="Calibri" w:cs="Calibri"/>
          <w:sz w:val="24"/>
          <w:szCs w:val="24"/>
        </w:rPr>
        <w:t xml:space="preserve"> for students, across its schools? Likewise, the study concludes by raising concerns that ‘such divergent instructional practices may have important implications for student learning resulting in children being exposed to differential learning oppor</w:t>
      </w:r>
      <w:r>
        <w:rPr>
          <w:rFonts w:ascii="Calibri" w:eastAsia="Calibri" w:hAnsi="Calibri" w:cs="Calibri"/>
          <w:sz w:val="24"/>
          <w:szCs w:val="24"/>
        </w:rPr>
        <w:t>tunities depending on the types of teachers with whom they are placed’ (p.20).</w:t>
      </w:r>
    </w:p>
    <w:p w14:paraId="00000019" w14:textId="77777777" w:rsidR="009D116B" w:rsidRDefault="009D116B">
      <w:pPr>
        <w:rPr>
          <w:rFonts w:ascii="Calibri" w:eastAsia="Calibri" w:hAnsi="Calibri" w:cs="Calibri"/>
          <w:sz w:val="24"/>
          <w:szCs w:val="24"/>
          <w:shd w:val="clear" w:color="auto" w:fill="EAD1DC"/>
        </w:rPr>
      </w:pPr>
    </w:p>
    <w:p w14:paraId="0000001A"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Timperley and Robinson’s (2001) study, again in New Zealand, found ‘attributions that the problems of low student achievement are solely caused by external circumstances are a </w:t>
      </w:r>
      <w:r>
        <w:rPr>
          <w:rFonts w:ascii="Calibri" w:eastAsia="Calibri" w:hAnsi="Calibri" w:cs="Calibri"/>
          <w:sz w:val="24"/>
          <w:szCs w:val="24"/>
        </w:rPr>
        <w:t>perennial issue for school improvement’ (p.16). They conclude by affirming that whilst poverty no doubt increases the challenges related to teaching and learning, in the classroom, ‘there was evidence that the teachers underestimated the knowledge and skil</w:t>
      </w:r>
      <w:r>
        <w:rPr>
          <w:rFonts w:ascii="Calibri" w:eastAsia="Calibri" w:hAnsi="Calibri" w:cs="Calibri"/>
          <w:sz w:val="24"/>
          <w:szCs w:val="24"/>
        </w:rPr>
        <w:t>ls of the children they taught’. Teacher’s own ‘schema’ regarding the reasons for poor performing children were built upon so-called ‘external circumstances’ to the school such as student and family deprivation. A schema is the organisation of ‘knowledge s</w:t>
      </w:r>
      <w:r>
        <w:rPr>
          <w:rFonts w:ascii="Calibri" w:eastAsia="Calibri" w:hAnsi="Calibri" w:cs="Calibri"/>
          <w:sz w:val="24"/>
          <w:szCs w:val="24"/>
        </w:rPr>
        <w:t>tructures representing concepts such as situations, objects, events and actions, and the relationships between them’ (p.3). The study specifically aims to first establish and then develop teachers’ schema regarding the achievement of disadvantaged students</w:t>
      </w:r>
      <w:r>
        <w:rPr>
          <w:rFonts w:ascii="Calibri" w:eastAsia="Calibri" w:hAnsi="Calibri" w:cs="Calibri"/>
          <w:sz w:val="24"/>
          <w:szCs w:val="24"/>
        </w:rPr>
        <w:t xml:space="preserve"> on the understanding that schema ‘are dynamic rather than static’ (Lipman, 1991 cited in Timperley and Robinson, p.3).</w:t>
      </w:r>
    </w:p>
    <w:p w14:paraId="0000001B" w14:textId="77777777" w:rsidR="009D116B" w:rsidRDefault="00F43361">
      <w:pPr>
        <w:spacing w:before="240" w:after="240"/>
        <w:rPr>
          <w:rFonts w:ascii="Calibri" w:eastAsia="Calibri" w:hAnsi="Calibri" w:cs="Calibri"/>
          <w:sz w:val="24"/>
          <w:szCs w:val="24"/>
        </w:rPr>
      </w:pPr>
      <w:r>
        <w:rPr>
          <w:rFonts w:ascii="Calibri" w:eastAsia="Calibri" w:hAnsi="Calibri" w:cs="Calibri"/>
          <w:sz w:val="24"/>
          <w:szCs w:val="24"/>
        </w:rPr>
        <w:t xml:space="preserve">The schools involved in the study paid very little attention to internal school factors that could potentially be contributing to their </w:t>
      </w:r>
      <w:r>
        <w:rPr>
          <w:rFonts w:ascii="Calibri" w:eastAsia="Calibri" w:hAnsi="Calibri" w:cs="Calibri"/>
          <w:sz w:val="24"/>
          <w:szCs w:val="24"/>
        </w:rPr>
        <w:t>categorisation as ‘providing inadequate education’ (p.3). The study focuses on practitioners’ beliefs and behaviours as they have identified the role of practitioners as being decisive in any successful reform action and yet, not in isolation from the wide</w:t>
      </w:r>
      <w:r>
        <w:rPr>
          <w:rFonts w:ascii="Calibri" w:eastAsia="Calibri" w:hAnsi="Calibri" w:cs="Calibri"/>
          <w:sz w:val="24"/>
          <w:szCs w:val="24"/>
        </w:rPr>
        <w:t xml:space="preserve">r organisation or system context (Hargreaves, and Shirley, 2009; Barber, Chijiojke and Mourshed, 2010; Priestley, Biesta, and Robinson, 2012;  Fullan, 2016; </w:t>
      </w:r>
      <w:r>
        <w:rPr>
          <w:rFonts w:ascii="Calibri" w:eastAsia="Calibri" w:hAnsi="Calibri" w:cs="Calibri"/>
          <w:sz w:val="24"/>
          <w:szCs w:val="24"/>
          <w:highlight w:val="white"/>
        </w:rPr>
        <w:t xml:space="preserve">Pak Tee Ng, 2017; </w:t>
      </w:r>
      <w:r>
        <w:rPr>
          <w:rFonts w:ascii="Calibri" w:eastAsia="Calibri" w:hAnsi="Calibri" w:cs="Calibri"/>
          <w:sz w:val="24"/>
          <w:szCs w:val="24"/>
        </w:rPr>
        <w:t>Welsh Government, 2017a; Donaldson, 2019; Priestley et al, 2021). Contrary to the</w:t>
      </w:r>
      <w:r>
        <w:rPr>
          <w:rFonts w:ascii="Calibri" w:eastAsia="Calibri" w:hAnsi="Calibri" w:cs="Calibri"/>
          <w:sz w:val="24"/>
          <w:szCs w:val="24"/>
        </w:rPr>
        <w:t xml:space="preserve"> findings of Rubie-Davies et al’s (2004), where high teacher expectation of groups proved effective, Timperley and Robinson’s (2001) found that teachers in all of the schools studied, ‘underestimated the knowledge and skills of their students’, often blami</w:t>
      </w:r>
      <w:r>
        <w:rPr>
          <w:rFonts w:ascii="Calibri" w:eastAsia="Calibri" w:hAnsi="Calibri" w:cs="Calibri"/>
          <w:sz w:val="24"/>
          <w:szCs w:val="24"/>
        </w:rPr>
        <w:t>ng student low entry skills and lack of parent commitment to education. This was compounded by the inability of those practitioners to reflect upon and take action towards improving their practices, with some schools failing to use relevant and available d</w:t>
      </w:r>
      <w:r>
        <w:rPr>
          <w:rFonts w:ascii="Calibri" w:eastAsia="Calibri" w:hAnsi="Calibri" w:cs="Calibri"/>
          <w:sz w:val="24"/>
          <w:szCs w:val="24"/>
        </w:rPr>
        <w:t>ata to determine achievement and plan for progress. Instead, it was found that some of the schools used anecdotal evidence drawn from the actions of the ‘occasional child’ as a means of explaining their low expectations of the wider group performance (p.29</w:t>
      </w:r>
      <w:r>
        <w:rPr>
          <w:rFonts w:ascii="Calibri" w:eastAsia="Calibri" w:hAnsi="Calibri" w:cs="Calibri"/>
          <w:sz w:val="24"/>
          <w:szCs w:val="24"/>
        </w:rPr>
        <w:t>7).</w:t>
      </w:r>
    </w:p>
    <w:p w14:paraId="0000001C" w14:textId="77777777" w:rsidR="009D116B" w:rsidRDefault="00F43361">
      <w:pPr>
        <w:spacing w:before="240" w:after="240"/>
        <w:rPr>
          <w:rFonts w:ascii="Calibri" w:eastAsia="Calibri" w:hAnsi="Calibri" w:cs="Calibri"/>
          <w:sz w:val="24"/>
          <w:szCs w:val="24"/>
        </w:rPr>
      </w:pPr>
      <w:r>
        <w:rPr>
          <w:rFonts w:ascii="Calibri" w:eastAsia="Calibri" w:hAnsi="Calibri" w:cs="Calibri"/>
          <w:sz w:val="24"/>
          <w:szCs w:val="24"/>
        </w:rPr>
        <w:lastRenderedPageBreak/>
        <w:t xml:space="preserve">From my </w:t>
      </w:r>
      <w:r>
        <w:rPr>
          <w:rFonts w:ascii="Calibri" w:eastAsia="Calibri" w:hAnsi="Calibri" w:cs="Calibri"/>
          <w:sz w:val="24"/>
          <w:szCs w:val="24"/>
        </w:rPr>
        <w:t>experiences as former Head of Curriculum Design with Welsh Government and currently as an Executive Headteacher, I have little doubt that similar issues exist in Wales’ education system. Despite the numerous international studies demonstrating an incontrov</w:t>
      </w:r>
      <w:r>
        <w:rPr>
          <w:rFonts w:ascii="Calibri" w:eastAsia="Calibri" w:hAnsi="Calibri" w:cs="Calibri"/>
          <w:sz w:val="24"/>
          <w:szCs w:val="24"/>
        </w:rPr>
        <w:t>ertible link between lower student achievement and those students living in poverty, there is a shortfall in resultant policy or research activity, related to CfW. There is no evidence of studies, on behalf of the Welsh Government or otherwise, which speci</w:t>
      </w:r>
      <w:r>
        <w:rPr>
          <w:rFonts w:ascii="Calibri" w:eastAsia="Calibri" w:hAnsi="Calibri" w:cs="Calibri"/>
          <w:sz w:val="24"/>
          <w:szCs w:val="24"/>
        </w:rPr>
        <w:t>fically focuses upon the relationship between teacher expectations of disadvantaged students, student achievement and professional learning support. (Parekh and Kenway, 2011; Donelly, 2012; Estyn 2012; Joseph Rowntree Foundation, 2013; Egan, 2013; Joseph R</w:t>
      </w:r>
      <w:r>
        <w:rPr>
          <w:rFonts w:ascii="Calibri" w:eastAsia="Calibri" w:hAnsi="Calibri" w:cs="Calibri"/>
          <w:sz w:val="24"/>
          <w:szCs w:val="24"/>
        </w:rPr>
        <w:t>owntree Foundation, 2015). Such support was an integral part of Timperley and Robinson’s (2001) work towards changing teachers’ schema, where they identified that the ‘intervention of an external agent’ was used in an attempt to address teachers’ schema re</w:t>
      </w:r>
      <w:r>
        <w:rPr>
          <w:rFonts w:ascii="Calibri" w:eastAsia="Calibri" w:hAnsi="Calibri" w:cs="Calibri"/>
          <w:sz w:val="24"/>
          <w:szCs w:val="24"/>
        </w:rPr>
        <w:t>lated to low expectations of disadvantaged students. They advocate that any such professional learning and development interventions ‘must take the teachers beyond their understandings and analysis of current situations and challenge accepted schema’ (p.16</w:t>
      </w:r>
      <w:r>
        <w:rPr>
          <w:rFonts w:ascii="Calibri" w:eastAsia="Calibri" w:hAnsi="Calibri" w:cs="Calibri"/>
          <w:sz w:val="24"/>
          <w:szCs w:val="24"/>
        </w:rPr>
        <w:t>). However, there has been recent progress in Wales’ recognition of the role that teachers’ expectations can have upon student achievement, with increasingly regular references, in policy guidance, to teachers’ high expectations of the achievement and prog</w:t>
      </w:r>
      <w:r>
        <w:rPr>
          <w:rFonts w:ascii="Calibri" w:eastAsia="Calibri" w:hAnsi="Calibri" w:cs="Calibri"/>
          <w:sz w:val="24"/>
          <w:szCs w:val="24"/>
        </w:rPr>
        <w:t xml:space="preserve">ress of all learners and most pertinently, for disadvantaged learners. (Donaldson, 2015; 2019; Department for Education and Skills 2017a; 2018; Estyn 2020).   </w:t>
      </w:r>
    </w:p>
    <w:p w14:paraId="0000001D" w14:textId="77777777" w:rsidR="009D116B" w:rsidRDefault="00F43361">
      <w:pPr>
        <w:spacing w:before="240" w:after="240"/>
        <w:rPr>
          <w:rFonts w:ascii="Calibri" w:eastAsia="Calibri" w:hAnsi="Calibri" w:cs="Calibri"/>
          <w:sz w:val="24"/>
          <w:szCs w:val="24"/>
        </w:rPr>
      </w:pPr>
      <w:r>
        <w:rPr>
          <w:rFonts w:ascii="Calibri" w:eastAsia="Calibri" w:hAnsi="Calibri" w:cs="Calibri"/>
          <w:sz w:val="24"/>
          <w:szCs w:val="24"/>
        </w:rPr>
        <w:t xml:space="preserve">A review of research by Johnston, Wildy and Shand (2019), considered and critically synthesized </w:t>
      </w:r>
      <w:r>
        <w:rPr>
          <w:rFonts w:ascii="Calibri" w:eastAsia="Calibri" w:hAnsi="Calibri" w:cs="Calibri"/>
          <w:sz w:val="24"/>
          <w:szCs w:val="24"/>
        </w:rPr>
        <w:t xml:space="preserve">a decade of international </w:t>
      </w:r>
      <w:r>
        <w:rPr>
          <w:rFonts w:ascii="Calibri" w:eastAsia="Calibri" w:hAnsi="Calibri" w:cs="Calibri"/>
          <w:i/>
          <w:sz w:val="24"/>
          <w:szCs w:val="24"/>
        </w:rPr>
        <w:t>teacher expectation</w:t>
      </w:r>
      <w:r>
        <w:rPr>
          <w:rFonts w:ascii="Calibri" w:eastAsia="Calibri" w:hAnsi="Calibri" w:cs="Calibri"/>
          <w:sz w:val="24"/>
          <w:szCs w:val="24"/>
        </w:rPr>
        <w:t xml:space="preserve"> research, using a simplified ‘expectation effect process’, based upon the six step model of Brophy and Good (1970). It is of particular interest as a means of building on the above discussions regarding Rubie-D</w:t>
      </w:r>
      <w:r>
        <w:rPr>
          <w:rFonts w:ascii="Calibri" w:eastAsia="Calibri" w:hAnsi="Calibri" w:cs="Calibri"/>
          <w:sz w:val="24"/>
          <w:szCs w:val="24"/>
        </w:rPr>
        <w:t xml:space="preserve">avies et al (2004) and Timperley and Robinson’s (2001) whilst also considering Jussim and Harber’s (2005) claim regarding a lack of any broad review which synthesises the findings of teachers’ expectations research. This particular study looks ‘to further </w:t>
      </w:r>
      <w:r>
        <w:rPr>
          <w:rFonts w:ascii="Calibri" w:eastAsia="Calibri" w:hAnsi="Calibri" w:cs="Calibri"/>
          <w:sz w:val="24"/>
          <w:szCs w:val="24"/>
        </w:rPr>
        <w:t xml:space="preserve">understandings about </w:t>
      </w:r>
      <w:r>
        <w:rPr>
          <w:rFonts w:ascii="Calibri" w:eastAsia="Calibri" w:hAnsi="Calibri" w:cs="Calibri"/>
          <w:i/>
          <w:sz w:val="24"/>
          <w:szCs w:val="24"/>
        </w:rPr>
        <w:t>how</w:t>
      </w:r>
      <w:r>
        <w:rPr>
          <w:rFonts w:ascii="Calibri" w:eastAsia="Calibri" w:hAnsi="Calibri" w:cs="Calibri"/>
          <w:sz w:val="24"/>
          <w:szCs w:val="24"/>
        </w:rPr>
        <w:t xml:space="preserve"> and </w:t>
      </w:r>
      <w:r>
        <w:rPr>
          <w:rFonts w:ascii="Calibri" w:eastAsia="Calibri" w:hAnsi="Calibri" w:cs="Calibri"/>
          <w:i/>
          <w:sz w:val="24"/>
          <w:szCs w:val="24"/>
        </w:rPr>
        <w:t>why</w:t>
      </w:r>
      <w:r>
        <w:rPr>
          <w:rFonts w:ascii="Calibri" w:eastAsia="Calibri" w:hAnsi="Calibri" w:cs="Calibri"/>
          <w:sz w:val="24"/>
          <w:szCs w:val="24"/>
        </w:rPr>
        <w:t xml:space="preserve"> expectation effects vary between students could be gained’, through ‘contextually embedded qualitative research’(p.44). Teacher expectation effects can vary from three to sixty percent (Hattie, 2012; Jussim et al, 1996; Jus</w:t>
      </w:r>
      <w:r>
        <w:rPr>
          <w:rFonts w:ascii="Calibri" w:eastAsia="Calibri" w:hAnsi="Calibri" w:cs="Calibri"/>
          <w:sz w:val="24"/>
          <w:szCs w:val="24"/>
        </w:rPr>
        <w:t>sim &amp; Harber, 2005; Rubie-Davies, 2014 cited in Johnston, Wildy and Shand, 2019), with the findings from this review showing that; ‘variations are according to student background, teachers’ level of differentiation, and an array of other setting related fa</w:t>
      </w:r>
      <w:r>
        <w:rPr>
          <w:rFonts w:ascii="Calibri" w:eastAsia="Calibri" w:hAnsi="Calibri" w:cs="Calibri"/>
          <w:sz w:val="24"/>
          <w:szCs w:val="24"/>
        </w:rPr>
        <w:t>ctors; teachers’ expectations affect students and influence their responsiveness ‘in terms of student ‘self-concept,’ ‘engagement,’ and ‘motivation’ (Friedrich et al., 2015; Trusz, 2018 cited in Johnston, Wildy and Shand, 2019); teachers’ expectations enha</w:t>
      </w:r>
      <w:r>
        <w:rPr>
          <w:rFonts w:ascii="Calibri" w:eastAsia="Calibri" w:hAnsi="Calibri" w:cs="Calibri"/>
          <w:sz w:val="24"/>
          <w:szCs w:val="24"/>
        </w:rPr>
        <w:t>nce or restrict student achievement; there is variation in effect size between teachers and context; and interventions to raise teacher expectations have resulted in ‘some success’ (p.61). The impact of raising teachers’ expectations is also reflected in t</w:t>
      </w:r>
      <w:r>
        <w:rPr>
          <w:rFonts w:ascii="Calibri" w:eastAsia="Calibri" w:hAnsi="Calibri" w:cs="Calibri"/>
          <w:sz w:val="24"/>
          <w:szCs w:val="24"/>
        </w:rPr>
        <w:t xml:space="preserve">he findings of de boer, Timmermans and van de Werf (2018), where they articulate that it it is possible to raise teacher expectations through </w:t>
      </w:r>
      <w:r>
        <w:rPr>
          <w:rFonts w:ascii="Calibri" w:eastAsia="Calibri" w:hAnsi="Calibri" w:cs="Calibri"/>
          <w:sz w:val="24"/>
          <w:szCs w:val="24"/>
        </w:rPr>
        <w:lastRenderedPageBreak/>
        <w:t>interventions that focus upon ‘changing teacher behaviour, on creating awareness of teacher expectation effects an</w:t>
      </w:r>
      <w:r>
        <w:rPr>
          <w:rFonts w:ascii="Calibri" w:eastAsia="Calibri" w:hAnsi="Calibri" w:cs="Calibri"/>
          <w:sz w:val="24"/>
          <w:szCs w:val="24"/>
        </w:rPr>
        <w:t>d/or the existence of teacher expectation bias, or on addressing the beliefs that underlie teacher expectations’. These findings bode well for the potential of Wales’ National Approach to Professional Learning (NAPL) in addressing any CfW related need of t</w:t>
      </w:r>
      <w:r>
        <w:rPr>
          <w:rFonts w:ascii="Calibri" w:eastAsia="Calibri" w:hAnsi="Calibri" w:cs="Calibri"/>
          <w:sz w:val="24"/>
          <w:szCs w:val="24"/>
        </w:rPr>
        <w:t xml:space="preserve">eacher prejudice and discrimination in classrooms. </w:t>
      </w:r>
    </w:p>
    <w:p w14:paraId="0000001E" w14:textId="77777777" w:rsidR="009D116B" w:rsidRDefault="00F43361">
      <w:pPr>
        <w:rPr>
          <w:rFonts w:ascii="Calibri" w:eastAsia="Calibri" w:hAnsi="Calibri" w:cs="Calibri"/>
          <w:sz w:val="24"/>
          <w:szCs w:val="24"/>
        </w:rPr>
      </w:pPr>
      <w:bookmarkStart w:id="6" w:name="_k1iivrf1j1dd" w:colFirst="0" w:colLast="0"/>
      <w:bookmarkEnd w:id="6"/>
      <w:r>
        <w:rPr>
          <w:rFonts w:ascii="Calibri" w:eastAsia="Calibri" w:hAnsi="Calibri" w:cs="Calibri"/>
          <w:sz w:val="24"/>
          <w:szCs w:val="24"/>
        </w:rPr>
        <w:t>Classrooms are sites of social construction, where perceptions, bias and prejudice play an important role in the translation of curriculum into learning, progress and achievement  outcomes of students. ‘T</w:t>
      </w:r>
      <w:r>
        <w:rPr>
          <w:rFonts w:ascii="Calibri" w:eastAsia="Calibri" w:hAnsi="Calibri" w:cs="Calibri"/>
          <w:sz w:val="24"/>
          <w:szCs w:val="24"/>
        </w:rPr>
        <w:t xml:space="preserve">his helps to explain what is often referred to as the </w:t>
      </w:r>
      <w:r>
        <w:rPr>
          <w:rFonts w:ascii="Calibri" w:eastAsia="Calibri" w:hAnsi="Calibri" w:cs="Calibri"/>
          <w:i/>
          <w:sz w:val="24"/>
          <w:szCs w:val="24"/>
        </w:rPr>
        <w:t>implementation gap</w:t>
      </w:r>
      <w:r>
        <w:rPr>
          <w:rFonts w:ascii="Calibri" w:eastAsia="Calibri" w:hAnsi="Calibri" w:cs="Calibri"/>
          <w:sz w:val="24"/>
          <w:szCs w:val="24"/>
        </w:rPr>
        <w:t xml:space="preserve"> between policy intention and classroom practice’ (Hume and Priestley in Priestley et al, 2021, p.183). As Wales’ employs a deliberate education paradigm shift, moving from tight centr</w:t>
      </w:r>
      <w:r>
        <w:rPr>
          <w:rFonts w:ascii="Calibri" w:eastAsia="Calibri" w:hAnsi="Calibri" w:cs="Calibri"/>
          <w:sz w:val="24"/>
          <w:szCs w:val="24"/>
        </w:rPr>
        <w:t>al regulation to greater professional agency and trust, the responsibility of reducing prejudice and bias in the classroom lies in the hands of practitioners themselves, school leaders, and Wales’ numerous education agencies. There is a need to develop tea</w:t>
      </w:r>
      <w:r>
        <w:rPr>
          <w:rFonts w:ascii="Calibri" w:eastAsia="Calibri" w:hAnsi="Calibri" w:cs="Calibri"/>
          <w:sz w:val="24"/>
          <w:szCs w:val="24"/>
        </w:rPr>
        <w:t xml:space="preserve">chers’ professional understanding of expectations, related evidence and application of effective practices, to limit both the implicit and explicit negative impacts of teacher expectations. In addressing the professional learning needs of our teachers, in </w:t>
      </w:r>
      <w:r>
        <w:rPr>
          <w:rFonts w:ascii="Calibri" w:eastAsia="Calibri" w:hAnsi="Calibri" w:cs="Calibri"/>
          <w:sz w:val="24"/>
          <w:szCs w:val="24"/>
        </w:rPr>
        <w:t xml:space="preserve">readiness for the roll out of CfW, we may begin to mitigate the urgent concerns of this new paradigm; where curriculum and pedagogy have been granted greater degrees of autonomy and agency. Priestley et al (2021) warn of ‘teacher-proof curricula’, whereby </w:t>
      </w:r>
      <w:r>
        <w:rPr>
          <w:rFonts w:ascii="Calibri" w:eastAsia="Calibri" w:hAnsi="Calibri" w:cs="Calibri"/>
          <w:sz w:val="24"/>
          <w:szCs w:val="24"/>
        </w:rPr>
        <w:t>the what and how of curriculum implementation requires unrealistic degrees of fidelity and central diktat to be successful. In Wales, teachers can now ill afford to be naive or over zealous regarding their new found freedoms. Wales has over thirty five tho</w:t>
      </w:r>
      <w:r>
        <w:rPr>
          <w:rFonts w:ascii="Calibri" w:eastAsia="Calibri" w:hAnsi="Calibri" w:cs="Calibri"/>
          <w:sz w:val="24"/>
          <w:szCs w:val="24"/>
        </w:rPr>
        <w:t xml:space="preserve">usand registered teachers (Education Workforce Council, 2020), working to support more than eighty five thousand students eligible for free school meals whilst simultaneously working in varying degrees towards realising curriculum reform. </w:t>
      </w:r>
    </w:p>
    <w:p w14:paraId="0000001F" w14:textId="77777777" w:rsidR="009D116B" w:rsidRDefault="009D116B">
      <w:pPr>
        <w:rPr>
          <w:rFonts w:ascii="Calibri" w:eastAsia="Calibri" w:hAnsi="Calibri" w:cs="Calibri"/>
          <w:sz w:val="24"/>
          <w:szCs w:val="24"/>
        </w:rPr>
      </w:pPr>
      <w:bookmarkStart w:id="7" w:name="_19eozt2zcs5f" w:colFirst="0" w:colLast="0"/>
      <w:bookmarkEnd w:id="7"/>
    </w:p>
    <w:p w14:paraId="00000020" w14:textId="77777777" w:rsidR="009D116B" w:rsidRDefault="00F43361">
      <w:pPr>
        <w:rPr>
          <w:rFonts w:ascii="Calibri" w:eastAsia="Calibri" w:hAnsi="Calibri" w:cs="Calibri"/>
          <w:sz w:val="24"/>
          <w:szCs w:val="24"/>
        </w:rPr>
      </w:pPr>
      <w:bookmarkStart w:id="8" w:name="_tub4ccud6mx5" w:colFirst="0" w:colLast="0"/>
      <w:bookmarkEnd w:id="8"/>
      <w:r>
        <w:rPr>
          <w:rFonts w:ascii="Calibri" w:eastAsia="Calibri" w:hAnsi="Calibri" w:cs="Calibri"/>
          <w:sz w:val="24"/>
          <w:szCs w:val="24"/>
        </w:rPr>
        <w:t>There is no sim</w:t>
      </w:r>
      <w:r>
        <w:rPr>
          <w:rFonts w:ascii="Calibri" w:eastAsia="Calibri" w:hAnsi="Calibri" w:cs="Calibri"/>
          <w:sz w:val="24"/>
          <w:szCs w:val="24"/>
        </w:rPr>
        <w:t>ple fix or one-size-fits-all solution. As Timmermans, Kuper and van de Werf (2015) conclude, teacher expectation is complex and is dependent upon ‘on many factors, such as the students’ own performance, their gender and socio-ethnic background, the perform</w:t>
      </w:r>
      <w:r>
        <w:rPr>
          <w:rFonts w:ascii="Calibri" w:eastAsia="Calibri" w:hAnsi="Calibri" w:cs="Calibri"/>
          <w:sz w:val="24"/>
          <w:szCs w:val="24"/>
        </w:rPr>
        <w:t>ance and socio-ethnic composition of their class, and also on their individual teacher (p.475). Further research is required to address each of these factors, in the light of CfW and the role that teachers’ expectations have upon student achievement. The s</w:t>
      </w:r>
      <w:r>
        <w:rPr>
          <w:rFonts w:ascii="Calibri" w:eastAsia="Calibri" w:hAnsi="Calibri" w:cs="Calibri"/>
          <w:sz w:val="24"/>
          <w:szCs w:val="24"/>
        </w:rPr>
        <w:t xml:space="preserve">tudies critically discussed here, whilst not covering all of these factors, present an extremely compelling argument for a robust professional learning offer that works rigorously to safeguard the needs of all learners. </w:t>
      </w:r>
    </w:p>
    <w:p w14:paraId="00000021" w14:textId="77777777" w:rsidR="009D116B" w:rsidRDefault="009D116B">
      <w:pPr>
        <w:rPr>
          <w:rFonts w:ascii="Calibri" w:eastAsia="Calibri" w:hAnsi="Calibri" w:cs="Calibri"/>
          <w:sz w:val="24"/>
          <w:szCs w:val="24"/>
        </w:rPr>
      </w:pPr>
      <w:bookmarkStart w:id="9" w:name="_73f34m52x3hn" w:colFirst="0" w:colLast="0"/>
      <w:bookmarkEnd w:id="9"/>
    </w:p>
    <w:p w14:paraId="00000022" w14:textId="77777777" w:rsidR="009D116B" w:rsidRDefault="00F43361">
      <w:pPr>
        <w:rPr>
          <w:rFonts w:ascii="Calibri" w:eastAsia="Calibri" w:hAnsi="Calibri" w:cs="Calibri"/>
          <w:sz w:val="24"/>
          <w:szCs w:val="24"/>
        </w:rPr>
      </w:pPr>
      <w:bookmarkStart w:id="10" w:name="_n8s370cbnyq3" w:colFirst="0" w:colLast="0"/>
      <w:bookmarkEnd w:id="10"/>
      <w:r>
        <w:rPr>
          <w:rFonts w:ascii="Calibri" w:eastAsia="Calibri" w:hAnsi="Calibri" w:cs="Calibri"/>
          <w:sz w:val="24"/>
          <w:szCs w:val="24"/>
        </w:rPr>
        <w:t>Wales’ National Approach to Profes</w:t>
      </w:r>
      <w:r>
        <w:rPr>
          <w:rFonts w:ascii="Calibri" w:eastAsia="Calibri" w:hAnsi="Calibri" w:cs="Calibri"/>
          <w:sz w:val="24"/>
          <w:szCs w:val="24"/>
        </w:rPr>
        <w:t xml:space="preserve">sional Learning (NAPL), (Department for Education and Skills, 2018), is clear in purpose and intent but is yet to begin to take any action in reducing inconsistencies in practice or increasing coherence of curriculum design. An ongoing absence of detailed </w:t>
      </w:r>
      <w:r>
        <w:rPr>
          <w:rFonts w:ascii="Calibri" w:eastAsia="Calibri" w:hAnsi="Calibri" w:cs="Calibri"/>
          <w:sz w:val="24"/>
          <w:szCs w:val="24"/>
        </w:rPr>
        <w:t xml:space="preserve">and coherent actions regarding the </w:t>
      </w:r>
      <w:r>
        <w:rPr>
          <w:rFonts w:ascii="Calibri" w:eastAsia="Calibri" w:hAnsi="Calibri" w:cs="Calibri"/>
          <w:i/>
          <w:sz w:val="24"/>
          <w:szCs w:val="24"/>
        </w:rPr>
        <w:t>enabling</w:t>
      </w:r>
      <w:r>
        <w:rPr>
          <w:rFonts w:ascii="Calibri" w:eastAsia="Calibri" w:hAnsi="Calibri" w:cs="Calibri"/>
          <w:sz w:val="24"/>
          <w:szCs w:val="24"/>
        </w:rPr>
        <w:t xml:space="preserve"> roles of the NAPL will only </w:t>
      </w:r>
      <w:r>
        <w:rPr>
          <w:rFonts w:ascii="Calibri" w:eastAsia="Calibri" w:hAnsi="Calibri" w:cs="Calibri"/>
          <w:sz w:val="24"/>
          <w:szCs w:val="24"/>
        </w:rPr>
        <w:lastRenderedPageBreak/>
        <w:t>prove to further erode teacher confidence, capability and equity for learners as we approach the 2022 curriculum roll out. Policy makers, practitioners and researchers must work closel</w:t>
      </w:r>
      <w:r>
        <w:rPr>
          <w:rFonts w:ascii="Calibri" w:eastAsia="Calibri" w:hAnsi="Calibri" w:cs="Calibri"/>
          <w:sz w:val="24"/>
          <w:szCs w:val="24"/>
        </w:rPr>
        <w:t>y together, establishing the degree to which subsidiarity allows schools to thrive and build on the emergent strategic approaches to initial teacher education and ongoing professional development, all whilst avoiding the pitfalls of inequity through mass v</w:t>
      </w:r>
      <w:r>
        <w:rPr>
          <w:rFonts w:ascii="Calibri" w:eastAsia="Calibri" w:hAnsi="Calibri" w:cs="Calibri"/>
          <w:sz w:val="24"/>
          <w:szCs w:val="24"/>
        </w:rPr>
        <w:t xml:space="preserve">ariability. Almost forty years on we would do well to heed and ensure we act upon the observations of Brophy (1982), in recognising that ‘individual teachers still adapt officially adopted curricula according to their own education beliefs and perceptions </w:t>
      </w:r>
      <w:r>
        <w:rPr>
          <w:rFonts w:ascii="Calibri" w:eastAsia="Calibri" w:hAnsi="Calibri" w:cs="Calibri"/>
          <w:sz w:val="24"/>
          <w:szCs w:val="24"/>
        </w:rPr>
        <w:t xml:space="preserve">about their students’ needs. It remains important for teachers to know how to select curriculum materials for their students. In this regard, and relevant to empowering the workforce for Wales’ reforms, ‘preservice and inservice teacher education could do </w:t>
      </w:r>
      <w:r>
        <w:rPr>
          <w:rFonts w:ascii="Calibri" w:eastAsia="Calibri" w:hAnsi="Calibri" w:cs="Calibri"/>
          <w:sz w:val="24"/>
          <w:szCs w:val="24"/>
        </w:rPr>
        <w:t xml:space="preserve">a much better job than it usually does to alert teachers to students’ needs and prepare teachers to deal with these effectively’ (p.11).  </w:t>
      </w:r>
    </w:p>
    <w:p w14:paraId="00000023" w14:textId="77777777" w:rsidR="009D116B" w:rsidRDefault="009D116B">
      <w:pPr>
        <w:rPr>
          <w:rFonts w:ascii="Calibri" w:eastAsia="Calibri" w:hAnsi="Calibri" w:cs="Calibri"/>
          <w:sz w:val="24"/>
          <w:szCs w:val="24"/>
        </w:rPr>
      </w:pPr>
      <w:bookmarkStart w:id="11" w:name="_xq1boq1zgcan" w:colFirst="0" w:colLast="0"/>
      <w:bookmarkEnd w:id="11"/>
    </w:p>
    <w:p w14:paraId="00000024" w14:textId="77777777" w:rsidR="009D116B" w:rsidRDefault="009D116B">
      <w:pPr>
        <w:rPr>
          <w:rFonts w:ascii="Calibri" w:eastAsia="Calibri" w:hAnsi="Calibri" w:cs="Calibri"/>
          <w:sz w:val="24"/>
          <w:szCs w:val="24"/>
        </w:rPr>
      </w:pPr>
      <w:bookmarkStart w:id="12" w:name="_rgd9egz7timp" w:colFirst="0" w:colLast="0"/>
      <w:bookmarkEnd w:id="12"/>
    </w:p>
    <w:p w14:paraId="00000025" w14:textId="77777777" w:rsidR="009D116B" w:rsidRDefault="009D116B">
      <w:pPr>
        <w:rPr>
          <w:rFonts w:ascii="Calibri" w:eastAsia="Calibri" w:hAnsi="Calibri" w:cs="Calibri"/>
          <w:sz w:val="24"/>
          <w:szCs w:val="24"/>
        </w:rPr>
      </w:pPr>
      <w:bookmarkStart w:id="13" w:name="_sgx2jdt8f3t" w:colFirst="0" w:colLast="0"/>
      <w:bookmarkEnd w:id="13"/>
    </w:p>
    <w:p w14:paraId="00000026" w14:textId="77777777" w:rsidR="009D116B" w:rsidRDefault="009D116B">
      <w:pPr>
        <w:rPr>
          <w:rFonts w:ascii="Calibri" w:eastAsia="Calibri" w:hAnsi="Calibri" w:cs="Calibri"/>
          <w:sz w:val="24"/>
          <w:szCs w:val="24"/>
        </w:rPr>
      </w:pPr>
      <w:bookmarkStart w:id="14" w:name="_y39mauun7hyf" w:colFirst="0" w:colLast="0"/>
      <w:bookmarkEnd w:id="14"/>
    </w:p>
    <w:p w14:paraId="00000027" w14:textId="77777777" w:rsidR="009D116B" w:rsidRDefault="009D116B">
      <w:pPr>
        <w:rPr>
          <w:rFonts w:ascii="Calibri" w:eastAsia="Calibri" w:hAnsi="Calibri" w:cs="Calibri"/>
          <w:sz w:val="24"/>
          <w:szCs w:val="24"/>
        </w:rPr>
      </w:pPr>
      <w:bookmarkStart w:id="15" w:name="_j9771k6o4cmj" w:colFirst="0" w:colLast="0"/>
      <w:bookmarkEnd w:id="15"/>
    </w:p>
    <w:p w14:paraId="00000028" w14:textId="77777777" w:rsidR="009D116B" w:rsidRDefault="009D116B">
      <w:pPr>
        <w:rPr>
          <w:rFonts w:ascii="Calibri" w:eastAsia="Calibri" w:hAnsi="Calibri" w:cs="Calibri"/>
          <w:sz w:val="24"/>
          <w:szCs w:val="24"/>
        </w:rPr>
      </w:pPr>
      <w:bookmarkStart w:id="16" w:name="_wkuc0c8tno87" w:colFirst="0" w:colLast="0"/>
      <w:bookmarkEnd w:id="16"/>
    </w:p>
    <w:p w14:paraId="00000029" w14:textId="77777777" w:rsidR="009D116B" w:rsidRDefault="009D116B">
      <w:pPr>
        <w:rPr>
          <w:rFonts w:ascii="Calibri" w:eastAsia="Calibri" w:hAnsi="Calibri" w:cs="Calibri"/>
          <w:sz w:val="24"/>
          <w:szCs w:val="24"/>
        </w:rPr>
      </w:pPr>
      <w:bookmarkStart w:id="17" w:name="_pk4muni7kisi" w:colFirst="0" w:colLast="0"/>
      <w:bookmarkEnd w:id="17"/>
    </w:p>
    <w:p w14:paraId="0000002A" w14:textId="77777777" w:rsidR="009D116B" w:rsidRDefault="009D116B">
      <w:pPr>
        <w:rPr>
          <w:rFonts w:ascii="Calibri" w:eastAsia="Calibri" w:hAnsi="Calibri" w:cs="Calibri"/>
          <w:sz w:val="24"/>
          <w:szCs w:val="24"/>
        </w:rPr>
      </w:pPr>
      <w:bookmarkStart w:id="18" w:name="_3h8qplcunw6b" w:colFirst="0" w:colLast="0"/>
      <w:bookmarkEnd w:id="18"/>
    </w:p>
    <w:p w14:paraId="0000002B" w14:textId="77777777" w:rsidR="009D116B" w:rsidRDefault="009D116B">
      <w:pPr>
        <w:rPr>
          <w:rFonts w:ascii="Calibri" w:eastAsia="Calibri" w:hAnsi="Calibri" w:cs="Calibri"/>
          <w:sz w:val="24"/>
          <w:szCs w:val="24"/>
        </w:rPr>
      </w:pPr>
      <w:bookmarkStart w:id="19" w:name="_20dgyoizg6r7" w:colFirst="0" w:colLast="0"/>
      <w:bookmarkEnd w:id="19"/>
    </w:p>
    <w:p w14:paraId="0000002C" w14:textId="77777777" w:rsidR="009D116B" w:rsidRDefault="009D116B">
      <w:pPr>
        <w:rPr>
          <w:rFonts w:ascii="Calibri" w:eastAsia="Calibri" w:hAnsi="Calibri" w:cs="Calibri"/>
          <w:sz w:val="24"/>
          <w:szCs w:val="24"/>
        </w:rPr>
      </w:pPr>
      <w:bookmarkStart w:id="20" w:name="_11f3d4v8l505" w:colFirst="0" w:colLast="0"/>
      <w:bookmarkEnd w:id="20"/>
    </w:p>
    <w:p w14:paraId="0000002D" w14:textId="77777777" w:rsidR="009D116B" w:rsidRDefault="009D116B">
      <w:pPr>
        <w:rPr>
          <w:rFonts w:ascii="Calibri" w:eastAsia="Calibri" w:hAnsi="Calibri" w:cs="Calibri"/>
          <w:sz w:val="24"/>
          <w:szCs w:val="24"/>
        </w:rPr>
      </w:pPr>
      <w:bookmarkStart w:id="21" w:name="_215pnojvc2o" w:colFirst="0" w:colLast="0"/>
      <w:bookmarkEnd w:id="21"/>
    </w:p>
    <w:p w14:paraId="0000002E" w14:textId="77777777" w:rsidR="009D116B" w:rsidRDefault="009D116B">
      <w:pPr>
        <w:rPr>
          <w:rFonts w:ascii="Calibri" w:eastAsia="Calibri" w:hAnsi="Calibri" w:cs="Calibri"/>
          <w:sz w:val="24"/>
          <w:szCs w:val="24"/>
        </w:rPr>
      </w:pPr>
      <w:bookmarkStart w:id="22" w:name="_nnbqb3t00rj5" w:colFirst="0" w:colLast="0"/>
      <w:bookmarkEnd w:id="22"/>
    </w:p>
    <w:p w14:paraId="0000002F" w14:textId="77777777" w:rsidR="009D116B" w:rsidRDefault="009D116B">
      <w:pPr>
        <w:rPr>
          <w:rFonts w:ascii="Calibri" w:eastAsia="Calibri" w:hAnsi="Calibri" w:cs="Calibri"/>
          <w:sz w:val="24"/>
          <w:szCs w:val="24"/>
        </w:rPr>
      </w:pPr>
      <w:bookmarkStart w:id="23" w:name="_804pg6a15q65" w:colFirst="0" w:colLast="0"/>
      <w:bookmarkEnd w:id="23"/>
    </w:p>
    <w:p w14:paraId="00000030" w14:textId="77777777" w:rsidR="009D116B" w:rsidRDefault="009D116B">
      <w:pPr>
        <w:rPr>
          <w:rFonts w:ascii="Calibri" w:eastAsia="Calibri" w:hAnsi="Calibri" w:cs="Calibri"/>
          <w:sz w:val="24"/>
          <w:szCs w:val="24"/>
        </w:rPr>
      </w:pPr>
      <w:bookmarkStart w:id="24" w:name="_lq0dgi2lovmg" w:colFirst="0" w:colLast="0"/>
      <w:bookmarkEnd w:id="24"/>
    </w:p>
    <w:p w14:paraId="00000031" w14:textId="77777777" w:rsidR="009D116B" w:rsidRDefault="009D116B">
      <w:pPr>
        <w:rPr>
          <w:rFonts w:ascii="Calibri" w:eastAsia="Calibri" w:hAnsi="Calibri" w:cs="Calibri"/>
          <w:sz w:val="24"/>
          <w:szCs w:val="24"/>
        </w:rPr>
      </w:pPr>
      <w:bookmarkStart w:id="25" w:name="_5017o5y6zrc" w:colFirst="0" w:colLast="0"/>
      <w:bookmarkEnd w:id="25"/>
    </w:p>
    <w:p w14:paraId="00000032" w14:textId="77777777" w:rsidR="009D116B" w:rsidRDefault="009D116B">
      <w:pPr>
        <w:rPr>
          <w:rFonts w:ascii="Calibri" w:eastAsia="Calibri" w:hAnsi="Calibri" w:cs="Calibri"/>
          <w:sz w:val="24"/>
          <w:szCs w:val="24"/>
        </w:rPr>
      </w:pPr>
      <w:bookmarkStart w:id="26" w:name="_7hbm7wkxhar3" w:colFirst="0" w:colLast="0"/>
      <w:bookmarkEnd w:id="26"/>
    </w:p>
    <w:p w14:paraId="00000033" w14:textId="77777777" w:rsidR="009D116B" w:rsidRDefault="009D116B">
      <w:pPr>
        <w:rPr>
          <w:rFonts w:ascii="Calibri" w:eastAsia="Calibri" w:hAnsi="Calibri" w:cs="Calibri"/>
          <w:sz w:val="24"/>
          <w:szCs w:val="24"/>
        </w:rPr>
      </w:pPr>
      <w:bookmarkStart w:id="27" w:name="_vlfwm6mpb0wu" w:colFirst="0" w:colLast="0"/>
      <w:bookmarkEnd w:id="27"/>
    </w:p>
    <w:p w14:paraId="00000034" w14:textId="77777777" w:rsidR="009D116B" w:rsidRDefault="009D116B">
      <w:pPr>
        <w:rPr>
          <w:rFonts w:ascii="Calibri" w:eastAsia="Calibri" w:hAnsi="Calibri" w:cs="Calibri"/>
          <w:sz w:val="24"/>
          <w:szCs w:val="24"/>
        </w:rPr>
      </w:pPr>
      <w:bookmarkStart w:id="28" w:name="_miafsw6hd58u" w:colFirst="0" w:colLast="0"/>
      <w:bookmarkEnd w:id="28"/>
    </w:p>
    <w:p w14:paraId="00000035" w14:textId="77777777" w:rsidR="009D116B" w:rsidRDefault="009D116B">
      <w:pPr>
        <w:rPr>
          <w:rFonts w:ascii="Calibri" w:eastAsia="Calibri" w:hAnsi="Calibri" w:cs="Calibri"/>
          <w:sz w:val="24"/>
          <w:szCs w:val="24"/>
        </w:rPr>
      </w:pPr>
      <w:bookmarkStart w:id="29" w:name="_a7imcmywvwj7" w:colFirst="0" w:colLast="0"/>
      <w:bookmarkEnd w:id="29"/>
    </w:p>
    <w:p w14:paraId="00000036" w14:textId="77777777" w:rsidR="009D116B" w:rsidRDefault="009D116B">
      <w:pPr>
        <w:rPr>
          <w:rFonts w:ascii="Calibri" w:eastAsia="Calibri" w:hAnsi="Calibri" w:cs="Calibri"/>
          <w:sz w:val="24"/>
          <w:szCs w:val="24"/>
        </w:rPr>
      </w:pPr>
      <w:bookmarkStart w:id="30" w:name="_4ybh1ax46olo" w:colFirst="0" w:colLast="0"/>
      <w:bookmarkEnd w:id="30"/>
    </w:p>
    <w:p w14:paraId="00000037" w14:textId="77777777" w:rsidR="009D116B" w:rsidRDefault="009D116B">
      <w:pPr>
        <w:rPr>
          <w:rFonts w:ascii="Calibri" w:eastAsia="Calibri" w:hAnsi="Calibri" w:cs="Calibri"/>
          <w:sz w:val="24"/>
          <w:szCs w:val="24"/>
        </w:rPr>
      </w:pPr>
      <w:bookmarkStart w:id="31" w:name="_y5hucsfx79ke" w:colFirst="0" w:colLast="0"/>
      <w:bookmarkEnd w:id="31"/>
    </w:p>
    <w:p w14:paraId="00000038" w14:textId="77777777" w:rsidR="009D116B" w:rsidRDefault="009D116B">
      <w:pPr>
        <w:rPr>
          <w:rFonts w:ascii="Calibri" w:eastAsia="Calibri" w:hAnsi="Calibri" w:cs="Calibri"/>
          <w:sz w:val="24"/>
          <w:szCs w:val="24"/>
        </w:rPr>
      </w:pPr>
      <w:bookmarkStart w:id="32" w:name="_c7lagcguy5j3" w:colFirst="0" w:colLast="0"/>
      <w:bookmarkEnd w:id="32"/>
    </w:p>
    <w:p w14:paraId="00000039" w14:textId="77777777" w:rsidR="009D116B" w:rsidRDefault="009D116B">
      <w:pPr>
        <w:rPr>
          <w:rFonts w:ascii="Calibri" w:eastAsia="Calibri" w:hAnsi="Calibri" w:cs="Calibri"/>
          <w:sz w:val="24"/>
          <w:szCs w:val="24"/>
        </w:rPr>
      </w:pPr>
      <w:bookmarkStart w:id="33" w:name="_w6w3pwjxu8gm" w:colFirst="0" w:colLast="0"/>
      <w:bookmarkEnd w:id="33"/>
    </w:p>
    <w:p w14:paraId="0000003A" w14:textId="77777777" w:rsidR="009D116B" w:rsidRDefault="009D116B">
      <w:pPr>
        <w:rPr>
          <w:rFonts w:ascii="Calibri" w:eastAsia="Calibri" w:hAnsi="Calibri" w:cs="Calibri"/>
          <w:sz w:val="24"/>
          <w:szCs w:val="24"/>
        </w:rPr>
      </w:pPr>
      <w:bookmarkStart w:id="34" w:name="_yv4rlyaj5jqa" w:colFirst="0" w:colLast="0"/>
      <w:bookmarkEnd w:id="34"/>
    </w:p>
    <w:p w14:paraId="0000003B" w14:textId="77777777" w:rsidR="009D116B" w:rsidRDefault="009D116B">
      <w:pPr>
        <w:rPr>
          <w:rFonts w:ascii="Calibri" w:eastAsia="Calibri" w:hAnsi="Calibri" w:cs="Calibri"/>
          <w:sz w:val="24"/>
          <w:szCs w:val="24"/>
        </w:rPr>
      </w:pPr>
      <w:bookmarkStart w:id="35" w:name="_wkwbxmk7tu30" w:colFirst="0" w:colLast="0"/>
      <w:bookmarkEnd w:id="35"/>
    </w:p>
    <w:p w14:paraId="0000003C" w14:textId="77777777" w:rsidR="009D116B" w:rsidRDefault="009D116B">
      <w:pPr>
        <w:rPr>
          <w:rFonts w:ascii="Calibri" w:eastAsia="Calibri" w:hAnsi="Calibri" w:cs="Calibri"/>
          <w:sz w:val="24"/>
          <w:szCs w:val="24"/>
        </w:rPr>
      </w:pPr>
      <w:bookmarkStart w:id="36" w:name="_6dom4eonjivt" w:colFirst="0" w:colLast="0"/>
      <w:bookmarkEnd w:id="36"/>
    </w:p>
    <w:p w14:paraId="0000003D" w14:textId="77777777" w:rsidR="009D116B" w:rsidRDefault="009D116B">
      <w:pPr>
        <w:rPr>
          <w:rFonts w:ascii="Calibri" w:eastAsia="Calibri" w:hAnsi="Calibri" w:cs="Calibri"/>
          <w:sz w:val="24"/>
          <w:szCs w:val="24"/>
        </w:rPr>
      </w:pPr>
      <w:bookmarkStart w:id="37" w:name="_rbwiqfbx9jeo" w:colFirst="0" w:colLast="0"/>
      <w:bookmarkEnd w:id="37"/>
    </w:p>
    <w:p w14:paraId="0000003E" w14:textId="77777777" w:rsidR="009D116B" w:rsidRDefault="009D116B">
      <w:pPr>
        <w:rPr>
          <w:rFonts w:ascii="Calibri" w:eastAsia="Calibri" w:hAnsi="Calibri" w:cs="Calibri"/>
          <w:sz w:val="24"/>
          <w:szCs w:val="24"/>
        </w:rPr>
      </w:pPr>
      <w:bookmarkStart w:id="38" w:name="_429igbmx56" w:colFirst="0" w:colLast="0"/>
      <w:bookmarkEnd w:id="38"/>
    </w:p>
    <w:p w14:paraId="0000003F" w14:textId="77777777" w:rsidR="009D116B" w:rsidRDefault="00F43361">
      <w:pPr>
        <w:rPr>
          <w:rFonts w:ascii="Calibri" w:eastAsia="Calibri" w:hAnsi="Calibri" w:cs="Calibri"/>
          <w:b/>
          <w:sz w:val="28"/>
          <w:szCs w:val="28"/>
        </w:rPr>
      </w:pPr>
      <w:bookmarkStart w:id="39" w:name="_9cn4r26v3w5r" w:colFirst="0" w:colLast="0"/>
      <w:bookmarkEnd w:id="39"/>
      <w:r>
        <w:rPr>
          <w:rFonts w:ascii="Calibri" w:eastAsia="Calibri" w:hAnsi="Calibri" w:cs="Calibri"/>
          <w:b/>
          <w:sz w:val="28"/>
          <w:szCs w:val="28"/>
        </w:rPr>
        <w:lastRenderedPageBreak/>
        <w:t>References</w:t>
      </w:r>
    </w:p>
    <w:p w14:paraId="00000040" w14:textId="77777777" w:rsidR="009D116B" w:rsidRDefault="009D116B">
      <w:pPr>
        <w:rPr>
          <w:rFonts w:ascii="Calibri" w:eastAsia="Calibri" w:hAnsi="Calibri" w:cs="Calibri"/>
          <w:sz w:val="24"/>
          <w:szCs w:val="24"/>
        </w:rPr>
      </w:pPr>
      <w:bookmarkStart w:id="40" w:name="_a6qj5mrg7dno" w:colFirst="0" w:colLast="0"/>
      <w:bookmarkEnd w:id="40"/>
    </w:p>
    <w:p w14:paraId="00000041" w14:textId="77777777" w:rsidR="009D116B" w:rsidRDefault="00F43361">
      <w:pPr>
        <w:rPr>
          <w:rFonts w:ascii="Calibri" w:eastAsia="Calibri" w:hAnsi="Calibri" w:cs="Calibri"/>
          <w:sz w:val="24"/>
          <w:szCs w:val="24"/>
        </w:rPr>
      </w:pPr>
      <w:bookmarkStart w:id="41" w:name="_yic1onqe5y7t" w:colFirst="0" w:colLast="0"/>
      <w:bookmarkEnd w:id="41"/>
      <w:r>
        <w:rPr>
          <w:rFonts w:ascii="Calibri" w:eastAsia="Calibri" w:hAnsi="Calibri" w:cs="Calibri"/>
          <w:sz w:val="24"/>
          <w:szCs w:val="24"/>
        </w:rPr>
        <w:t>Abrams</w:t>
      </w:r>
      <w:r>
        <w:rPr>
          <w:rFonts w:ascii="Calibri" w:eastAsia="Calibri" w:hAnsi="Calibri" w:cs="Calibri"/>
          <w:sz w:val="24"/>
          <w:szCs w:val="24"/>
        </w:rPr>
        <w:t xml:space="preserve">, D. (2010) ‘Processes of prejudice: theory, evidence and intervention’. Equality and Human Rights Commission, Research Report 56. Available at: http://www.equalityhumanrights.com/sites/default/files/documents/research/ 56_processes_of_prejudice.pdf </w:t>
      </w:r>
    </w:p>
    <w:p w14:paraId="00000042" w14:textId="77777777" w:rsidR="009D116B" w:rsidRDefault="009D116B">
      <w:pPr>
        <w:rPr>
          <w:rFonts w:ascii="Calibri" w:eastAsia="Calibri" w:hAnsi="Calibri" w:cs="Calibri"/>
          <w:sz w:val="24"/>
          <w:szCs w:val="24"/>
        </w:rPr>
      </w:pPr>
    </w:p>
    <w:p w14:paraId="00000043" w14:textId="77777777" w:rsidR="009D116B" w:rsidRDefault="00F43361">
      <w:pPr>
        <w:rPr>
          <w:rFonts w:ascii="Calibri" w:eastAsia="Calibri" w:hAnsi="Calibri" w:cs="Calibri"/>
          <w:sz w:val="24"/>
          <w:szCs w:val="24"/>
        </w:rPr>
      </w:pPr>
      <w:r>
        <w:rPr>
          <w:rFonts w:ascii="Calibri" w:eastAsia="Calibri" w:hAnsi="Calibri" w:cs="Calibri"/>
          <w:sz w:val="24"/>
          <w:szCs w:val="24"/>
        </w:rPr>
        <w:t>Allp</w:t>
      </w:r>
      <w:r>
        <w:rPr>
          <w:rFonts w:ascii="Calibri" w:eastAsia="Calibri" w:hAnsi="Calibri" w:cs="Calibri"/>
          <w:sz w:val="24"/>
          <w:szCs w:val="24"/>
        </w:rPr>
        <w:t xml:space="preserve">ort, G. W. (1979) The Nature of Prejudice. Reading, MA: Addison-Wesley. </w:t>
      </w:r>
    </w:p>
    <w:p w14:paraId="00000044" w14:textId="77777777" w:rsidR="009D116B" w:rsidRDefault="009D116B">
      <w:pPr>
        <w:rPr>
          <w:rFonts w:ascii="Calibri" w:eastAsia="Calibri" w:hAnsi="Calibri" w:cs="Calibri"/>
          <w:sz w:val="24"/>
          <w:szCs w:val="24"/>
        </w:rPr>
      </w:pPr>
    </w:p>
    <w:p w14:paraId="00000045" w14:textId="77777777" w:rsidR="009D116B" w:rsidRDefault="00F43361">
      <w:pPr>
        <w:rPr>
          <w:rFonts w:ascii="Calibri" w:eastAsia="Calibri" w:hAnsi="Calibri" w:cs="Calibri"/>
          <w:sz w:val="24"/>
          <w:szCs w:val="24"/>
        </w:rPr>
      </w:pPr>
      <w:r>
        <w:rPr>
          <w:rFonts w:ascii="Calibri" w:eastAsia="Calibri" w:hAnsi="Calibri" w:cs="Calibri"/>
          <w:sz w:val="24"/>
          <w:szCs w:val="24"/>
        </w:rPr>
        <w:t>Al Ramiah, A., Hewstone, M., Dovidio, J.F. &amp; Penner, L.A. (2010) ‘The social psychology of discrimination: theory, measurement and consequences’ in: L. Bond, F. McGinnity and H. Russ</w:t>
      </w:r>
      <w:r>
        <w:rPr>
          <w:rFonts w:ascii="Calibri" w:eastAsia="Calibri" w:hAnsi="Calibri" w:cs="Calibri"/>
          <w:sz w:val="24"/>
          <w:szCs w:val="24"/>
        </w:rPr>
        <w:t>ell (eds.), Making Equality Count: Irish and International Approaches to Measuring Discrimination. Dublin: Liffey Press.</w:t>
      </w:r>
    </w:p>
    <w:p w14:paraId="00000046" w14:textId="77777777" w:rsidR="009D116B" w:rsidRDefault="009D116B">
      <w:pPr>
        <w:rPr>
          <w:rFonts w:ascii="Calibri" w:eastAsia="Calibri" w:hAnsi="Calibri" w:cs="Calibri"/>
          <w:sz w:val="24"/>
          <w:szCs w:val="24"/>
        </w:rPr>
      </w:pPr>
      <w:bookmarkStart w:id="42" w:name="_py5czembj8au" w:colFirst="0" w:colLast="0"/>
      <w:bookmarkEnd w:id="42"/>
    </w:p>
    <w:p w14:paraId="00000047" w14:textId="77777777" w:rsidR="009D116B" w:rsidRDefault="00F43361">
      <w:pPr>
        <w:rPr>
          <w:rFonts w:ascii="Calibri" w:eastAsia="Calibri" w:hAnsi="Calibri" w:cs="Calibri"/>
          <w:sz w:val="24"/>
          <w:szCs w:val="24"/>
        </w:rPr>
      </w:pPr>
      <w:bookmarkStart w:id="43" w:name="_uuv6ci5js2p6" w:colFirst="0" w:colLast="0"/>
      <w:bookmarkEnd w:id="43"/>
      <w:r>
        <w:rPr>
          <w:rFonts w:ascii="Calibri" w:eastAsia="Calibri" w:hAnsi="Calibri" w:cs="Calibri"/>
          <w:sz w:val="24"/>
          <w:szCs w:val="24"/>
        </w:rPr>
        <w:t>Banaji, M. R., &amp; Greenwald, A. G. (1995) Implicit gender stereotyping in judgments of fame. Journal of Personality and Social Psycholo</w:t>
      </w:r>
      <w:r>
        <w:rPr>
          <w:rFonts w:ascii="Calibri" w:eastAsia="Calibri" w:hAnsi="Calibri" w:cs="Calibri"/>
          <w:sz w:val="24"/>
          <w:szCs w:val="24"/>
        </w:rPr>
        <w:t xml:space="preserve">gy, 68(2), 181–198. </w:t>
      </w:r>
      <w:hyperlink r:id="rId9">
        <w:r>
          <w:rPr>
            <w:rFonts w:ascii="Calibri" w:eastAsia="Calibri" w:hAnsi="Calibri" w:cs="Calibri"/>
            <w:color w:val="1155CC"/>
            <w:sz w:val="24"/>
            <w:szCs w:val="24"/>
            <w:u w:val="single"/>
          </w:rPr>
          <w:t>https://doi-org.ezproxy.uwtsd.ac.uk/10.1037/0022-3514.68.2.181</w:t>
        </w:r>
      </w:hyperlink>
    </w:p>
    <w:p w14:paraId="00000048" w14:textId="77777777" w:rsidR="009D116B" w:rsidRDefault="009D116B">
      <w:pPr>
        <w:rPr>
          <w:rFonts w:ascii="Calibri" w:eastAsia="Calibri" w:hAnsi="Calibri" w:cs="Calibri"/>
          <w:sz w:val="24"/>
          <w:szCs w:val="24"/>
        </w:rPr>
      </w:pPr>
      <w:bookmarkStart w:id="44" w:name="_aiptd8d07vqz" w:colFirst="0" w:colLast="0"/>
      <w:bookmarkEnd w:id="44"/>
    </w:p>
    <w:p w14:paraId="00000049" w14:textId="77777777" w:rsidR="009D116B" w:rsidRDefault="00F43361">
      <w:pPr>
        <w:rPr>
          <w:rFonts w:ascii="Calibri" w:eastAsia="Calibri" w:hAnsi="Calibri" w:cs="Calibri"/>
          <w:sz w:val="24"/>
          <w:szCs w:val="24"/>
        </w:rPr>
      </w:pPr>
      <w:bookmarkStart w:id="45" w:name="_qo7bmjr07oc6" w:colFirst="0" w:colLast="0"/>
      <w:bookmarkEnd w:id="45"/>
      <w:r>
        <w:rPr>
          <w:rFonts w:ascii="Calibri" w:eastAsia="Calibri" w:hAnsi="Calibri" w:cs="Calibri"/>
          <w:sz w:val="24"/>
          <w:szCs w:val="24"/>
        </w:rPr>
        <w:t>Barber</w:t>
      </w:r>
      <w:r>
        <w:rPr>
          <w:rFonts w:ascii="Calibri" w:eastAsia="Calibri" w:hAnsi="Calibri" w:cs="Calibri"/>
          <w:sz w:val="24"/>
          <w:szCs w:val="24"/>
        </w:rPr>
        <w:t xml:space="preserve"> M., Chijiojke, C., &amp; Mourshed, M. (2010) How the world’s most improved school systems keep getting better. McKinsey &amp; Company.</w:t>
      </w:r>
    </w:p>
    <w:p w14:paraId="0000004A" w14:textId="77777777" w:rsidR="009D116B" w:rsidRDefault="009D116B">
      <w:pPr>
        <w:rPr>
          <w:rFonts w:ascii="Calibri" w:eastAsia="Calibri" w:hAnsi="Calibri" w:cs="Calibri"/>
          <w:sz w:val="24"/>
          <w:szCs w:val="24"/>
        </w:rPr>
      </w:pPr>
    </w:p>
    <w:p w14:paraId="0000004B" w14:textId="77777777" w:rsidR="009D116B" w:rsidRDefault="00F43361">
      <w:pPr>
        <w:rPr>
          <w:rFonts w:ascii="Calibri" w:eastAsia="Calibri" w:hAnsi="Calibri" w:cs="Calibri"/>
          <w:sz w:val="24"/>
          <w:szCs w:val="24"/>
        </w:rPr>
      </w:pPr>
      <w:r>
        <w:rPr>
          <w:rFonts w:ascii="Calibri" w:eastAsia="Calibri" w:hAnsi="Calibri" w:cs="Calibri"/>
          <w:sz w:val="24"/>
          <w:szCs w:val="24"/>
        </w:rPr>
        <w:t>Brentnall, J. (2017) Promoting engagement and academic achievement for black and mixed-ethnicity pupils in Wales. Welsh Governm</w:t>
      </w:r>
      <w:r>
        <w:rPr>
          <w:rFonts w:ascii="Calibri" w:eastAsia="Calibri" w:hAnsi="Calibri" w:cs="Calibri"/>
          <w:sz w:val="24"/>
          <w:szCs w:val="24"/>
        </w:rPr>
        <w:t xml:space="preserve">ent. Available at: </w:t>
      </w:r>
      <w:hyperlink r:id="rId10">
        <w:r>
          <w:rPr>
            <w:rFonts w:ascii="Calibri" w:eastAsia="Calibri" w:hAnsi="Calibri" w:cs="Calibri"/>
            <w:color w:val="1155CC"/>
            <w:sz w:val="24"/>
            <w:szCs w:val="24"/>
            <w:u w:val="single"/>
          </w:rPr>
          <w:t>http://dera.ioe.ac.uk/id/eprint/28399</w:t>
        </w:r>
      </w:hyperlink>
      <w:r>
        <w:rPr>
          <w:rFonts w:ascii="Calibri" w:eastAsia="Calibri" w:hAnsi="Calibri" w:cs="Calibri"/>
          <w:sz w:val="24"/>
          <w:szCs w:val="24"/>
        </w:rPr>
        <w:t xml:space="preserve"> [Accessed 04 January 2021].</w:t>
      </w:r>
    </w:p>
    <w:p w14:paraId="0000004C" w14:textId="77777777" w:rsidR="009D116B" w:rsidRDefault="009D116B">
      <w:pPr>
        <w:rPr>
          <w:rFonts w:ascii="Calibri" w:eastAsia="Calibri" w:hAnsi="Calibri" w:cs="Calibri"/>
          <w:sz w:val="24"/>
          <w:szCs w:val="24"/>
        </w:rPr>
      </w:pPr>
    </w:p>
    <w:p w14:paraId="0000004D" w14:textId="77777777" w:rsidR="009D116B" w:rsidRDefault="00F43361">
      <w:pPr>
        <w:rPr>
          <w:rFonts w:ascii="Calibri" w:eastAsia="Calibri" w:hAnsi="Calibri" w:cs="Calibri"/>
          <w:sz w:val="24"/>
          <w:szCs w:val="24"/>
        </w:rPr>
      </w:pPr>
      <w:r>
        <w:rPr>
          <w:rFonts w:ascii="Calibri" w:eastAsia="Calibri" w:hAnsi="Calibri" w:cs="Calibri"/>
          <w:sz w:val="24"/>
          <w:szCs w:val="24"/>
        </w:rPr>
        <w:t>Brophy, J. E., &amp; Good, T. L. (1970) Teachers' communication of differential expectations for children's classroom</w:t>
      </w:r>
      <w:r>
        <w:rPr>
          <w:rFonts w:ascii="Calibri" w:eastAsia="Calibri" w:hAnsi="Calibri" w:cs="Calibri"/>
          <w:sz w:val="24"/>
          <w:szCs w:val="24"/>
        </w:rPr>
        <w:t xml:space="preserve"> performance: Some behavioral data. Journal of Educational Psychology, 61(5), 365–374. </w:t>
      </w:r>
      <w:hyperlink r:id="rId11">
        <w:r>
          <w:rPr>
            <w:rFonts w:ascii="Calibri" w:eastAsia="Calibri" w:hAnsi="Calibri" w:cs="Calibri"/>
            <w:color w:val="1155CC"/>
            <w:sz w:val="24"/>
            <w:szCs w:val="24"/>
            <w:u w:val="single"/>
          </w:rPr>
          <w:t>https://doi.org/10.1037/h0029908</w:t>
        </w:r>
      </w:hyperlink>
    </w:p>
    <w:p w14:paraId="0000004E" w14:textId="77777777" w:rsidR="009D116B" w:rsidRDefault="009D116B">
      <w:pPr>
        <w:rPr>
          <w:rFonts w:ascii="Calibri" w:eastAsia="Calibri" w:hAnsi="Calibri" w:cs="Calibri"/>
          <w:sz w:val="24"/>
          <w:szCs w:val="24"/>
        </w:rPr>
      </w:pPr>
    </w:p>
    <w:p w14:paraId="0000004F"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Brophy, J. E. (1982) How teachers influence what is taught and learned </w:t>
      </w:r>
      <w:r>
        <w:rPr>
          <w:rFonts w:ascii="Calibri" w:eastAsia="Calibri" w:hAnsi="Calibri" w:cs="Calibri"/>
          <w:sz w:val="24"/>
          <w:szCs w:val="24"/>
        </w:rPr>
        <w:t xml:space="preserve">in classrooms. The Elementary School Journal, 83(1), 1–13. </w:t>
      </w:r>
      <w:hyperlink r:id="rId12">
        <w:r>
          <w:rPr>
            <w:rFonts w:ascii="Calibri" w:eastAsia="Calibri" w:hAnsi="Calibri" w:cs="Calibri"/>
            <w:color w:val="1155CC"/>
            <w:sz w:val="24"/>
            <w:szCs w:val="24"/>
            <w:u w:val="single"/>
          </w:rPr>
          <w:t>https://doi.org/10.1086/461287</w:t>
        </w:r>
      </w:hyperlink>
    </w:p>
    <w:p w14:paraId="00000050" w14:textId="77777777" w:rsidR="009D116B" w:rsidRDefault="009D116B">
      <w:pPr>
        <w:rPr>
          <w:rFonts w:ascii="Calibri" w:eastAsia="Calibri" w:hAnsi="Calibri" w:cs="Calibri"/>
          <w:sz w:val="24"/>
          <w:szCs w:val="24"/>
        </w:rPr>
      </w:pPr>
    </w:p>
    <w:p w14:paraId="00000051" w14:textId="77777777" w:rsidR="009D116B" w:rsidRDefault="00F43361">
      <w:pPr>
        <w:rPr>
          <w:rFonts w:ascii="Calibri" w:eastAsia="Calibri" w:hAnsi="Calibri" w:cs="Calibri"/>
          <w:sz w:val="24"/>
          <w:szCs w:val="24"/>
        </w:rPr>
      </w:pPr>
      <w:r>
        <w:rPr>
          <w:rFonts w:ascii="Calibri" w:eastAsia="Calibri" w:hAnsi="Calibri" w:cs="Calibri"/>
          <w:sz w:val="24"/>
          <w:szCs w:val="24"/>
        </w:rPr>
        <w:t>Colella, A., &amp; King, E.B, (2018) The Oxford Handbook of Workplace Discrimination: Oxford University Pre</w:t>
      </w:r>
      <w:r>
        <w:rPr>
          <w:rFonts w:ascii="Calibri" w:eastAsia="Calibri" w:hAnsi="Calibri" w:cs="Calibri"/>
          <w:sz w:val="24"/>
          <w:szCs w:val="24"/>
        </w:rPr>
        <w:t xml:space="preserve">ss. ISBN 9780199363667 </w:t>
      </w:r>
    </w:p>
    <w:p w14:paraId="00000052" w14:textId="77777777" w:rsidR="009D116B" w:rsidRDefault="009D116B">
      <w:pPr>
        <w:rPr>
          <w:rFonts w:ascii="Calibri" w:eastAsia="Calibri" w:hAnsi="Calibri" w:cs="Calibri"/>
          <w:sz w:val="24"/>
          <w:szCs w:val="24"/>
        </w:rPr>
      </w:pPr>
    </w:p>
    <w:p w14:paraId="00000053"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Claxton, G. (2021) The future of teaching and the myths that hold it back. Routledge </w:t>
      </w:r>
    </w:p>
    <w:p w14:paraId="00000054" w14:textId="77777777" w:rsidR="009D116B" w:rsidRDefault="009D116B">
      <w:pPr>
        <w:rPr>
          <w:rFonts w:ascii="Calibri" w:eastAsia="Calibri" w:hAnsi="Calibri" w:cs="Calibri"/>
          <w:sz w:val="24"/>
          <w:szCs w:val="24"/>
        </w:rPr>
      </w:pPr>
    </w:p>
    <w:p w14:paraId="00000055" w14:textId="77777777" w:rsidR="009D116B" w:rsidRDefault="00F43361">
      <w:pPr>
        <w:rPr>
          <w:rFonts w:ascii="Calibri" w:eastAsia="Calibri" w:hAnsi="Calibri" w:cs="Calibri"/>
          <w:sz w:val="24"/>
          <w:szCs w:val="24"/>
        </w:rPr>
      </w:pPr>
      <w:r>
        <w:rPr>
          <w:rFonts w:ascii="Calibri" w:eastAsia="Calibri" w:hAnsi="Calibri" w:cs="Calibri"/>
          <w:sz w:val="24"/>
          <w:szCs w:val="24"/>
        </w:rPr>
        <w:t>Darling-Hammond</w:t>
      </w:r>
      <w:r>
        <w:rPr>
          <w:rFonts w:ascii="Calibri" w:eastAsia="Calibri" w:hAnsi="Calibri" w:cs="Calibri"/>
          <w:sz w:val="24"/>
          <w:szCs w:val="24"/>
        </w:rPr>
        <w:t>, L. (2010) The Flat World and Education: How America's Commitment to Equity Will Determine Our Future. New York: Teachers College Press.</w:t>
      </w:r>
    </w:p>
    <w:p w14:paraId="00000056" w14:textId="77777777" w:rsidR="009D116B" w:rsidRDefault="009D116B">
      <w:pPr>
        <w:rPr>
          <w:rFonts w:ascii="Calibri" w:eastAsia="Calibri" w:hAnsi="Calibri" w:cs="Calibri"/>
          <w:sz w:val="24"/>
          <w:szCs w:val="24"/>
        </w:rPr>
      </w:pPr>
    </w:p>
    <w:p w14:paraId="00000057" w14:textId="77777777" w:rsidR="009D116B" w:rsidRDefault="00F43361">
      <w:pPr>
        <w:rPr>
          <w:rFonts w:ascii="Calibri" w:eastAsia="Calibri" w:hAnsi="Calibri" w:cs="Calibri"/>
          <w:sz w:val="24"/>
          <w:szCs w:val="24"/>
        </w:rPr>
      </w:pPr>
      <w:r>
        <w:rPr>
          <w:rFonts w:ascii="Calibri" w:eastAsia="Calibri" w:hAnsi="Calibri" w:cs="Calibri"/>
          <w:sz w:val="24"/>
          <w:szCs w:val="24"/>
        </w:rPr>
        <w:lastRenderedPageBreak/>
        <w:t>Department for Education and Skills (2012) Revised Professional Standards for education practitioners in Wales. Cardi</w:t>
      </w:r>
      <w:r>
        <w:rPr>
          <w:rFonts w:ascii="Calibri" w:eastAsia="Calibri" w:hAnsi="Calibri" w:cs="Calibri"/>
          <w:sz w:val="24"/>
          <w:szCs w:val="24"/>
        </w:rPr>
        <w:t>ff: Welsh Government.</w:t>
      </w:r>
    </w:p>
    <w:p w14:paraId="00000058" w14:textId="77777777" w:rsidR="009D116B" w:rsidRDefault="009D116B">
      <w:pPr>
        <w:rPr>
          <w:rFonts w:ascii="Calibri" w:eastAsia="Calibri" w:hAnsi="Calibri" w:cs="Calibri"/>
          <w:sz w:val="24"/>
          <w:szCs w:val="24"/>
        </w:rPr>
      </w:pPr>
    </w:p>
    <w:p w14:paraId="00000059" w14:textId="77777777" w:rsidR="009D116B" w:rsidRDefault="00F43361">
      <w:pPr>
        <w:rPr>
          <w:rFonts w:ascii="Calibri" w:eastAsia="Calibri" w:hAnsi="Calibri" w:cs="Calibri"/>
          <w:sz w:val="24"/>
          <w:szCs w:val="24"/>
        </w:rPr>
      </w:pPr>
      <w:r>
        <w:rPr>
          <w:rFonts w:ascii="Calibri" w:eastAsia="Calibri" w:hAnsi="Calibri" w:cs="Calibri"/>
          <w:sz w:val="24"/>
          <w:szCs w:val="24"/>
        </w:rPr>
        <w:t>Department for Education and Skills (2017a) Education in Wales: Our National Mission. Action Plan 2017-2021. Cardiff: Welsh Government.</w:t>
      </w:r>
    </w:p>
    <w:p w14:paraId="0000005A" w14:textId="77777777" w:rsidR="009D116B" w:rsidRDefault="009D116B">
      <w:pPr>
        <w:rPr>
          <w:rFonts w:ascii="Calibri" w:eastAsia="Calibri" w:hAnsi="Calibri" w:cs="Calibri"/>
          <w:sz w:val="24"/>
          <w:szCs w:val="24"/>
        </w:rPr>
      </w:pPr>
    </w:p>
    <w:p w14:paraId="0000005B"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Department for Education and Skills (2018) National Approach to Professional Learning. Cardiff: </w:t>
      </w:r>
      <w:r>
        <w:rPr>
          <w:rFonts w:ascii="Calibri" w:eastAsia="Calibri" w:hAnsi="Calibri" w:cs="Calibri"/>
          <w:sz w:val="24"/>
          <w:szCs w:val="24"/>
        </w:rPr>
        <w:t xml:space="preserve">Welsh Government. Available at:  </w:t>
      </w:r>
      <w:hyperlink r:id="rId13">
        <w:r>
          <w:rPr>
            <w:rFonts w:ascii="Calibri" w:eastAsia="Calibri" w:hAnsi="Calibri" w:cs="Calibri"/>
            <w:color w:val="1155CC"/>
            <w:sz w:val="24"/>
            <w:szCs w:val="24"/>
            <w:u w:val="single"/>
          </w:rPr>
          <w:t>https://hwb.gov.wales/professional-development/national-approach-to-professional-learning/</w:t>
        </w:r>
      </w:hyperlink>
      <w:r>
        <w:rPr>
          <w:rFonts w:ascii="Calibri" w:eastAsia="Calibri" w:hAnsi="Calibri" w:cs="Calibri"/>
          <w:sz w:val="24"/>
          <w:szCs w:val="24"/>
        </w:rPr>
        <w:t xml:space="preserve">  [Accessed 12 June 202</w:t>
      </w:r>
      <w:r>
        <w:rPr>
          <w:rFonts w:ascii="Calibri" w:eastAsia="Calibri" w:hAnsi="Calibri" w:cs="Calibri"/>
          <w:sz w:val="24"/>
          <w:szCs w:val="24"/>
        </w:rPr>
        <w:t xml:space="preserve">1]  </w:t>
      </w:r>
    </w:p>
    <w:p w14:paraId="0000005C" w14:textId="77777777" w:rsidR="009D116B" w:rsidRDefault="009D116B">
      <w:pPr>
        <w:rPr>
          <w:rFonts w:ascii="Calibri" w:eastAsia="Calibri" w:hAnsi="Calibri" w:cs="Calibri"/>
          <w:sz w:val="24"/>
          <w:szCs w:val="24"/>
        </w:rPr>
      </w:pPr>
    </w:p>
    <w:p w14:paraId="0000005D"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Donnelly, M. (2012) Closing the attainment gap: The Bevan Foundation. </w:t>
      </w:r>
      <w:hyperlink r:id="rId14">
        <w:r>
          <w:rPr>
            <w:rFonts w:ascii="Calibri" w:eastAsia="Calibri" w:hAnsi="Calibri" w:cs="Calibri"/>
            <w:color w:val="1155CC"/>
            <w:sz w:val="24"/>
            <w:szCs w:val="24"/>
            <w:u w:val="single"/>
          </w:rPr>
          <w:t>https://www.bevanfoundation.org/views/closing-the-attainment-gap/</w:t>
        </w:r>
      </w:hyperlink>
      <w:r>
        <w:rPr>
          <w:rFonts w:ascii="Calibri" w:eastAsia="Calibri" w:hAnsi="Calibri" w:cs="Calibri"/>
          <w:sz w:val="24"/>
          <w:szCs w:val="24"/>
        </w:rPr>
        <w:t xml:space="preserve"> [Accessed on 13 June 2021]</w:t>
      </w:r>
    </w:p>
    <w:p w14:paraId="0000005E" w14:textId="77777777" w:rsidR="009D116B" w:rsidRDefault="009D116B">
      <w:pPr>
        <w:rPr>
          <w:rFonts w:ascii="Calibri" w:eastAsia="Calibri" w:hAnsi="Calibri" w:cs="Calibri"/>
          <w:sz w:val="24"/>
          <w:szCs w:val="24"/>
        </w:rPr>
      </w:pPr>
    </w:p>
    <w:p w14:paraId="0000005F" w14:textId="77777777" w:rsidR="009D116B" w:rsidRDefault="00F43361">
      <w:pPr>
        <w:rPr>
          <w:rFonts w:ascii="Calibri" w:eastAsia="Calibri" w:hAnsi="Calibri" w:cs="Calibri"/>
          <w:sz w:val="24"/>
          <w:szCs w:val="24"/>
        </w:rPr>
      </w:pPr>
      <w:r>
        <w:rPr>
          <w:rFonts w:ascii="Calibri" w:eastAsia="Calibri" w:hAnsi="Calibri" w:cs="Calibri"/>
          <w:sz w:val="24"/>
          <w:szCs w:val="24"/>
        </w:rPr>
        <w:t>D</w:t>
      </w:r>
      <w:r>
        <w:rPr>
          <w:rFonts w:ascii="Calibri" w:eastAsia="Calibri" w:hAnsi="Calibri" w:cs="Calibri"/>
          <w:sz w:val="24"/>
          <w:szCs w:val="24"/>
        </w:rPr>
        <w:t>onaldson, G. (2015) Successful Futures, Cardiff: Welsh Government.</w:t>
      </w:r>
    </w:p>
    <w:p w14:paraId="00000060" w14:textId="77777777" w:rsidR="009D116B" w:rsidRDefault="009D116B">
      <w:pPr>
        <w:rPr>
          <w:rFonts w:ascii="Calibri" w:eastAsia="Calibri" w:hAnsi="Calibri" w:cs="Calibri"/>
          <w:sz w:val="24"/>
          <w:szCs w:val="24"/>
        </w:rPr>
      </w:pPr>
    </w:p>
    <w:p w14:paraId="00000061" w14:textId="77777777" w:rsidR="009D116B" w:rsidRDefault="00F43361">
      <w:pPr>
        <w:rPr>
          <w:rFonts w:ascii="Calibri" w:eastAsia="Calibri" w:hAnsi="Calibri" w:cs="Calibri"/>
          <w:sz w:val="24"/>
          <w:szCs w:val="24"/>
        </w:rPr>
      </w:pPr>
      <w:r>
        <w:rPr>
          <w:rFonts w:ascii="Calibri" w:eastAsia="Calibri" w:hAnsi="Calibri" w:cs="Calibri"/>
          <w:sz w:val="24"/>
          <w:szCs w:val="24"/>
        </w:rPr>
        <w:t>Donaldson, G. (2019) A Learning Inspectorate. Cardiff: Welsh Government.</w:t>
      </w:r>
    </w:p>
    <w:p w14:paraId="00000062" w14:textId="77777777" w:rsidR="009D116B" w:rsidRDefault="009D116B">
      <w:pPr>
        <w:rPr>
          <w:rFonts w:ascii="Calibri" w:eastAsia="Calibri" w:hAnsi="Calibri" w:cs="Calibri"/>
          <w:sz w:val="24"/>
          <w:szCs w:val="24"/>
        </w:rPr>
      </w:pPr>
    </w:p>
    <w:p w14:paraId="00000063"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Egan, D. (2013) Poverty and Low Educational Achievement in Wales, York: Joseph Rowntree </w:t>
      </w:r>
    </w:p>
    <w:p w14:paraId="00000064" w14:textId="77777777" w:rsidR="009D116B" w:rsidRDefault="009D116B">
      <w:pPr>
        <w:rPr>
          <w:rFonts w:ascii="Calibri" w:eastAsia="Calibri" w:hAnsi="Calibri" w:cs="Calibri"/>
          <w:sz w:val="24"/>
          <w:szCs w:val="24"/>
        </w:rPr>
      </w:pPr>
    </w:p>
    <w:p w14:paraId="00000065" w14:textId="77777777" w:rsidR="009D116B" w:rsidRDefault="00F43361">
      <w:pPr>
        <w:rPr>
          <w:rFonts w:ascii="Calibri" w:eastAsia="Calibri" w:hAnsi="Calibri" w:cs="Calibri"/>
          <w:sz w:val="24"/>
          <w:szCs w:val="24"/>
        </w:rPr>
      </w:pPr>
      <w:bookmarkStart w:id="46" w:name="_fe6zrf92flit" w:colFirst="0" w:colLast="0"/>
      <w:bookmarkEnd w:id="46"/>
      <w:r>
        <w:rPr>
          <w:rFonts w:ascii="Calibri" w:eastAsia="Calibri" w:hAnsi="Calibri" w:cs="Calibri"/>
          <w:sz w:val="24"/>
          <w:szCs w:val="24"/>
        </w:rPr>
        <w:t>Estyn. Her Majesty’s Ins</w:t>
      </w:r>
      <w:r>
        <w:rPr>
          <w:rFonts w:ascii="Calibri" w:eastAsia="Calibri" w:hAnsi="Calibri" w:cs="Calibri"/>
          <w:sz w:val="24"/>
          <w:szCs w:val="24"/>
        </w:rPr>
        <w:t>pectorate of Education and Training in Wales (2012) Effective practice in tackling poverty and disadvantage in schools: Welsh Government.</w:t>
      </w:r>
    </w:p>
    <w:p w14:paraId="00000066" w14:textId="77777777" w:rsidR="009D116B" w:rsidRDefault="009D116B">
      <w:pPr>
        <w:rPr>
          <w:rFonts w:ascii="Calibri" w:eastAsia="Calibri" w:hAnsi="Calibri" w:cs="Calibri"/>
          <w:sz w:val="24"/>
          <w:szCs w:val="24"/>
        </w:rPr>
      </w:pPr>
    </w:p>
    <w:p w14:paraId="00000067" w14:textId="77777777" w:rsidR="009D116B" w:rsidRDefault="00F43361">
      <w:pPr>
        <w:rPr>
          <w:rFonts w:ascii="Calibri" w:eastAsia="Calibri" w:hAnsi="Calibri" w:cs="Calibri"/>
          <w:sz w:val="24"/>
          <w:szCs w:val="24"/>
        </w:rPr>
      </w:pPr>
      <w:r>
        <w:rPr>
          <w:rFonts w:ascii="Calibri" w:eastAsia="Calibri" w:hAnsi="Calibri" w:cs="Calibri"/>
          <w:sz w:val="24"/>
          <w:szCs w:val="24"/>
        </w:rPr>
        <w:t>Estyn. Her Majesty’s Chief Inspector of Education and Training in Wales (2014) Pupil Deprivation: Tackling Deprivatio</w:t>
      </w:r>
      <w:r>
        <w:rPr>
          <w:rFonts w:ascii="Calibri" w:eastAsia="Calibri" w:hAnsi="Calibri" w:cs="Calibri"/>
          <w:sz w:val="24"/>
          <w:szCs w:val="24"/>
        </w:rPr>
        <w:t>n and Raising Standards. Cardiff : Estyn</w:t>
      </w:r>
    </w:p>
    <w:p w14:paraId="00000068" w14:textId="77777777" w:rsidR="009D116B" w:rsidRDefault="009D116B">
      <w:pPr>
        <w:rPr>
          <w:rFonts w:ascii="Calibri" w:eastAsia="Calibri" w:hAnsi="Calibri" w:cs="Calibri"/>
          <w:sz w:val="24"/>
          <w:szCs w:val="24"/>
        </w:rPr>
      </w:pPr>
    </w:p>
    <w:p w14:paraId="00000069" w14:textId="77777777" w:rsidR="009D116B" w:rsidRDefault="00F43361">
      <w:pPr>
        <w:rPr>
          <w:rFonts w:ascii="Calibri" w:eastAsia="Calibri" w:hAnsi="Calibri" w:cs="Calibri"/>
          <w:sz w:val="24"/>
          <w:szCs w:val="24"/>
        </w:rPr>
      </w:pPr>
      <w:r>
        <w:rPr>
          <w:rFonts w:ascii="Calibri" w:eastAsia="Calibri" w:hAnsi="Calibri" w:cs="Calibri"/>
          <w:sz w:val="24"/>
          <w:szCs w:val="24"/>
        </w:rPr>
        <w:t>Estyn. Her Majesty’s Inspectorate of Education and Training in Wales (2020) Effective school support for disadvantaged and vulnerable pupils – case studies of good practice. Estyn</w:t>
      </w:r>
    </w:p>
    <w:p w14:paraId="0000006A" w14:textId="77777777" w:rsidR="009D116B" w:rsidRDefault="009D116B">
      <w:pPr>
        <w:rPr>
          <w:rFonts w:ascii="Calibri" w:eastAsia="Calibri" w:hAnsi="Calibri" w:cs="Calibri"/>
          <w:sz w:val="24"/>
          <w:szCs w:val="24"/>
        </w:rPr>
      </w:pPr>
    </w:p>
    <w:p w14:paraId="0000006B" w14:textId="77777777" w:rsidR="009D116B" w:rsidRDefault="00F43361">
      <w:pPr>
        <w:rPr>
          <w:rFonts w:ascii="Calibri" w:eastAsia="Calibri" w:hAnsi="Calibri" w:cs="Calibri"/>
          <w:color w:val="323232"/>
          <w:sz w:val="24"/>
          <w:szCs w:val="24"/>
        </w:rPr>
      </w:pPr>
      <w:r>
        <w:rPr>
          <w:rFonts w:ascii="Calibri" w:eastAsia="Calibri" w:hAnsi="Calibri" w:cs="Calibri"/>
          <w:sz w:val="24"/>
          <w:szCs w:val="24"/>
        </w:rPr>
        <w:t>Estyn. Her Majesty’s Chief Inspec</w:t>
      </w:r>
      <w:r>
        <w:rPr>
          <w:rFonts w:ascii="Calibri" w:eastAsia="Calibri" w:hAnsi="Calibri" w:cs="Calibri"/>
          <w:sz w:val="24"/>
          <w:szCs w:val="24"/>
        </w:rPr>
        <w:t>tor of Education and Training in Wales (2020) The Annual Report 2019 - 2020. Estyn</w:t>
      </w:r>
    </w:p>
    <w:p w14:paraId="0000006C" w14:textId="77777777" w:rsidR="009D116B" w:rsidRDefault="009D116B">
      <w:pPr>
        <w:rPr>
          <w:rFonts w:ascii="Calibri" w:eastAsia="Calibri" w:hAnsi="Calibri" w:cs="Calibri"/>
          <w:sz w:val="24"/>
          <w:szCs w:val="24"/>
        </w:rPr>
      </w:pPr>
    </w:p>
    <w:p w14:paraId="0000006D" w14:textId="77777777" w:rsidR="009D116B" w:rsidRDefault="00F43361">
      <w:pPr>
        <w:rPr>
          <w:rFonts w:ascii="Calibri" w:eastAsia="Calibri" w:hAnsi="Calibri" w:cs="Calibri"/>
          <w:sz w:val="24"/>
          <w:szCs w:val="24"/>
        </w:rPr>
      </w:pPr>
      <w:r>
        <w:rPr>
          <w:rFonts w:ascii="Calibri" w:eastAsia="Calibri" w:hAnsi="Calibri" w:cs="Calibri"/>
          <w:sz w:val="24"/>
          <w:szCs w:val="24"/>
        </w:rPr>
        <w:t>Fullan, M. (2016) The New Meaning of Educational Change, Fifth Edition, Teachers College Press.</w:t>
      </w:r>
    </w:p>
    <w:p w14:paraId="0000006E" w14:textId="77777777" w:rsidR="009D116B" w:rsidRDefault="009D116B">
      <w:pPr>
        <w:rPr>
          <w:rFonts w:ascii="Calibri" w:eastAsia="Calibri" w:hAnsi="Calibri" w:cs="Calibri"/>
          <w:sz w:val="24"/>
          <w:szCs w:val="24"/>
        </w:rPr>
      </w:pPr>
      <w:bookmarkStart w:id="47" w:name="_swm7hgcdmstv" w:colFirst="0" w:colLast="0"/>
      <w:bookmarkEnd w:id="47"/>
    </w:p>
    <w:p w14:paraId="0000006F" w14:textId="77777777" w:rsidR="009D116B" w:rsidRDefault="00F43361">
      <w:pPr>
        <w:rPr>
          <w:rFonts w:ascii="Calibri" w:eastAsia="Calibri" w:hAnsi="Calibri" w:cs="Calibri"/>
          <w:sz w:val="24"/>
          <w:szCs w:val="24"/>
        </w:rPr>
      </w:pPr>
      <w:bookmarkStart w:id="48" w:name="_9tblags6sns" w:colFirst="0" w:colLast="0"/>
      <w:bookmarkEnd w:id="48"/>
      <w:r>
        <w:rPr>
          <w:rFonts w:ascii="Calibri" w:eastAsia="Calibri" w:hAnsi="Calibri" w:cs="Calibri"/>
          <w:sz w:val="24"/>
          <w:szCs w:val="24"/>
        </w:rPr>
        <w:t>Government Equalities Office (2010) UK Government: www.edf.org.uk</w:t>
      </w:r>
    </w:p>
    <w:p w14:paraId="00000070" w14:textId="77777777" w:rsidR="009D116B" w:rsidRDefault="009D116B">
      <w:pPr>
        <w:rPr>
          <w:rFonts w:ascii="Calibri" w:eastAsia="Calibri" w:hAnsi="Calibri" w:cs="Calibri"/>
          <w:sz w:val="24"/>
          <w:szCs w:val="24"/>
        </w:rPr>
      </w:pPr>
      <w:bookmarkStart w:id="49" w:name="_w9q56k8ba6h5" w:colFirst="0" w:colLast="0"/>
      <w:bookmarkEnd w:id="49"/>
    </w:p>
    <w:p w14:paraId="00000071" w14:textId="77777777" w:rsidR="009D116B" w:rsidRDefault="00F43361">
      <w:pPr>
        <w:rPr>
          <w:rFonts w:ascii="Calibri" w:eastAsia="Calibri" w:hAnsi="Calibri" w:cs="Calibri"/>
          <w:sz w:val="24"/>
          <w:szCs w:val="24"/>
        </w:rPr>
      </w:pPr>
      <w:bookmarkStart w:id="50" w:name="_c00x8868xs7" w:colFirst="0" w:colLast="0"/>
      <w:bookmarkEnd w:id="50"/>
      <w:r>
        <w:rPr>
          <w:rFonts w:ascii="Calibri" w:eastAsia="Calibri" w:hAnsi="Calibri" w:cs="Calibri"/>
          <w:sz w:val="24"/>
          <w:szCs w:val="24"/>
        </w:rPr>
        <w:t>Grigoren</w:t>
      </w:r>
      <w:r>
        <w:rPr>
          <w:rFonts w:ascii="Calibri" w:eastAsia="Calibri" w:hAnsi="Calibri" w:cs="Calibri"/>
          <w:sz w:val="24"/>
          <w:szCs w:val="24"/>
        </w:rPr>
        <w:t>ko E. L. (2009) Dynamic Assessment and Response to Intervention – Two Sides of One Coin. Journal of Learning Disabilities, 42, 2, 111-132.</w:t>
      </w:r>
    </w:p>
    <w:p w14:paraId="00000072" w14:textId="77777777" w:rsidR="009D116B" w:rsidRDefault="009D116B">
      <w:pPr>
        <w:rPr>
          <w:rFonts w:ascii="Calibri" w:eastAsia="Calibri" w:hAnsi="Calibri" w:cs="Calibri"/>
          <w:sz w:val="24"/>
          <w:szCs w:val="24"/>
        </w:rPr>
      </w:pPr>
    </w:p>
    <w:p w14:paraId="00000073" w14:textId="77777777" w:rsidR="009D116B" w:rsidRDefault="00F43361">
      <w:pPr>
        <w:rPr>
          <w:rFonts w:ascii="Calibri" w:eastAsia="Calibri" w:hAnsi="Calibri" w:cs="Calibri"/>
          <w:sz w:val="24"/>
          <w:szCs w:val="24"/>
        </w:rPr>
      </w:pPr>
      <w:bookmarkStart w:id="51" w:name="_hmf1n0dsr91v" w:colFirst="0" w:colLast="0"/>
      <w:bookmarkEnd w:id="51"/>
      <w:r>
        <w:rPr>
          <w:rFonts w:ascii="Calibri" w:eastAsia="Calibri" w:hAnsi="Calibri" w:cs="Calibri"/>
          <w:sz w:val="24"/>
          <w:szCs w:val="24"/>
        </w:rPr>
        <w:lastRenderedPageBreak/>
        <w:t>Hardin</w:t>
      </w:r>
      <w:r>
        <w:rPr>
          <w:rFonts w:ascii="Calibri" w:eastAsia="Calibri" w:hAnsi="Calibri" w:cs="Calibri"/>
          <w:sz w:val="24"/>
          <w:szCs w:val="24"/>
        </w:rPr>
        <w:t>, C. D., &amp; Banaji, M. R. (2013) The nature of implicit prejudice: Implications for personal and public policy. In E. Shafir (Ed.), The behavioral foundations of public policy (p. 13–31). Princeton University Press.</w:t>
      </w:r>
    </w:p>
    <w:p w14:paraId="00000074" w14:textId="77777777" w:rsidR="009D116B" w:rsidRDefault="009D116B">
      <w:pPr>
        <w:rPr>
          <w:rFonts w:ascii="Calibri" w:eastAsia="Calibri" w:hAnsi="Calibri" w:cs="Calibri"/>
          <w:sz w:val="24"/>
          <w:szCs w:val="24"/>
        </w:rPr>
      </w:pPr>
    </w:p>
    <w:p w14:paraId="00000075" w14:textId="77777777" w:rsidR="009D116B" w:rsidRDefault="00F43361">
      <w:pPr>
        <w:rPr>
          <w:rFonts w:ascii="Calibri" w:eastAsia="Calibri" w:hAnsi="Calibri" w:cs="Calibri"/>
          <w:sz w:val="24"/>
          <w:szCs w:val="24"/>
        </w:rPr>
      </w:pPr>
      <w:r>
        <w:rPr>
          <w:rFonts w:ascii="Calibri" w:eastAsia="Calibri" w:hAnsi="Calibri" w:cs="Calibri"/>
          <w:sz w:val="24"/>
          <w:szCs w:val="24"/>
        </w:rPr>
        <w:t>Hargreaves, A., Shirley, D. (2009) The F</w:t>
      </w:r>
      <w:r>
        <w:rPr>
          <w:rFonts w:ascii="Calibri" w:eastAsia="Calibri" w:hAnsi="Calibri" w:cs="Calibri"/>
          <w:sz w:val="24"/>
          <w:szCs w:val="24"/>
        </w:rPr>
        <w:t>ourth Way: the Inspiring Future for Educational Change. Corwin.</w:t>
      </w:r>
    </w:p>
    <w:p w14:paraId="00000076" w14:textId="77777777" w:rsidR="009D116B" w:rsidRDefault="009D116B">
      <w:pPr>
        <w:rPr>
          <w:rFonts w:ascii="Calibri" w:eastAsia="Calibri" w:hAnsi="Calibri" w:cs="Calibri"/>
          <w:sz w:val="24"/>
          <w:szCs w:val="24"/>
        </w:rPr>
      </w:pPr>
      <w:bookmarkStart w:id="52" w:name="_b8epp2rr4c60" w:colFirst="0" w:colLast="0"/>
      <w:bookmarkEnd w:id="52"/>
    </w:p>
    <w:p w14:paraId="00000077" w14:textId="77777777" w:rsidR="009D116B" w:rsidRDefault="00F43361">
      <w:pPr>
        <w:rPr>
          <w:rFonts w:ascii="Calibri" w:eastAsia="Calibri" w:hAnsi="Calibri" w:cs="Calibri"/>
          <w:sz w:val="24"/>
          <w:szCs w:val="24"/>
        </w:rPr>
      </w:pPr>
      <w:bookmarkStart w:id="53" w:name="_25eyt0zb951s" w:colFirst="0" w:colLast="0"/>
      <w:bookmarkEnd w:id="53"/>
      <w:r>
        <w:rPr>
          <w:rFonts w:ascii="Calibri" w:eastAsia="Calibri" w:hAnsi="Calibri" w:cs="Calibri"/>
          <w:sz w:val="24"/>
          <w:szCs w:val="24"/>
        </w:rPr>
        <w:t>Haslam</w:t>
      </w:r>
      <w:r>
        <w:rPr>
          <w:rFonts w:ascii="Calibri" w:eastAsia="Calibri" w:hAnsi="Calibri" w:cs="Calibri"/>
          <w:sz w:val="24"/>
          <w:szCs w:val="24"/>
        </w:rPr>
        <w:t>, R. E. (2018) Checking our bias at the door: Centering our core values in the classroom. Literacy Today (2411-7862), 36(1), 24–26.</w:t>
      </w:r>
    </w:p>
    <w:p w14:paraId="00000078" w14:textId="77777777" w:rsidR="009D116B" w:rsidRDefault="009D116B">
      <w:pPr>
        <w:rPr>
          <w:rFonts w:ascii="Calibri" w:eastAsia="Calibri" w:hAnsi="Calibri" w:cs="Calibri"/>
          <w:sz w:val="24"/>
          <w:szCs w:val="24"/>
        </w:rPr>
      </w:pPr>
      <w:bookmarkStart w:id="54" w:name="_vhc07oyh6sr2" w:colFirst="0" w:colLast="0"/>
      <w:bookmarkEnd w:id="54"/>
    </w:p>
    <w:p w14:paraId="00000079" w14:textId="77777777" w:rsidR="009D116B" w:rsidRDefault="00F43361">
      <w:pPr>
        <w:rPr>
          <w:rFonts w:ascii="Calibri" w:eastAsia="Calibri" w:hAnsi="Calibri" w:cs="Calibri"/>
          <w:sz w:val="24"/>
          <w:szCs w:val="24"/>
        </w:rPr>
      </w:pPr>
      <w:bookmarkStart w:id="55" w:name="_y8r1aenm07sh" w:colFirst="0" w:colLast="0"/>
      <w:bookmarkEnd w:id="55"/>
      <w:r>
        <w:rPr>
          <w:rFonts w:ascii="Calibri" w:eastAsia="Calibri" w:hAnsi="Calibri" w:cs="Calibri"/>
          <w:color w:val="202124"/>
          <w:sz w:val="24"/>
          <w:szCs w:val="24"/>
        </w:rPr>
        <w:t>Hattie, J. (2012) Visible learning for teachers: Maximizing impact on learning. Routledge/Taylor &amp; Francis Group</w:t>
      </w:r>
    </w:p>
    <w:p w14:paraId="0000007A" w14:textId="77777777" w:rsidR="009D116B" w:rsidRDefault="009D116B">
      <w:pPr>
        <w:rPr>
          <w:rFonts w:ascii="Calibri" w:eastAsia="Calibri" w:hAnsi="Calibri" w:cs="Calibri"/>
          <w:sz w:val="24"/>
          <w:szCs w:val="24"/>
        </w:rPr>
      </w:pPr>
      <w:bookmarkStart w:id="56" w:name="_kbewo9oo0rrk" w:colFirst="0" w:colLast="0"/>
      <w:bookmarkEnd w:id="56"/>
    </w:p>
    <w:p w14:paraId="0000007B" w14:textId="77777777" w:rsidR="009D116B" w:rsidRDefault="00F43361">
      <w:pPr>
        <w:rPr>
          <w:rFonts w:ascii="Calibri" w:eastAsia="Calibri" w:hAnsi="Calibri" w:cs="Calibri"/>
          <w:sz w:val="24"/>
          <w:szCs w:val="24"/>
        </w:rPr>
      </w:pPr>
      <w:bookmarkStart w:id="57" w:name="_4b8fhjatt8kp" w:colFirst="0" w:colLast="0"/>
      <w:bookmarkEnd w:id="57"/>
      <w:r>
        <w:rPr>
          <w:rFonts w:ascii="Calibri" w:eastAsia="Calibri" w:hAnsi="Calibri" w:cs="Calibri"/>
          <w:sz w:val="24"/>
          <w:szCs w:val="24"/>
        </w:rPr>
        <w:t>Heiden, K</w:t>
      </w:r>
      <w:r>
        <w:rPr>
          <w:rFonts w:ascii="Calibri" w:eastAsia="Calibri" w:hAnsi="Calibri" w:cs="Calibri"/>
          <w:sz w:val="24"/>
          <w:szCs w:val="24"/>
        </w:rPr>
        <w:t>., &amp; Harpel, T. (2013) Preparing FCS Professionals: Using Simulations to Raise Awareness and Change Stereotypes, Prejudice, and Discrimination. Journal of Family and Consumer Sciences, 105(2), 21–28.</w:t>
      </w:r>
    </w:p>
    <w:p w14:paraId="0000007C" w14:textId="77777777" w:rsidR="009D116B" w:rsidRDefault="009D116B">
      <w:pPr>
        <w:rPr>
          <w:rFonts w:ascii="Calibri" w:eastAsia="Calibri" w:hAnsi="Calibri" w:cs="Calibri"/>
          <w:sz w:val="24"/>
          <w:szCs w:val="24"/>
        </w:rPr>
      </w:pPr>
    </w:p>
    <w:p w14:paraId="0000007D" w14:textId="77777777" w:rsidR="009D116B" w:rsidRDefault="00F43361">
      <w:pPr>
        <w:rPr>
          <w:rFonts w:ascii="Calibri" w:eastAsia="Calibri" w:hAnsi="Calibri" w:cs="Calibri"/>
          <w:sz w:val="24"/>
          <w:szCs w:val="24"/>
        </w:rPr>
      </w:pPr>
      <w:r>
        <w:rPr>
          <w:rFonts w:ascii="Calibri" w:eastAsia="Calibri" w:hAnsi="Calibri" w:cs="Calibri"/>
          <w:sz w:val="24"/>
          <w:szCs w:val="24"/>
        </w:rPr>
        <w:t>Hirsch, E. D. (2016) Why Knowledge Matters: Rescuing Ou</w:t>
      </w:r>
      <w:r>
        <w:rPr>
          <w:rFonts w:ascii="Calibri" w:eastAsia="Calibri" w:hAnsi="Calibri" w:cs="Calibri"/>
          <w:sz w:val="24"/>
          <w:szCs w:val="24"/>
        </w:rPr>
        <w:t>r Children From Failed Educational Theories. Harvard Education Press.</w:t>
      </w:r>
    </w:p>
    <w:p w14:paraId="0000007E" w14:textId="77777777" w:rsidR="009D116B" w:rsidRDefault="009D116B">
      <w:pPr>
        <w:rPr>
          <w:rFonts w:ascii="Calibri" w:eastAsia="Calibri" w:hAnsi="Calibri" w:cs="Calibri"/>
          <w:sz w:val="24"/>
          <w:szCs w:val="24"/>
        </w:rPr>
      </w:pPr>
    </w:p>
    <w:p w14:paraId="0000007F" w14:textId="77777777" w:rsidR="009D116B" w:rsidRDefault="00F43361">
      <w:pPr>
        <w:rPr>
          <w:rFonts w:ascii="Calibri" w:eastAsia="Calibri" w:hAnsi="Calibri" w:cs="Calibri"/>
          <w:sz w:val="24"/>
          <w:szCs w:val="24"/>
        </w:rPr>
      </w:pPr>
      <w:r>
        <w:rPr>
          <w:rFonts w:ascii="Calibri" w:eastAsia="Calibri" w:hAnsi="Calibri" w:cs="Calibri"/>
          <w:sz w:val="24"/>
          <w:szCs w:val="24"/>
        </w:rPr>
        <w:t>Johnston, O., Wildy, H., &amp; Shand, J. (2019) A decade of teacher expectations research 2008–2018: Historical foundations, new developments, and future pathways. Australian Journal of Edu</w:t>
      </w:r>
      <w:r>
        <w:rPr>
          <w:rFonts w:ascii="Calibri" w:eastAsia="Calibri" w:hAnsi="Calibri" w:cs="Calibri"/>
          <w:sz w:val="24"/>
          <w:szCs w:val="24"/>
        </w:rPr>
        <w:t xml:space="preserve">cation, 63(1), 44–73. </w:t>
      </w:r>
      <w:hyperlink r:id="rId15">
        <w:r>
          <w:rPr>
            <w:rFonts w:ascii="Calibri" w:eastAsia="Calibri" w:hAnsi="Calibri" w:cs="Calibri"/>
            <w:color w:val="1155CC"/>
            <w:sz w:val="24"/>
            <w:szCs w:val="24"/>
            <w:u w:val="single"/>
          </w:rPr>
          <w:t>https://doi.org/10.1177/0004944118824420</w:t>
        </w:r>
      </w:hyperlink>
      <w:r>
        <w:rPr>
          <w:rFonts w:ascii="Calibri" w:eastAsia="Calibri" w:hAnsi="Calibri" w:cs="Calibri"/>
          <w:sz w:val="24"/>
          <w:szCs w:val="24"/>
        </w:rPr>
        <w:t xml:space="preserve"> </w:t>
      </w:r>
    </w:p>
    <w:p w14:paraId="00000080" w14:textId="77777777" w:rsidR="009D116B" w:rsidRDefault="009D116B">
      <w:pPr>
        <w:rPr>
          <w:rFonts w:ascii="Calibri" w:eastAsia="Calibri" w:hAnsi="Calibri" w:cs="Calibri"/>
          <w:sz w:val="24"/>
          <w:szCs w:val="24"/>
        </w:rPr>
      </w:pPr>
    </w:p>
    <w:p w14:paraId="00000081"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Joseph Rowntree Foundation (2013) Monitoring Poverty and social exclusion in Wales: </w:t>
      </w:r>
      <w:hyperlink r:id="rId16">
        <w:r>
          <w:rPr>
            <w:rFonts w:ascii="Calibri" w:eastAsia="Calibri" w:hAnsi="Calibri" w:cs="Calibri"/>
            <w:color w:val="1155CC"/>
            <w:sz w:val="24"/>
            <w:szCs w:val="24"/>
            <w:u w:val="single"/>
          </w:rPr>
          <w:t>https://www.jrf.org.uk/report/monitoring-poverty-and-social-exclusion-wales-2013</w:t>
        </w:r>
      </w:hyperlink>
      <w:r>
        <w:rPr>
          <w:rFonts w:ascii="Calibri" w:eastAsia="Calibri" w:hAnsi="Calibri" w:cs="Calibri"/>
          <w:sz w:val="24"/>
          <w:szCs w:val="24"/>
        </w:rPr>
        <w:t xml:space="preserve"> [accessed 13 June 2021] </w:t>
      </w:r>
    </w:p>
    <w:p w14:paraId="00000082" w14:textId="77777777" w:rsidR="009D116B" w:rsidRDefault="009D116B">
      <w:pPr>
        <w:rPr>
          <w:rFonts w:ascii="Calibri" w:eastAsia="Calibri" w:hAnsi="Calibri" w:cs="Calibri"/>
          <w:sz w:val="24"/>
          <w:szCs w:val="24"/>
        </w:rPr>
      </w:pPr>
    </w:p>
    <w:p w14:paraId="00000083"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Joseph Rowntree Foundation (2015) Monitoring Poverty and social exclusion in Wales: </w:t>
      </w:r>
      <w:hyperlink r:id="rId17">
        <w:r>
          <w:rPr>
            <w:rFonts w:ascii="Calibri" w:eastAsia="Calibri" w:hAnsi="Calibri" w:cs="Calibri"/>
            <w:color w:val="1155CC"/>
            <w:sz w:val="24"/>
            <w:szCs w:val="24"/>
            <w:u w:val="single"/>
          </w:rPr>
          <w:t>https://www.jrf.org.uk/report/monitoring-poverty-and-social-exclusion-wales-2015</w:t>
        </w:r>
      </w:hyperlink>
      <w:r>
        <w:rPr>
          <w:rFonts w:ascii="Calibri" w:eastAsia="Calibri" w:hAnsi="Calibri" w:cs="Calibri"/>
          <w:sz w:val="24"/>
          <w:szCs w:val="24"/>
        </w:rPr>
        <w:t xml:space="preserve"> [accessed 13 June 2021] </w:t>
      </w:r>
    </w:p>
    <w:p w14:paraId="00000084" w14:textId="77777777" w:rsidR="009D116B" w:rsidRDefault="009D116B">
      <w:pPr>
        <w:rPr>
          <w:rFonts w:ascii="Calibri" w:eastAsia="Calibri" w:hAnsi="Calibri" w:cs="Calibri"/>
          <w:sz w:val="24"/>
          <w:szCs w:val="24"/>
        </w:rPr>
      </w:pPr>
    </w:p>
    <w:p w14:paraId="00000085" w14:textId="77777777" w:rsidR="009D116B" w:rsidRDefault="00F43361">
      <w:pPr>
        <w:rPr>
          <w:rFonts w:ascii="Calibri" w:eastAsia="Calibri" w:hAnsi="Calibri" w:cs="Calibri"/>
          <w:sz w:val="24"/>
          <w:szCs w:val="24"/>
        </w:rPr>
      </w:pPr>
      <w:r>
        <w:rPr>
          <w:rFonts w:ascii="Calibri" w:eastAsia="Calibri" w:hAnsi="Calibri" w:cs="Calibri"/>
          <w:color w:val="333333"/>
          <w:sz w:val="24"/>
          <w:szCs w:val="24"/>
        </w:rPr>
        <w:t>Jussim, L., Eccles, J., &amp; Madon, S. (1996) Social perception,</w:t>
      </w:r>
      <w:r>
        <w:rPr>
          <w:rFonts w:ascii="Calibri" w:eastAsia="Calibri" w:hAnsi="Calibri" w:cs="Calibri"/>
          <w:color w:val="333333"/>
          <w:sz w:val="24"/>
          <w:szCs w:val="24"/>
        </w:rPr>
        <w:t xml:space="preserve"> social stereotypes, and teacher expectations: Accuracy and the quest for the powerful self-fulfilling prophecy. In M. P. Zanna (Ed.), </w:t>
      </w:r>
      <w:r>
        <w:rPr>
          <w:rFonts w:ascii="Calibri" w:eastAsia="Calibri" w:hAnsi="Calibri" w:cs="Calibri"/>
          <w:i/>
          <w:color w:val="333333"/>
          <w:sz w:val="24"/>
          <w:szCs w:val="24"/>
        </w:rPr>
        <w:t xml:space="preserve">Advances in experimental social psychology, </w:t>
      </w:r>
      <w:r>
        <w:rPr>
          <w:rFonts w:ascii="Calibri" w:eastAsia="Calibri" w:hAnsi="Calibri" w:cs="Calibri"/>
          <w:color w:val="333333"/>
          <w:sz w:val="24"/>
          <w:szCs w:val="24"/>
        </w:rPr>
        <w:t xml:space="preserve">Vol. 28, pp. 281–388). Academic Press. </w:t>
      </w:r>
      <w:hyperlink r:id="rId18">
        <w:r>
          <w:rPr>
            <w:rFonts w:ascii="Calibri" w:eastAsia="Calibri" w:hAnsi="Calibri" w:cs="Calibri"/>
            <w:color w:val="2C72B7"/>
            <w:sz w:val="24"/>
            <w:szCs w:val="24"/>
          </w:rPr>
          <w:t>https://doi.org/10.1016/S0065-2601(08)60240-3</w:t>
        </w:r>
      </w:hyperlink>
    </w:p>
    <w:p w14:paraId="00000086" w14:textId="77777777" w:rsidR="009D116B" w:rsidRDefault="009D116B">
      <w:pPr>
        <w:rPr>
          <w:rFonts w:ascii="Calibri" w:eastAsia="Calibri" w:hAnsi="Calibri" w:cs="Calibri"/>
          <w:sz w:val="24"/>
          <w:szCs w:val="24"/>
        </w:rPr>
      </w:pPr>
    </w:p>
    <w:p w14:paraId="00000087" w14:textId="77777777" w:rsidR="009D116B" w:rsidRDefault="00F43361">
      <w:pPr>
        <w:rPr>
          <w:rFonts w:ascii="Calibri" w:eastAsia="Calibri" w:hAnsi="Calibri" w:cs="Calibri"/>
          <w:sz w:val="24"/>
          <w:szCs w:val="24"/>
        </w:rPr>
      </w:pPr>
      <w:r>
        <w:rPr>
          <w:rFonts w:ascii="Calibri" w:eastAsia="Calibri" w:hAnsi="Calibri" w:cs="Calibri"/>
          <w:sz w:val="24"/>
          <w:szCs w:val="24"/>
        </w:rPr>
        <w:t>Jussim, L., Cain, T.R., Crawford, J., Harber, K. &amp; Cohen, F. (2009) The unbearable accuracy of stereotypes. Handbook of prejudice, stereotyping, and discrimination. 199-2</w:t>
      </w:r>
      <w:r>
        <w:rPr>
          <w:rFonts w:ascii="Calibri" w:eastAsia="Calibri" w:hAnsi="Calibri" w:cs="Calibri"/>
          <w:sz w:val="24"/>
          <w:szCs w:val="24"/>
        </w:rPr>
        <w:t xml:space="preserve">27. </w:t>
      </w:r>
    </w:p>
    <w:p w14:paraId="00000088" w14:textId="77777777" w:rsidR="009D116B" w:rsidRDefault="009D116B">
      <w:pPr>
        <w:rPr>
          <w:rFonts w:ascii="Calibri" w:eastAsia="Calibri" w:hAnsi="Calibri" w:cs="Calibri"/>
          <w:sz w:val="24"/>
          <w:szCs w:val="24"/>
        </w:rPr>
      </w:pPr>
    </w:p>
    <w:p w14:paraId="00000089" w14:textId="77777777" w:rsidR="009D116B" w:rsidRDefault="00F43361">
      <w:pPr>
        <w:rPr>
          <w:rFonts w:ascii="Calibri" w:eastAsia="Calibri" w:hAnsi="Calibri" w:cs="Calibri"/>
          <w:sz w:val="24"/>
          <w:szCs w:val="24"/>
        </w:rPr>
      </w:pPr>
      <w:r>
        <w:rPr>
          <w:rFonts w:ascii="Calibri" w:eastAsia="Calibri" w:hAnsi="Calibri" w:cs="Calibri"/>
          <w:sz w:val="24"/>
          <w:szCs w:val="24"/>
        </w:rPr>
        <w:lastRenderedPageBreak/>
        <w:t>Jussim, L., &amp; Harber, K. D. (2005) Teacher expectations and self-fulfilling prophecies: Knowns and unknowns, resolved and unresolved controversies. Personality and Social Psychology Review, 9(2), 131–155. doi:10.1207/s15327957pspr0902_3</w:t>
      </w:r>
    </w:p>
    <w:p w14:paraId="0000008A" w14:textId="77777777" w:rsidR="009D116B" w:rsidRDefault="009D116B">
      <w:pPr>
        <w:rPr>
          <w:rFonts w:ascii="Calibri" w:eastAsia="Calibri" w:hAnsi="Calibri" w:cs="Calibri"/>
          <w:sz w:val="24"/>
          <w:szCs w:val="24"/>
        </w:rPr>
      </w:pPr>
    </w:p>
    <w:p w14:paraId="0000008B" w14:textId="77777777" w:rsidR="009D116B" w:rsidRDefault="00F43361">
      <w:pPr>
        <w:rPr>
          <w:rFonts w:ascii="Calibri" w:eastAsia="Calibri" w:hAnsi="Calibri" w:cs="Calibri"/>
          <w:sz w:val="24"/>
          <w:szCs w:val="24"/>
        </w:rPr>
      </w:pPr>
      <w:r>
        <w:rPr>
          <w:rFonts w:ascii="Calibri" w:eastAsia="Calibri" w:hAnsi="Calibri" w:cs="Calibri"/>
          <w:sz w:val="24"/>
          <w:szCs w:val="24"/>
        </w:rPr>
        <w:t>Kaplan, L. S</w:t>
      </w:r>
      <w:r>
        <w:rPr>
          <w:rFonts w:ascii="Calibri" w:eastAsia="Calibri" w:hAnsi="Calibri" w:cs="Calibri"/>
          <w:sz w:val="24"/>
          <w:szCs w:val="24"/>
        </w:rPr>
        <w:t xml:space="preserve">., &amp; Owings, W. A. (2013) Culture re-boot: Reinvigorating school culture to improve student outcomes. Corwin Press, </w:t>
      </w:r>
      <w:hyperlink r:id="rId19">
        <w:r>
          <w:rPr>
            <w:rFonts w:ascii="Calibri" w:eastAsia="Calibri" w:hAnsi="Calibri" w:cs="Calibri"/>
            <w:color w:val="1155CC"/>
            <w:sz w:val="24"/>
            <w:szCs w:val="24"/>
            <w:u w:val="single"/>
          </w:rPr>
          <w:t>https://www.doi.org/10.4135/9781452277974</w:t>
        </w:r>
      </w:hyperlink>
    </w:p>
    <w:p w14:paraId="0000008C" w14:textId="77777777" w:rsidR="009D116B" w:rsidRDefault="009D116B">
      <w:pPr>
        <w:rPr>
          <w:rFonts w:ascii="Calibri" w:eastAsia="Calibri" w:hAnsi="Calibri" w:cs="Calibri"/>
          <w:sz w:val="24"/>
          <w:szCs w:val="24"/>
        </w:rPr>
      </w:pPr>
    </w:p>
    <w:p w14:paraId="0000008D" w14:textId="77777777" w:rsidR="009D116B" w:rsidRDefault="00F43361">
      <w:pPr>
        <w:rPr>
          <w:rFonts w:ascii="Calibri" w:eastAsia="Calibri" w:hAnsi="Calibri" w:cs="Calibri"/>
          <w:sz w:val="24"/>
          <w:szCs w:val="24"/>
        </w:rPr>
      </w:pPr>
      <w:r>
        <w:rPr>
          <w:rFonts w:ascii="Calibri" w:eastAsia="Calibri" w:hAnsi="Calibri" w:cs="Calibri"/>
          <w:sz w:val="24"/>
          <w:szCs w:val="24"/>
        </w:rPr>
        <w:t>Kite, M. E. &amp; Whitley, B. E. Jr. (20</w:t>
      </w:r>
      <w:r>
        <w:rPr>
          <w:rFonts w:ascii="Calibri" w:eastAsia="Calibri" w:hAnsi="Calibri" w:cs="Calibri"/>
          <w:sz w:val="24"/>
          <w:szCs w:val="24"/>
        </w:rPr>
        <w:t>16) Psychology of Prejudice and Discrimination. Abingdon: Routledge.</w:t>
      </w:r>
    </w:p>
    <w:p w14:paraId="0000008E" w14:textId="77777777" w:rsidR="009D116B" w:rsidRDefault="009D116B">
      <w:pPr>
        <w:rPr>
          <w:rFonts w:ascii="Calibri" w:eastAsia="Calibri" w:hAnsi="Calibri" w:cs="Calibri"/>
          <w:sz w:val="24"/>
          <w:szCs w:val="24"/>
        </w:rPr>
      </w:pPr>
      <w:bookmarkStart w:id="58" w:name="_xombu2xk45jd" w:colFirst="0" w:colLast="0"/>
      <w:bookmarkEnd w:id="58"/>
    </w:p>
    <w:p w14:paraId="0000008F" w14:textId="77777777" w:rsidR="009D116B" w:rsidRDefault="00F43361">
      <w:pPr>
        <w:rPr>
          <w:rFonts w:ascii="Calibri" w:eastAsia="Calibri" w:hAnsi="Calibri" w:cs="Calibri"/>
          <w:sz w:val="24"/>
          <w:szCs w:val="24"/>
        </w:rPr>
      </w:pPr>
      <w:bookmarkStart w:id="59" w:name="_pyk7poly111k" w:colFirst="0" w:colLast="0"/>
      <w:bookmarkEnd w:id="59"/>
      <w:r>
        <w:rPr>
          <w:rFonts w:ascii="Calibri" w:eastAsia="Calibri" w:hAnsi="Calibri" w:cs="Calibri"/>
          <w:sz w:val="24"/>
          <w:szCs w:val="24"/>
        </w:rPr>
        <w:t>Lippmann, W. (1922) Public opinion. New York: Harcourt, Brace and Company.</w:t>
      </w:r>
    </w:p>
    <w:p w14:paraId="00000090" w14:textId="77777777" w:rsidR="009D116B" w:rsidRDefault="009D116B">
      <w:pPr>
        <w:rPr>
          <w:rFonts w:ascii="Calibri" w:eastAsia="Calibri" w:hAnsi="Calibri" w:cs="Calibri"/>
          <w:sz w:val="24"/>
          <w:szCs w:val="24"/>
        </w:rPr>
      </w:pPr>
    </w:p>
    <w:p w14:paraId="00000091" w14:textId="77777777" w:rsidR="009D116B" w:rsidRDefault="00F43361">
      <w:pPr>
        <w:rPr>
          <w:rFonts w:ascii="Calibri" w:eastAsia="Calibri" w:hAnsi="Calibri" w:cs="Calibri"/>
          <w:sz w:val="24"/>
          <w:szCs w:val="24"/>
        </w:rPr>
      </w:pPr>
      <w:r>
        <w:rPr>
          <w:rFonts w:ascii="Calibri" w:eastAsia="Calibri" w:hAnsi="Calibri" w:cs="Calibri"/>
          <w:sz w:val="24"/>
          <w:szCs w:val="24"/>
        </w:rPr>
        <w:t>Merton, R. K. (1948) The self-fulﬁlling prophecy. The Antioch Review, 8, 193–210</w:t>
      </w:r>
    </w:p>
    <w:p w14:paraId="00000092" w14:textId="77777777" w:rsidR="009D116B" w:rsidRDefault="009D116B">
      <w:pPr>
        <w:rPr>
          <w:rFonts w:ascii="Calibri" w:eastAsia="Calibri" w:hAnsi="Calibri" w:cs="Calibri"/>
          <w:sz w:val="24"/>
          <w:szCs w:val="24"/>
        </w:rPr>
      </w:pPr>
    </w:p>
    <w:p w14:paraId="00000093"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Newton, N. (2020) The rationale for subsidiarity as a principle applied within curriculum reform and its unintended consequences. The Curriculum Journal, 31: 215-230. </w:t>
      </w:r>
      <w:hyperlink r:id="rId20">
        <w:r>
          <w:rPr>
            <w:rFonts w:ascii="Calibri" w:eastAsia="Calibri" w:hAnsi="Calibri" w:cs="Calibri"/>
            <w:color w:val="1155CC"/>
            <w:sz w:val="24"/>
            <w:szCs w:val="24"/>
            <w:u w:val="single"/>
          </w:rPr>
          <w:t>https://doi.org/10.1002/curj.37</w:t>
        </w:r>
      </w:hyperlink>
    </w:p>
    <w:p w14:paraId="00000094" w14:textId="77777777" w:rsidR="009D116B" w:rsidRDefault="009D116B">
      <w:pPr>
        <w:rPr>
          <w:rFonts w:ascii="Calibri" w:eastAsia="Calibri" w:hAnsi="Calibri" w:cs="Calibri"/>
          <w:sz w:val="24"/>
          <w:szCs w:val="24"/>
        </w:rPr>
      </w:pPr>
    </w:p>
    <w:p w14:paraId="00000095"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Perkins, David N. (2014) Future Wise : Educating Our Children for a Changing World . First edition. San Francisco, CA: Jossey-Bass, a Wiley brand. </w:t>
      </w:r>
    </w:p>
    <w:p w14:paraId="00000096" w14:textId="77777777" w:rsidR="009D116B" w:rsidRDefault="009D116B">
      <w:pPr>
        <w:rPr>
          <w:rFonts w:ascii="Calibri" w:eastAsia="Calibri" w:hAnsi="Calibri" w:cs="Calibri"/>
          <w:sz w:val="24"/>
          <w:szCs w:val="24"/>
        </w:rPr>
      </w:pPr>
    </w:p>
    <w:p w14:paraId="00000097" w14:textId="77777777" w:rsidR="009D116B" w:rsidRDefault="00F43361">
      <w:pPr>
        <w:rPr>
          <w:rFonts w:ascii="Calibri" w:eastAsia="Calibri" w:hAnsi="Calibri" w:cs="Calibri"/>
          <w:sz w:val="24"/>
          <w:szCs w:val="24"/>
        </w:rPr>
      </w:pPr>
      <w:r>
        <w:rPr>
          <w:rFonts w:ascii="Calibri" w:eastAsia="Calibri" w:hAnsi="Calibri" w:cs="Calibri"/>
          <w:sz w:val="24"/>
          <w:szCs w:val="24"/>
        </w:rPr>
        <w:t>Pak Tee Ng (2017) Learning fro</w:t>
      </w:r>
      <w:r>
        <w:rPr>
          <w:rFonts w:ascii="Calibri" w:eastAsia="Calibri" w:hAnsi="Calibri" w:cs="Calibri"/>
          <w:sz w:val="24"/>
          <w:szCs w:val="24"/>
        </w:rPr>
        <w:t>m Singapore: The Power of Paradoxes. Routledge</w:t>
      </w:r>
    </w:p>
    <w:p w14:paraId="00000098" w14:textId="77777777" w:rsidR="009D116B" w:rsidRDefault="009D116B">
      <w:pPr>
        <w:rPr>
          <w:rFonts w:ascii="Calibri" w:eastAsia="Calibri" w:hAnsi="Calibri" w:cs="Calibri"/>
          <w:sz w:val="24"/>
          <w:szCs w:val="24"/>
        </w:rPr>
      </w:pPr>
    </w:p>
    <w:p w14:paraId="00000099" w14:textId="77777777" w:rsidR="009D116B" w:rsidRDefault="00F43361">
      <w:pPr>
        <w:rPr>
          <w:rFonts w:ascii="Calibri" w:eastAsia="Calibri" w:hAnsi="Calibri" w:cs="Calibri"/>
          <w:sz w:val="24"/>
          <w:szCs w:val="24"/>
        </w:rPr>
      </w:pPr>
      <w:bookmarkStart w:id="60" w:name="_ltr7yec0anfu" w:colFirst="0" w:colLast="0"/>
      <w:bookmarkEnd w:id="60"/>
      <w:r>
        <w:rPr>
          <w:rFonts w:ascii="Calibri" w:eastAsia="Calibri" w:hAnsi="Calibri" w:cs="Calibri"/>
          <w:sz w:val="24"/>
          <w:szCs w:val="24"/>
        </w:rPr>
        <w:t>Peterson, E.R., Rubie-Davies, C., Osborne, D., &amp; Sibley, C. (2016) ‘Teachers' explicit expectations and implicit prejudiced attitudes to educational achievement: Relations with student achievement and the eth</w:t>
      </w:r>
      <w:r>
        <w:rPr>
          <w:rFonts w:ascii="Calibri" w:eastAsia="Calibri" w:hAnsi="Calibri" w:cs="Calibri"/>
          <w:sz w:val="24"/>
          <w:szCs w:val="24"/>
        </w:rPr>
        <w:t xml:space="preserve">nic achievement gap’, Learning and Instruction, 42, pp. 123-140, Available at: </w:t>
      </w:r>
      <w:hyperlink r:id="rId21">
        <w:r>
          <w:rPr>
            <w:rFonts w:ascii="Calibri" w:eastAsia="Calibri" w:hAnsi="Calibri" w:cs="Calibri"/>
            <w:color w:val="1155CC"/>
            <w:sz w:val="24"/>
            <w:szCs w:val="24"/>
            <w:u w:val="single"/>
          </w:rPr>
          <w:t>https://doi.org/10.1016/j.learninstruc.2016.01.010</w:t>
        </w:r>
      </w:hyperlink>
      <w:r>
        <w:rPr>
          <w:rFonts w:ascii="Calibri" w:eastAsia="Calibri" w:hAnsi="Calibri" w:cs="Calibri"/>
          <w:sz w:val="24"/>
          <w:szCs w:val="24"/>
        </w:rPr>
        <w:t xml:space="preserve"> [Accessed 04 January 2021].</w:t>
      </w:r>
    </w:p>
    <w:p w14:paraId="0000009A" w14:textId="77777777" w:rsidR="009D116B" w:rsidRDefault="009D116B">
      <w:pPr>
        <w:rPr>
          <w:rFonts w:ascii="Calibri" w:eastAsia="Calibri" w:hAnsi="Calibri" w:cs="Calibri"/>
          <w:sz w:val="24"/>
          <w:szCs w:val="24"/>
        </w:rPr>
      </w:pPr>
    </w:p>
    <w:p w14:paraId="0000009B" w14:textId="77777777" w:rsidR="009D116B" w:rsidRDefault="00F43361">
      <w:pPr>
        <w:rPr>
          <w:rFonts w:ascii="Calibri" w:eastAsia="Calibri" w:hAnsi="Calibri" w:cs="Calibri"/>
          <w:sz w:val="24"/>
          <w:szCs w:val="24"/>
        </w:rPr>
      </w:pPr>
      <w:r>
        <w:rPr>
          <w:rFonts w:ascii="Calibri" w:eastAsia="Calibri" w:hAnsi="Calibri" w:cs="Calibri"/>
          <w:sz w:val="24"/>
          <w:szCs w:val="24"/>
        </w:rPr>
        <w:t>Parekh, A. and Kenway, P. (</w:t>
      </w:r>
      <w:r>
        <w:rPr>
          <w:rFonts w:ascii="Calibri" w:eastAsia="Calibri" w:hAnsi="Calibri" w:cs="Calibri"/>
          <w:sz w:val="24"/>
          <w:szCs w:val="24"/>
        </w:rPr>
        <w:t>2011) Monitoring poverty and social exclusion in Wales 2011. York: Joseph Rowntree Foundation</w:t>
      </w:r>
    </w:p>
    <w:p w14:paraId="0000009C" w14:textId="77777777" w:rsidR="009D116B" w:rsidRDefault="009D116B">
      <w:pPr>
        <w:rPr>
          <w:rFonts w:ascii="Calibri" w:eastAsia="Calibri" w:hAnsi="Calibri" w:cs="Calibri"/>
          <w:sz w:val="24"/>
          <w:szCs w:val="24"/>
        </w:rPr>
      </w:pPr>
    </w:p>
    <w:p w14:paraId="0000009D" w14:textId="77777777" w:rsidR="009D116B" w:rsidRDefault="00F43361">
      <w:pPr>
        <w:rPr>
          <w:rFonts w:ascii="Calibri" w:eastAsia="Calibri" w:hAnsi="Calibri" w:cs="Calibri"/>
          <w:sz w:val="24"/>
          <w:szCs w:val="24"/>
        </w:rPr>
      </w:pPr>
      <w:r>
        <w:rPr>
          <w:rFonts w:ascii="Calibri" w:eastAsia="Calibri" w:hAnsi="Calibri" w:cs="Calibri"/>
          <w:sz w:val="24"/>
          <w:szCs w:val="24"/>
        </w:rPr>
        <w:t>Priestley, M., Biesta, G.J.J., S. &amp; Robinson, S. (2012) Teachers as agents of change: An exploration of the concept of teacher agency Working paper no. 1, Teache</w:t>
      </w:r>
      <w:r>
        <w:rPr>
          <w:rFonts w:ascii="Calibri" w:eastAsia="Calibri" w:hAnsi="Calibri" w:cs="Calibri"/>
          <w:sz w:val="24"/>
          <w:szCs w:val="24"/>
        </w:rPr>
        <w:t>r Agency and Curriculum Change</w:t>
      </w:r>
    </w:p>
    <w:p w14:paraId="0000009E" w14:textId="77777777" w:rsidR="009D116B" w:rsidRDefault="009D116B">
      <w:pPr>
        <w:rPr>
          <w:rFonts w:ascii="Calibri" w:eastAsia="Calibri" w:hAnsi="Calibri" w:cs="Calibri"/>
          <w:sz w:val="24"/>
          <w:szCs w:val="24"/>
        </w:rPr>
      </w:pPr>
    </w:p>
    <w:p w14:paraId="0000009F" w14:textId="77777777" w:rsidR="009D116B" w:rsidRDefault="00F43361">
      <w:pPr>
        <w:rPr>
          <w:rFonts w:ascii="Calibri" w:eastAsia="Calibri" w:hAnsi="Calibri" w:cs="Calibri"/>
          <w:sz w:val="24"/>
          <w:szCs w:val="24"/>
        </w:rPr>
      </w:pPr>
      <w:r>
        <w:rPr>
          <w:rFonts w:ascii="Calibri" w:eastAsia="Calibri" w:hAnsi="Calibri" w:cs="Calibri"/>
          <w:sz w:val="24"/>
          <w:szCs w:val="24"/>
        </w:rPr>
        <w:t>Priestley, M., Alvunger, D., Philippou, S., &amp; Soini, T. (2021) Curriculum making in Europe: policy and practice within and across diverse contexts. Bingley: Emerald.</w:t>
      </w:r>
    </w:p>
    <w:p w14:paraId="000000A0" w14:textId="77777777" w:rsidR="009D116B" w:rsidRDefault="009D116B">
      <w:pPr>
        <w:rPr>
          <w:rFonts w:ascii="Calibri" w:eastAsia="Calibri" w:hAnsi="Calibri" w:cs="Calibri"/>
          <w:sz w:val="24"/>
          <w:szCs w:val="24"/>
        </w:rPr>
      </w:pPr>
    </w:p>
    <w:p w14:paraId="000000A1" w14:textId="77777777" w:rsidR="009D116B" w:rsidRDefault="00F43361">
      <w:pPr>
        <w:rPr>
          <w:rFonts w:ascii="Calibri" w:eastAsia="Calibri" w:hAnsi="Calibri" w:cs="Calibri"/>
          <w:sz w:val="24"/>
          <w:szCs w:val="24"/>
        </w:rPr>
      </w:pPr>
      <w:r>
        <w:rPr>
          <w:rFonts w:ascii="Calibri" w:eastAsia="Calibri" w:hAnsi="Calibri" w:cs="Calibri"/>
          <w:sz w:val="24"/>
          <w:szCs w:val="24"/>
        </w:rPr>
        <w:lastRenderedPageBreak/>
        <w:t xml:space="preserve">Power, S., Newton, N. and Taylor, C. (2020), ‘Successful </w:t>
      </w:r>
      <w:r>
        <w:rPr>
          <w:rFonts w:ascii="Calibri" w:eastAsia="Calibri" w:hAnsi="Calibri" w:cs="Calibri"/>
          <w:sz w:val="24"/>
          <w:szCs w:val="24"/>
        </w:rPr>
        <w:t xml:space="preserve">futures’ for all in Wales? The challenges of curriculum reform for addressing educational inequalities. The Curriculum Journal, 31: 317-333. </w:t>
      </w:r>
      <w:hyperlink r:id="rId22">
        <w:r>
          <w:rPr>
            <w:rFonts w:ascii="Calibri" w:eastAsia="Calibri" w:hAnsi="Calibri" w:cs="Calibri"/>
            <w:color w:val="1155CC"/>
            <w:sz w:val="24"/>
            <w:szCs w:val="24"/>
            <w:u w:val="single"/>
          </w:rPr>
          <w:t>https://doi.org/10.1002/curj.39</w:t>
        </w:r>
      </w:hyperlink>
    </w:p>
    <w:p w14:paraId="000000A2" w14:textId="77777777" w:rsidR="009D116B" w:rsidRDefault="009D116B">
      <w:pPr>
        <w:rPr>
          <w:rFonts w:ascii="Calibri" w:eastAsia="Calibri" w:hAnsi="Calibri" w:cs="Calibri"/>
          <w:sz w:val="24"/>
          <w:szCs w:val="24"/>
        </w:rPr>
      </w:pPr>
    </w:p>
    <w:p w14:paraId="000000A3" w14:textId="77777777" w:rsidR="009D116B" w:rsidRDefault="00F43361">
      <w:pPr>
        <w:rPr>
          <w:rFonts w:ascii="Calibri" w:eastAsia="Calibri" w:hAnsi="Calibri" w:cs="Calibri"/>
          <w:sz w:val="24"/>
          <w:szCs w:val="24"/>
        </w:rPr>
      </w:pPr>
      <w:r>
        <w:rPr>
          <w:rFonts w:ascii="Calibri" w:eastAsia="Calibri" w:hAnsi="Calibri" w:cs="Calibri"/>
          <w:sz w:val="24"/>
          <w:szCs w:val="24"/>
        </w:rPr>
        <w:t>Power, S., Taylor, C., &amp; Newton</w:t>
      </w:r>
      <w:r>
        <w:rPr>
          <w:rFonts w:ascii="Calibri" w:eastAsia="Calibri" w:hAnsi="Calibri" w:cs="Calibri"/>
          <w:sz w:val="24"/>
          <w:szCs w:val="24"/>
        </w:rPr>
        <w:t xml:space="preserve">, N. (2020) Curriculum reform and inequality: The challenges facing Wales: BERA. </w:t>
      </w:r>
      <w:hyperlink r:id="rId23">
        <w:r>
          <w:rPr>
            <w:rFonts w:ascii="Calibri" w:eastAsia="Calibri" w:hAnsi="Calibri" w:cs="Calibri"/>
            <w:color w:val="1155CC"/>
            <w:sz w:val="24"/>
            <w:szCs w:val="24"/>
            <w:u w:val="single"/>
          </w:rPr>
          <w:t>https://www.bera.ac.uk/blog/curriculum-reform-and-inequality-the-ch</w:t>
        </w:r>
        <w:r>
          <w:rPr>
            <w:rFonts w:ascii="Calibri" w:eastAsia="Calibri" w:hAnsi="Calibri" w:cs="Calibri"/>
            <w:color w:val="1155CC"/>
            <w:sz w:val="24"/>
            <w:szCs w:val="24"/>
            <w:u w:val="single"/>
          </w:rPr>
          <w:t>allenges-facing-wales</w:t>
        </w:r>
      </w:hyperlink>
      <w:r>
        <w:rPr>
          <w:rFonts w:ascii="Calibri" w:eastAsia="Calibri" w:hAnsi="Calibri" w:cs="Calibri"/>
          <w:sz w:val="24"/>
          <w:szCs w:val="24"/>
        </w:rPr>
        <w:t>[Accessed 11 June 2021]</w:t>
      </w:r>
    </w:p>
    <w:p w14:paraId="000000A4" w14:textId="77777777" w:rsidR="009D116B" w:rsidRDefault="009D116B">
      <w:pPr>
        <w:rPr>
          <w:rFonts w:ascii="Calibri" w:eastAsia="Calibri" w:hAnsi="Calibri" w:cs="Calibri"/>
          <w:sz w:val="24"/>
          <w:szCs w:val="24"/>
        </w:rPr>
      </w:pPr>
    </w:p>
    <w:p w14:paraId="000000A5" w14:textId="77777777" w:rsidR="009D116B" w:rsidRDefault="00F43361">
      <w:pPr>
        <w:rPr>
          <w:rFonts w:ascii="Calibri" w:eastAsia="Calibri" w:hAnsi="Calibri" w:cs="Calibri"/>
          <w:sz w:val="24"/>
          <w:szCs w:val="24"/>
        </w:rPr>
      </w:pPr>
      <w:r>
        <w:rPr>
          <w:rFonts w:ascii="Calibri" w:eastAsia="Calibri" w:hAnsi="Calibri" w:cs="Calibri"/>
          <w:color w:val="202124"/>
          <w:sz w:val="24"/>
          <w:szCs w:val="24"/>
        </w:rPr>
        <w:t>Rosenthal, R., &amp; Jacobson, L. (1968) Pygmalion in the classroom: Teacher expectation and pupils' intellectual development. New York: Holt, Rinehart and Winston.</w:t>
      </w:r>
    </w:p>
    <w:p w14:paraId="000000A6" w14:textId="77777777" w:rsidR="009D116B" w:rsidRDefault="009D116B">
      <w:pPr>
        <w:rPr>
          <w:rFonts w:ascii="Calibri" w:eastAsia="Calibri" w:hAnsi="Calibri" w:cs="Calibri"/>
          <w:sz w:val="24"/>
          <w:szCs w:val="24"/>
        </w:rPr>
      </w:pPr>
    </w:p>
    <w:p w14:paraId="000000A7" w14:textId="77777777" w:rsidR="009D116B" w:rsidRDefault="00F43361">
      <w:pPr>
        <w:rPr>
          <w:rFonts w:ascii="Calibri" w:eastAsia="Calibri" w:hAnsi="Calibri" w:cs="Calibri"/>
          <w:sz w:val="24"/>
          <w:szCs w:val="24"/>
        </w:rPr>
      </w:pPr>
      <w:r>
        <w:rPr>
          <w:rFonts w:ascii="Calibri" w:eastAsia="Calibri" w:hAnsi="Calibri" w:cs="Calibri"/>
          <w:sz w:val="24"/>
          <w:szCs w:val="24"/>
        </w:rPr>
        <w:t>Rubie-Davies, C., Hattie, J., Townsend, M. &amp; Ham</w:t>
      </w:r>
      <w:r>
        <w:rPr>
          <w:rFonts w:ascii="Calibri" w:eastAsia="Calibri" w:hAnsi="Calibri" w:cs="Calibri"/>
          <w:sz w:val="24"/>
          <w:szCs w:val="24"/>
        </w:rPr>
        <w:t>ilton R. (2004) ‘Expectations and beliefs about teaching: is there a relationship?’ BERA Conference, UMIST, Manchester, 16-18 September.</w:t>
      </w:r>
    </w:p>
    <w:p w14:paraId="000000A8" w14:textId="77777777" w:rsidR="009D116B" w:rsidRDefault="009D116B">
      <w:pPr>
        <w:rPr>
          <w:rFonts w:ascii="Calibri" w:eastAsia="Calibri" w:hAnsi="Calibri" w:cs="Calibri"/>
          <w:sz w:val="24"/>
          <w:szCs w:val="24"/>
        </w:rPr>
      </w:pPr>
    </w:p>
    <w:p w14:paraId="000000A9" w14:textId="77777777" w:rsidR="009D116B" w:rsidRDefault="00F43361">
      <w:pPr>
        <w:rPr>
          <w:rFonts w:ascii="Calibri" w:eastAsia="Calibri" w:hAnsi="Calibri" w:cs="Calibri"/>
          <w:sz w:val="24"/>
          <w:szCs w:val="24"/>
        </w:rPr>
      </w:pPr>
      <w:r>
        <w:rPr>
          <w:rFonts w:ascii="Calibri" w:eastAsia="Calibri" w:hAnsi="Calibri" w:cs="Calibri"/>
          <w:sz w:val="24"/>
          <w:szCs w:val="24"/>
        </w:rPr>
        <w:t>Sinnema, C. (2015) The Ebb and Flow of Curricular Autonomy: Balance Between Local Freedom and Prescription in National</w:t>
      </w:r>
      <w:r>
        <w:rPr>
          <w:rFonts w:ascii="Calibri" w:eastAsia="Calibri" w:hAnsi="Calibri" w:cs="Calibri"/>
          <w:sz w:val="24"/>
          <w:szCs w:val="24"/>
        </w:rPr>
        <w:t xml:space="preserve"> Curriculum cited in The SAGE Handbook of Curriculum, Pedagogy and Assessment. Sage Publishing.</w:t>
      </w:r>
    </w:p>
    <w:p w14:paraId="000000AA" w14:textId="77777777" w:rsidR="009D116B" w:rsidRDefault="009D116B">
      <w:pPr>
        <w:rPr>
          <w:rFonts w:ascii="Calibri" w:eastAsia="Calibri" w:hAnsi="Calibri" w:cs="Calibri"/>
          <w:sz w:val="24"/>
          <w:szCs w:val="24"/>
        </w:rPr>
      </w:pPr>
    </w:p>
    <w:p w14:paraId="000000AB" w14:textId="77777777" w:rsidR="009D116B" w:rsidRDefault="00F43361">
      <w:pPr>
        <w:rPr>
          <w:rFonts w:ascii="Calibri" w:eastAsia="Calibri" w:hAnsi="Calibri" w:cs="Calibri"/>
          <w:sz w:val="24"/>
          <w:szCs w:val="24"/>
        </w:rPr>
      </w:pPr>
      <w:r>
        <w:rPr>
          <w:rFonts w:ascii="Calibri" w:eastAsia="Calibri" w:hAnsi="Calibri" w:cs="Calibri"/>
          <w:sz w:val="24"/>
          <w:szCs w:val="24"/>
        </w:rPr>
        <w:t>Thijs, A., &amp; Akker, J. van den (2009) Curriculum in development. Enschede: SLO</w:t>
      </w:r>
    </w:p>
    <w:p w14:paraId="000000AC" w14:textId="77777777" w:rsidR="009D116B" w:rsidRDefault="009D116B">
      <w:pPr>
        <w:rPr>
          <w:rFonts w:ascii="Calibri" w:eastAsia="Calibri" w:hAnsi="Calibri" w:cs="Calibri"/>
          <w:sz w:val="24"/>
          <w:szCs w:val="24"/>
        </w:rPr>
      </w:pPr>
    </w:p>
    <w:p w14:paraId="000000AD" w14:textId="77777777" w:rsidR="009D116B" w:rsidRDefault="00F43361">
      <w:pPr>
        <w:rPr>
          <w:rFonts w:ascii="Calibri" w:eastAsia="Calibri" w:hAnsi="Calibri" w:cs="Calibri"/>
          <w:sz w:val="24"/>
          <w:szCs w:val="24"/>
        </w:rPr>
      </w:pPr>
      <w:r>
        <w:rPr>
          <w:rFonts w:ascii="Calibri" w:eastAsia="Calibri" w:hAnsi="Calibri" w:cs="Calibri"/>
          <w:sz w:val="24"/>
          <w:szCs w:val="24"/>
        </w:rPr>
        <w:t>Timmermans</w:t>
      </w:r>
      <w:r>
        <w:rPr>
          <w:rFonts w:ascii="Calibri" w:eastAsia="Calibri" w:hAnsi="Calibri" w:cs="Calibri"/>
          <w:sz w:val="24"/>
          <w:szCs w:val="24"/>
        </w:rPr>
        <w:t>, A. C., Kuyper, H., &amp; Van der Werf, G. (2015) ‘Accurate, inaccurate or biased teacher expectations: Do Dutch teachers differ in their expectations at the end of primary education?’, British Journal of Educational Psychology, 85, pp. 459–478. DOI: 10.1111/</w:t>
      </w:r>
      <w:r>
        <w:rPr>
          <w:rFonts w:ascii="Calibri" w:eastAsia="Calibri" w:hAnsi="Calibri" w:cs="Calibri"/>
          <w:sz w:val="24"/>
          <w:szCs w:val="24"/>
        </w:rPr>
        <w:t xml:space="preserve">bjep.12087  </w:t>
      </w:r>
    </w:p>
    <w:p w14:paraId="000000AE" w14:textId="77777777" w:rsidR="009D116B" w:rsidRDefault="009D116B">
      <w:pPr>
        <w:rPr>
          <w:rFonts w:ascii="Calibri" w:eastAsia="Calibri" w:hAnsi="Calibri" w:cs="Calibri"/>
          <w:sz w:val="24"/>
          <w:szCs w:val="24"/>
        </w:rPr>
      </w:pPr>
    </w:p>
    <w:p w14:paraId="000000AF"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Timmermans, A.C., de Boer, H. &amp; van der Werf, M.P. C. (2016) ‘An investigation of the relationship between teachers’ expectations and teachers’ perceptions of student attributes’,  Social Psychology of Education, 19, pp. 217–240. DOI: </w:t>
      </w:r>
      <w:hyperlink r:id="rId24">
        <w:r>
          <w:rPr>
            <w:rFonts w:ascii="Calibri" w:eastAsia="Calibri" w:hAnsi="Calibri" w:cs="Calibri"/>
            <w:color w:val="1155CC"/>
            <w:sz w:val="24"/>
            <w:szCs w:val="24"/>
            <w:u w:val="single"/>
          </w:rPr>
          <w:t>https://doi.org/10.1007/s11218-015-9326-6</w:t>
        </w:r>
      </w:hyperlink>
    </w:p>
    <w:p w14:paraId="000000B0" w14:textId="77777777" w:rsidR="009D116B" w:rsidRDefault="00F43361">
      <w:pPr>
        <w:spacing w:before="240" w:after="240"/>
        <w:rPr>
          <w:rFonts w:ascii="Calibri" w:eastAsia="Calibri" w:hAnsi="Calibri" w:cs="Calibri"/>
          <w:sz w:val="24"/>
          <w:szCs w:val="24"/>
        </w:rPr>
      </w:pPr>
      <w:r>
        <w:rPr>
          <w:rFonts w:ascii="Calibri" w:eastAsia="Calibri" w:hAnsi="Calibri" w:cs="Calibri"/>
          <w:sz w:val="24"/>
          <w:szCs w:val="24"/>
        </w:rPr>
        <w:t xml:space="preserve">TIMPERLEY, H. and ROBINSON V.M.J (2001) Achieving School Improvement through challenging and changing teachers’ schema. Journal of Educational Change </w:t>
      </w:r>
      <w:r>
        <w:rPr>
          <w:rFonts w:ascii="Calibri" w:eastAsia="Calibri" w:hAnsi="Calibri" w:cs="Calibri"/>
          <w:b/>
          <w:sz w:val="24"/>
          <w:szCs w:val="24"/>
        </w:rPr>
        <w:t xml:space="preserve">2: </w:t>
      </w:r>
      <w:r>
        <w:rPr>
          <w:rFonts w:ascii="Calibri" w:eastAsia="Calibri" w:hAnsi="Calibri" w:cs="Calibri"/>
          <w:sz w:val="24"/>
          <w:szCs w:val="24"/>
        </w:rPr>
        <w:t>281–300</w:t>
      </w:r>
      <w:r>
        <w:rPr>
          <w:rFonts w:ascii="Calibri" w:eastAsia="Calibri" w:hAnsi="Calibri" w:cs="Calibri"/>
          <w:sz w:val="24"/>
          <w:szCs w:val="24"/>
        </w:rPr>
        <w:t xml:space="preserve">. Kluwer Academic Publishers. </w:t>
      </w:r>
    </w:p>
    <w:p w14:paraId="000000B1" w14:textId="77777777" w:rsidR="009D116B" w:rsidRDefault="00F43361">
      <w:pPr>
        <w:spacing w:before="240" w:after="240"/>
        <w:rPr>
          <w:rFonts w:ascii="Calibri" w:eastAsia="Calibri" w:hAnsi="Calibri" w:cs="Calibri"/>
          <w:sz w:val="24"/>
          <w:szCs w:val="24"/>
        </w:rPr>
      </w:pPr>
      <w:r>
        <w:rPr>
          <w:rFonts w:ascii="Calibri" w:eastAsia="Calibri" w:hAnsi="Calibri" w:cs="Calibri"/>
          <w:sz w:val="24"/>
          <w:szCs w:val="24"/>
        </w:rPr>
        <w:t>Tomlinson, C., &amp; Javius, E.L. (2012) Teach up for Excellence. Educational Leadership, 69, 28-33.</w:t>
      </w:r>
    </w:p>
    <w:p w14:paraId="000000B2" w14:textId="77777777" w:rsidR="009D116B" w:rsidRDefault="00F43361">
      <w:pPr>
        <w:rPr>
          <w:rFonts w:ascii="Calibri" w:eastAsia="Calibri" w:hAnsi="Calibri" w:cs="Calibri"/>
          <w:sz w:val="24"/>
          <w:szCs w:val="24"/>
        </w:rPr>
      </w:pPr>
      <w:r>
        <w:rPr>
          <w:rFonts w:ascii="Calibri" w:eastAsia="Calibri" w:hAnsi="Calibri" w:cs="Calibri"/>
          <w:sz w:val="24"/>
          <w:szCs w:val="24"/>
        </w:rPr>
        <w:t>Tumin, M., Barton, P., &amp; Burrus, B. (1958) Education, Prejudice and Discrimination: A Study in Readiness for Desegregation. Amer</w:t>
      </w:r>
      <w:r>
        <w:rPr>
          <w:rFonts w:ascii="Calibri" w:eastAsia="Calibri" w:hAnsi="Calibri" w:cs="Calibri"/>
          <w:sz w:val="24"/>
          <w:szCs w:val="24"/>
        </w:rPr>
        <w:t>ican Sociological Review, 23(1), 41-49. doi:10.2307/2088622</w:t>
      </w:r>
    </w:p>
    <w:p w14:paraId="000000B3" w14:textId="77777777" w:rsidR="009D116B" w:rsidRDefault="00F43361">
      <w:pPr>
        <w:rPr>
          <w:rFonts w:ascii="Calibri" w:eastAsia="Calibri" w:hAnsi="Calibri" w:cs="Calibri"/>
          <w:sz w:val="24"/>
          <w:szCs w:val="24"/>
        </w:rPr>
      </w:pPr>
      <w:r>
        <w:rPr>
          <w:rFonts w:ascii="Calibri" w:eastAsia="Calibri" w:hAnsi="Calibri" w:cs="Calibri"/>
          <w:sz w:val="24"/>
          <w:szCs w:val="24"/>
        </w:rPr>
        <w:t>Welsh Government (2019 January 28) Our National Mission: A transformational curriculum.</w:t>
      </w:r>
    </w:p>
    <w:p w14:paraId="000000B4" w14:textId="77777777" w:rsidR="009D116B" w:rsidRDefault="00F43361">
      <w:pPr>
        <w:rPr>
          <w:rFonts w:ascii="Calibri" w:eastAsia="Calibri" w:hAnsi="Calibri" w:cs="Calibri"/>
          <w:sz w:val="24"/>
          <w:szCs w:val="24"/>
        </w:rPr>
      </w:pPr>
      <w:r>
        <w:rPr>
          <w:rFonts w:ascii="Calibri" w:eastAsia="Calibri" w:hAnsi="Calibri" w:cs="Calibri"/>
          <w:sz w:val="24"/>
          <w:szCs w:val="24"/>
        </w:rPr>
        <w:lastRenderedPageBreak/>
        <w:t>Consultation Document, WG 36143 (Cardiff: Welsh Government).</w:t>
      </w:r>
    </w:p>
    <w:p w14:paraId="000000B5" w14:textId="77777777" w:rsidR="009D116B" w:rsidRDefault="009D116B">
      <w:pPr>
        <w:rPr>
          <w:rFonts w:ascii="Calibri" w:eastAsia="Calibri" w:hAnsi="Calibri" w:cs="Calibri"/>
          <w:sz w:val="24"/>
          <w:szCs w:val="24"/>
        </w:rPr>
      </w:pPr>
    </w:p>
    <w:p w14:paraId="000000B6" w14:textId="77777777" w:rsidR="009D116B" w:rsidRDefault="00F43361">
      <w:pPr>
        <w:rPr>
          <w:rFonts w:ascii="Calibri" w:eastAsia="Calibri" w:hAnsi="Calibri" w:cs="Calibri"/>
          <w:sz w:val="24"/>
          <w:szCs w:val="24"/>
        </w:rPr>
      </w:pPr>
      <w:r>
        <w:rPr>
          <w:rFonts w:ascii="Calibri" w:eastAsia="Calibri" w:hAnsi="Calibri" w:cs="Calibri"/>
          <w:sz w:val="24"/>
          <w:szCs w:val="24"/>
        </w:rPr>
        <w:t>Welsh Government (2020) School Workforce Census results: as at November 2019 (Revised). Gov.Wales. [accessed 11 June 2021]</w:t>
      </w:r>
    </w:p>
    <w:p w14:paraId="000000B7" w14:textId="77777777" w:rsidR="009D116B" w:rsidRDefault="009D116B">
      <w:pPr>
        <w:rPr>
          <w:rFonts w:ascii="Calibri" w:eastAsia="Calibri" w:hAnsi="Calibri" w:cs="Calibri"/>
          <w:sz w:val="24"/>
          <w:szCs w:val="24"/>
        </w:rPr>
      </w:pPr>
    </w:p>
    <w:p w14:paraId="000000B8" w14:textId="77777777" w:rsidR="009D116B" w:rsidRDefault="00F43361">
      <w:pPr>
        <w:rPr>
          <w:rFonts w:ascii="Calibri" w:eastAsia="Calibri" w:hAnsi="Calibri" w:cs="Calibri"/>
          <w:sz w:val="24"/>
          <w:szCs w:val="24"/>
        </w:rPr>
      </w:pPr>
      <w:r>
        <w:rPr>
          <w:rFonts w:ascii="Calibri" w:eastAsia="Calibri" w:hAnsi="Calibri" w:cs="Calibri"/>
          <w:sz w:val="24"/>
          <w:szCs w:val="24"/>
        </w:rPr>
        <w:t xml:space="preserve">Welsh Government (2020) </w:t>
      </w:r>
      <w:r>
        <w:rPr>
          <w:rFonts w:ascii="Calibri" w:eastAsia="Calibri" w:hAnsi="Calibri" w:cs="Calibri"/>
          <w:color w:val="1F1F1F"/>
          <w:sz w:val="24"/>
          <w:szCs w:val="24"/>
        </w:rPr>
        <w:t>Schools' census results: as at January 2020</w:t>
      </w:r>
      <w:r>
        <w:rPr>
          <w:rFonts w:ascii="Calibri" w:eastAsia="Calibri" w:hAnsi="Calibri" w:cs="Calibri"/>
          <w:sz w:val="24"/>
          <w:szCs w:val="24"/>
        </w:rPr>
        <w:t>. G</w:t>
      </w:r>
      <w:r>
        <w:rPr>
          <w:rFonts w:ascii="Calibri" w:eastAsia="Calibri" w:hAnsi="Calibri" w:cs="Calibri"/>
          <w:sz w:val="24"/>
          <w:szCs w:val="24"/>
        </w:rPr>
        <w:t>ov.Wales. [accessed 11 June 2021]</w:t>
      </w:r>
    </w:p>
    <w:p w14:paraId="000000B9" w14:textId="77777777" w:rsidR="009D116B" w:rsidRDefault="009D116B">
      <w:pPr>
        <w:rPr>
          <w:rFonts w:ascii="Calibri" w:eastAsia="Calibri" w:hAnsi="Calibri" w:cs="Calibri"/>
          <w:sz w:val="24"/>
          <w:szCs w:val="24"/>
        </w:rPr>
      </w:pPr>
    </w:p>
    <w:p w14:paraId="000000BA" w14:textId="77777777" w:rsidR="009D116B" w:rsidRDefault="00F43361">
      <w:pPr>
        <w:rPr>
          <w:rFonts w:ascii="Calibri" w:eastAsia="Calibri" w:hAnsi="Calibri" w:cs="Calibri"/>
          <w:sz w:val="24"/>
          <w:szCs w:val="24"/>
        </w:rPr>
      </w:pPr>
      <w:r>
        <w:rPr>
          <w:rFonts w:ascii="Calibri" w:eastAsia="Calibri" w:hAnsi="Calibri" w:cs="Calibri"/>
          <w:sz w:val="24"/>
          <w:szCs w:val="24"/>
        </w:rPr>
        <w:t>Willingham, D.T. (2009) Why Don't Students Like School?: A Cognitive Scientist Answers Questions About How the Mind Works and What It Means for Your Classroom. San Francisco, Calif.: Jossey-Bass, 2009</w:t>
      </w:r>
    </w:p>
    <w:p w14:paraId="000000BB" w14:textId="77777777" w:rsidR="009D116B" w:rsidRDefault="009D116B">
      <w:pPr>
        <w:rPr>
          <w:rFonts w:ascii="Calibri" w:eastAsia="Calibri" w:hAnsi="Calibri" w:cs="Calibri"/>
          <w:sz w:val="24"/>
          <w:szCs w:val="24"/>
          <w:highlight w:val="white"/>
        </w:rPr>
      </w:pPr>
    </w:p>
    <w:p w14:paraId="000000BC" w14:textId="77777777" w:rsidR="009D116B" w:rsidRDefault="009D116B">
      <w:pPr>
        <w:rPr>
          <w:rFonts w:ascii="Calibri" w:eastAsia="Calibri" w:hAnsi="Calibri" w:cs="Calibri"/>
          <w:sz w:val="24"/>
          <w:szCs w:val="24"/>
          <w:highlight w:val="white"/>
        </w:rPr>
      </w:pPr>
    </w:p>
    <w:p w14:paraId="000000BD" w14:textId="77777777" w:rsidR="009D116B" w:rsidRDefault="009D116B">
      <w:pPr>
        <w:rPr>
          <w:rFonts w:ascii="Calibri" w:eastAsia="Calibri" w:hAnsi="Calibri" w:cs="Calibri"/>
          <w:sz w:val="24"/>
          <w:szCs w:val="24"/>
          <w:highlight w:val="white"/>
        </w:rPr>
      </w:pPr>
    </w:p>
    <w:p w14:paraId="000000BE" w14:textId="77777777" w:rsidR="009D116B" w:rsidRDefault="009D116B">
      <w:pPr>
        <w:rPr>
          <w:rFonts w:ascii="Calibri" w:eastAsia="Calibri" w:hAnsi="Calibri" w:cs="Calibri"/>
          <w:color w:val="231F20"/>
          <w:sz w:val="24"/>
          <w:szCs w:val="24"/>
        </w:rPr>
      </w:pPr>
    </w:p>
    <w:sectPr w:rsidR="009D116B">
      <w:headerReference w:type="defaul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A4395D" w14:textId="77777777" w:rsidR="00F43361" w:rsidRDefault="00F43361">
      <w:pPr>
        <w:spacing w:line="240" w:lineRule="auto"/>
      </w:pPr>
      <w:r>
        <w:separator/>
      </w:r>
    </w:p>
  </w:endnote>
  <w:endnote w:type="continuationSeparator" w:id="0">
    <w:p w14:paraId="2C35516D" w14:textId="77777777" w:rsidR="00F43361" w:rsidRDefault="00F433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EDB5B2" w14:textId="77777777" w:rsidR="00F43361" w:rsidRDefault="00F43361">
      <w:pPr>
        <w:spacing w:line="240" w:lineRule="auto"/>
      </w:pPr>
      <w:r>
        <w:separator/>
      </w:r>
    </w:p>
  </w:footnote>
  <w:footnote w:type="continuationSeparator" w:id="0">
    <w:p w14:paraId="496CFCF9" w14:textId="77777777" w:rsidR="00F43361" w:rsidRDefault="00F433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BF" w14:textId="77777777" w:rsidR="009D116B" w:rsidRDefault="00F43361">
    <w:pPr>
      <w:spacing w:after="160" w:line="240" w:lineRule="auto"/>
      <w:rPr>
        <w:rFonts w:ascii="Calibri" w:eastAsia="Calibri" w:hAnsi="Calibri" w:cs="Calibri"/>
        <w:color w:val="B7B7B7"/>
        <w:sz w:val="24"/>
        <w:szCs w:val="24"/>
      </w:rPr>
    </w:pPr>
    <w:r>
      <w:rPr>
        <w:rFonts w:ascii="Calibri" w:eastAsia="Calibri" w:hAnsi="Calibri" w:cs="Calibri"/>
        <w:b/>
        <w:color w:val="B7B7B7"/>
        <w:sz w:val="24"/>
        <w:szCs w:val="24"/>
      </w:rPr>
      <w:t>Component 1</w:t>
    </w:r>
    <w:r>
      <w:rPr>
        <w:rFonts w:ascii="Calibri" w:eastAsia="Calibri" w:hAnsi="Calibri" w:cs="Calibri"/>
        <w:b/>
        <w:color w:val="B7B7B7"/>
        <w:sz w:val="24"/>
        <w:szCs w:val="24"/>
      </w:rPr>
      <w:tab/>
    </w:r>
    <w:r>
      <w:rPr>
        <w:rFonts w:ascii="Calibri" w:eastAsia="Calibri" w:hAnsi="Calibri" w:cs="Calibri"/>
        <w:b/>
        <w:color w:val="B7B7B7"/>
        <w:sz w:val="24"/>
        <w:szCs w:val="24"/>
      </w:rPr>
      <w:tab/>
    </w:r>
    <w:r>
      <w:rPr>
        <w:rFonts w:ascii="Calibri" w:eastAsia="Calibri" w:hAnsi="Calibri" w:cs="Calibri"/>
        <w:b/>
        <w:color w:val="B7B7B7"/>
        <w:sz w:val="24"/>
        <w:szCs w:val="24"/>
      </w:rPr>
      <w:tab/>
    </w:r>
    <w:r>
      <w:rPr>
        <w:rFonts w:ascii="Calibri" w:eastAsia="Calibri" w:hAnsi="Calibri" w:cs="Calibri"/>
        <w:b/>
        <w:color w:val="B7B7B7"/>
        <w:sz w:val="24"/>
        <w:szCs w:val="24"/>
      </w:rPr>
      <w:tab/>
    </w:r>
    <w:r>
      <w:rPr>
        <w:rFonts w:ascii="Calibri" w:eastAsia="Calibri" w:hAnsi="Calibri" w:cs="Calibri"/>
        <w:b/>
        <w:color w:val="B7B7B7"/>
        <w:sz w:val="24"/>
        <w:szCs w:val="24"/>
      </w:rPr>
      <w:tab/>
    </w:r>
    <w:r>
      <w:rPr>
        <w:rFonts w:ascii="Calibri" w:eastAsia="Calibri" w:hAnsi="Calibri" w:cs="Calibri"/>
        <w:b/>
        <w:color w:val="B7B7B7"/>
        <w:sz w:val="24"/>
        <w:szCs w:val="24"/>
      </w:rPr>
      <w:tab/>
    </w:r>
    <w:r>
      <w:rPr>
        <w:rFonts w:ascii="Calibri" w:eastAsia="Calibri" w:hAnsi="Calibri" w:cs="Calibri"/>
        <w:color w:val="B7B7B7"/>
        <w:sz w:val="24"/>
        <w:szCs w:val="24"/>
      </w:rPr>
      <w:tab/>
    </w:r>
    <w:r>
      <w:rPr>
        <w:rFonts w:ascii="Calibri" w:eastAsia="Calibri" w:hAnsi="Calibri" w:cs="Calibri"/>
        <w:color w:val="B7B7B7"/>
        <w:sz w:val="24"/>
        <w:szCs w:val="24"/>
      </w:rPr>
      <w:tab/>
    </w:r>
    <w:r>
      <w:rPr>
        <w:rFonts w:ascii="Calibri" w:eastAsia="Calibri" w:hAnsi="Calibri" w:cs="Calibri"/>
        <w:i/>
        <w:color w:val="B7B7B7"/>
        <w:sz w:val="24"/>
        <w:szCs w:val="24"/>
      </w:rPr>
      <w:t>0550909 Ty Golding</w:t>
    </w:r>
  </w:p>
  <w:p w14:paraId="000000C0" w14:textId="77777777" w:rsidR="009D116B" w:rsidRDefault="009D116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116B"/>
    <w:rsid w:val="00897DAC"/>
    <w:rsid w:val="009D116B"/>
    <w:rsid w:val="00F433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40CD0E2B-7525-AB4B-B23C-1C6EEC290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affect" TargetMode="External"/><Relationship Id="rId13" Type="http://schemas.openxmlformats.org/officeDocument/2006/relationships/hyperlink" Target="https://hwb.gov.wales/professional-development/national-approach-to-professional-learning/" TargetMode="External"/><Relationship Id="rId18" Type="http://schemas.openxmlformats.org/officeDocument/2006/relationships/hyperlink" Target="https://psycnet.apa.org/doi/10.1016/S0065-2601(08)60240-3"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1016/j.learninstruc.2016.01.010" TargetMode="External"/><Relationship Id="rId7" Type="http://schemas.openxmlformats.org/officeDocument/2006/relationships/hyperlink" Target="https://www.collinsdictionary.com/dictionary/english/issue" TargetMode="External"/><Relationship Id="rId12" Type="http://schemas.openxmlformats.org/officeDocument/2006/relationships/hyperlink" Target="https://psycnet.apa.org/doi/10.1086/461287" TargetMode="External"/><Relationship Id="rId17" Type="http://schemas.openxmlformats.org/officeDocument/2006/relationships/hyperlink" Target="https://www.jrf.org.uk/report/monitoring-poverty-and-social-exclusion-wales-2015"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jrf.org.uk/report/monitoring-poverty-and-social-exclusion-wales-2013" TargetMode="External"/><Relationship Id="rId20" Type="http://schemas.openxmlformats.org/officeDocument/2006/relationships/hyperlink" Target="https://doi.org/10.1002/curj.37" TargetMode="External"/><Relationship Id="rId1" Type="http://schemas.openxmlformats.org/officeDocument/2006/relationships/styles" Target="styles.xml"/><Relationship Id="rId6" Type="http://schemas.openxmlformats.org/officeDocument/2006/relationships/hyperlink" Target="https://www.collinsdictionary.com/dictionary/english/allow" TargetMode="External"/><Relationship Id="rId11" Type="http://schemas.openxmlformats.org/officeDocument/2006/relationships/hyperlink" Target="https://psycnet.apa.org/doi/10.1037/h0029908" TargetMode="External"/><Relationship Id="rId24" Type="http://schemas.openxmlformats.org/officeDocument/2006/relationships/hyperlink" Target="https://doi.org/10.1007/s11218-015-9326-6" TargetMode="External"/><Relationship Id="rId5" Type="http://schemas.openxmlformats.org/officeDocument/2006/relationships/endnotes" Target="endnotes.xml"/><Relationship Id="rId15" Type="http://schemas.openxmlformats.org/officeDocument/2006/relationships/hyperlink" Target="https://doi.org/10.1177/0004944118824420" TargetMode="External"/><Relationship Id="rId23" Type="http://schemas.openxmlformats.org/officeDocument/2006/relationships/hyperlink" Target="https://www.bera.ac.uk/blog/curriculum-reform-and-inequality-the-challenges-facing-wales" TargetMode="External"/><Relationship Id="rId10" Type="http://schemas.openxmlformats.org/officeDocument/2006/relationships/hyperlink" Target="http://dera.ioe.ac.uk/id/eprint/28399" TargetMode="External"/><Relationship Id="rId19" Type="http://schemas.openxmlformats.org/officeDocument/2006/relationships/hyperlink" Target="https://www.doi.org/10.4135/9781452277974" TargetMode="External"/><Relationship Id="rId4" Type="http://schemas.openxmlformats.org/officeDocument/2006/relationships/footnotes" Target="footnotes.xml"/><Relationship Id="rId9" Type="http://schemas.openxmlformats.org/officeDocument/2006/relationships/hyperlink" Target="https://doi-org.ezproxy.uwtsd.ac.uk/10.1037/0022-3514.68.2.181" TargetMode="External"/><Relationship Id="rId14" Type="http://schemas.openxmlformats.org/officeDocument/2006/relationships/hyperlink" Target="https://www.bevanfoundation.org/views/closing-the-attainment-gap/" TargetMode="External"/><Relationship Id="rId22" Type="http://schemas.openxmlformats.org/officeDocument/2006/relationships/hyperlink" Target="https://doi.org/10.1002/curj.3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5915</Words>
  <Characters>33722</Characters>
  <Application>Microsoft Office Word</Application>
  <DocSecurity>0</DocSecurity>
  <Lines>281</Lines>
  <Paragraphs>79</Paragraphs>
  <ScaleCrop>false</ScaleCrop>
  <Company/>
  <LinksUpToDate>false</LinksUpToDate>
  <CharactersWithSpaces>39558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 Golding (Ysgol y Ddraig)</cp:lastModifiedBy>
  <cp:revision>2</cp:revision>
  <dcterms:created xsi:type="dcterms:W3CDTF">2021-07-04T10:45:00Z</dcterms:created>
  <dcterms:modified xsi:type="dcterms:W3CDTF">2021-07-04T10:45:00Z</dcterms:modified>
</cp:coreProperties>
</file>