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95632" w14:textId="77777777" w:rsidR="00616435" w:rsidRDefault="00616435" w:rsidP="00616435">
      <w:pPr>
        <w:jc w:val="center"/>
        <w:rPr>
          <w:b/>
          <w:bCs/>
          <w:sz w:val="48"/>
          <w:szCs w:val="48"/>
        </w:rPr>
      </w:pPr>
      <w:r>
        <w:rPr>
          <w:b/>
          <w:bCs/>
          <w:sz w:val="48"/>
          <w:szCs w:val="48"/>
        </w:rPr>
        <w:t xml:space="preserve">University of Wales Trinity Saint David </w:t>
      </w:r>
    </w:p>
    <w:p w14:paraId="2E9CA5E4" w14:textId="77777777" w:rsidR="00616435" w:rsidRDefault="00616435" w:rsidP="00616435">
      <w:pPr>
        <w:jc w:val="center"/>
        <w:rPr>
          <w:b/>
          <w:bCs/>
          <w:sz w:val="44"/>
          <w:szCs w:val="44"/>
        </w:rPr>
      </w:pPr>
    </w:p>
    <w:p w14:paraId="4A94DA9E" w14:textId="6AFF97D1" w:rsidR="00616435" w:rsidRDefault="00616435" w:rsidP="00616435">
      <w:pPr>
        <w:jc w:val="center"/>
        <w:rPr>
          <w:b/>
          <w:bCs/>
          <w:sz w:val="44"/>
          <w:szCs w:val="44"/>
        </w:rPr>
      </w:pPr>
      <w:r>
        <w:rPr>
          <w:b/>
          <w:bCs/>
          <w:sz w:val="44"/>
          <w:szCs w:val="44"/>
        </w:rPr>
        <w:t>Managing People</w:t>
      </w:r>
    </w:p>
    <w:p w14:paraId="4B93C17B" w14:textId="27CF96BB" w:rsidR="00616435" w:rsidRDefault="00616435" w:rsidP="00616435">
      <w:pPr>
        <w:jc w:val="center"/>
        <w:rPr>
          <w:b/>
          <w:bCs/>
          <w:sz w:val="44"/>
          <w:szCs w:val="44"/>
        </w:rPr>
      </w:pPr>
      <w:r>
        <w:rPr>
          <w:b/>
          <w:bCs/>
          <w:sz w:val="44"/>
          <w:szCs w:val="44"/>
        </w:rPr>
        <w:t>(LCBB500</w:t>
      </w:r>
      <w:r>
        <w:rPr>
          <w:b/>
          <w:bCs/>
          <w:sz w:val="44"/>
          <w:szCs w:val="44"/>
        </w:rPr>
        <w:t>4)</w:t>
      </w:r>
    </w:p>
    <w:p w14:paraId="7E725C9A" w14:textId="77777777" w:rsidR="00616435" w:rsidRDefault="00616435" w:rsidP="00616435">
      <w:pPr>
        <w:jc w:val="center"/>
        <w:rPr>
          <w:b/>
          <w:bCs/>
          <w:sz w:val="44"/>
          <w:szCs w:val="44"/>
        </w:rPr>
      </w:pPr>
    </w:p>
    <w:p w14:paraId="045786BF" w14:textId="0087BA10" w:rsidR="00616435" w:rsidRDefault="00616435" w:rsidP="00616435">
      <w:pPr>
        <w:jc w:val="center"/>
        <w:rPr>
          <w:b/>
          <w:bCs/>
          <w:sz w:val="44"/>
          <w:szCs w:val="44"/>
        </w:rPr>
      </w:pPr>
      <w:r>
        <w:rPr>
          <w:b/>
          <w:bCs/>
          <w:sz w:val="44"/>
          <w:szCs w:val="44"/>
        </w:rPr>
        <w:t xml:space="preserve">Assessment </w:t>
      </w:r>
      <w:r>
        <w:rPr>
          <w:b/>
          <w:bCs/>
          <w:sz w:val="44"/>
          <w:szCs w:val="44"/>
        </w:rPr>
        <w:t>1</w:t>
      </w:r>
      <w:r>
        <w:rPr>
          <w:b/>
          <w:bCs/>
          <w:sz w:val="44"/>
          <w:szCs w:val="44"/>
        </w:rPr>
        <w:t xml:space="preserve"> - </w:t>
      </w:r>
      <w:r>
        <w:rPr>
          <w:b/>
          <w:bCs/>
          <w:sz w:val="44"/>
          <w:szCs w:val="44"/>
        </w:rPr>
        <w:t>FEB</w:t>
      </w:r>
      <w:r>
        <w:rPr>
          <w:b/>
          <w:bCs/>
          <w:sz w:val="44"/>
          <w:szCs w:val="44"/>
        </w:rPr>
        <w:t xml:space="preserve"> 202</w:t>
      </w:r>
      <w:r>
        <w:rPr>
          <w:b/>
          <w:bCs/>
          <w:sz w:val="44"/>
          <w:szCs w:val="44"/>
        </w:rPr>
        <w:t>2</w:t>
      </w:r>
    </w:p>
    <w:p w14:paraId="2CD8F82C" w14:textId="23D27FB3" w:rsidR="00616435" w:rsidRPr="00616435" w:rsidRDefault="00616435" w:rsidP="00616435">
      <w:pPr>
        <w:jc w:val="center"/>
        <w:rPr>
          <w:b/>
          <w:bCs/>
          <w:color w:val="FF0000"/>
          <w:sz w:val="48"/>
          <w:szCs w:val="48"/>
          <w14:textOutline w14:w="11112" w14:cap="flat" w14:cmpd="sng" w14:algn="ctr">
            <w14:solidFill>
              <w14:schemeClr w14:val="accent2"/>
            </w14:solidFill>
            <w14:prstDash w14:val="solid"/>
            <w14:round/>
          </w14:textOutline>
        </w:rPr>
      </w:pPr>
    </w:p>
    <w:p w14:paraId="1AB57EF6" w14:textId="49EEE240" w:rsidR="00616435" w:rsidRPr="00616435" w:rsidRDefault="00616435" w:rsidP="00616435">
      <w:pPr>
        <w:jc w:val="center"/>
        <w:rPr>
          <w:b/>
          <w:bCs/>
          <w:color w:val="FF0000"/>
          <w:sz w:val="48"/>
          <w:szCs w:val="48"/>
        </w:rPr>
      </w:pPr>
      <w:r w:rsidRPr="00616435">
        <w:rPr>
          <w:b/>
          <w:bCs/>
          <w:color w:val="FF0000"/>
          <w:sz w:val="48"/>
          <w:szCs w:val="48"/>
        </w:rPr>
        <w:t>‘’</w:t>
      </w:r>
      <w:r w:rsidRPr="00616435">
        <w:rPr>
          <w:b/>
          <w:bCs/>
          <w:color w:val="FF0000"/>
          <w:sz w:val="48"/>
          <w:szCs w:val="48"/>
        </w:rPr>
        <w:t>Sainsbury’s</w:t>
      </w:r>
      <w:r w:rsidRPr="00616435">
        <w:rPr>
          <w:b/>
          <w:bCs/>
          <w:color w:val="FF0000"/>
          <w:sz w:val="48"/>
          <w:szCs w:val="48"/>
        </w:rPr>
        <w:t xml:space="preserve"> Company ‘’</w:t>
      </w:r>
    </w:p>
    <w:p w14:paraId="3FD46814" w14:textId="77777777" w:rsidR="00616435" w:rsidRDefault="00616435" w:rsidP="00616435">
      <w:pPr>
        <w:jc w:val="center"/>
        <w:rPr>
          <w:b/>
          <w:bCs/>
          <w:sz w:val="44"/>
          <w:szCs w:val="44"/>
        </w:rPr>
      </w:pPr>
    </w:p>
    <w:p w14:paraId="52A99065" w14:textId="77777777" w:rsidR="00616435" w:rsidRDefault="00616435" w:rsidP="00616435">
      <w:pPr>
        <w:jc w:val="center"/>
        <w:rPr>
          <w:b/>
          <w:bCs/>
          <w:sz w:val="44"/>
          <w:szCs w:val="44"/>
        </w:rPr>
      </w:pPr>
      <w:r>
        <w:rPr>
          <w:b/>
          <w:bCs/>
          <w:sz w:val="44"/>
          <w:szCs w:val="44"/>
        </w:rPr>
        <w:t>Student’s Name: Miss Svetlomira Nedyalkova</w:t>
      </w:r>
    </w:p>
    <w:p w14:paraId="4E155752" w14:textId="77777777" w:rsidR="00616435" w:rsidRDefault="00616435" w:rsidP="00616435">
      <w:pPr>
        <w:jc w:val="center"/>
        <w:rPr>
          <w:b/>
          <w:bCs/>
          <w:sz w:val="44"/>
          <w:szCs w:val="44"/>
        </w:rPr>
      </w:pPr>
      <w:r>
        <w:rPr>
          <w:b/>
          <w:bCs/>
          <w:sz w:val="44"/>
          <w:szCs w:val="44"/>
        </w:rPr>
        <w:t>Student Number: 2010796</w:t>
      </w:r>
    </w:p>
    <w:p w14:paraId="23C3BC75" w14:textId="77777777" w:rsidR="00616435" w:rsidRDefault="00616435" w:rsidP="00616435">
      <w:pPr>
        <w:jc w:val="center"/>
        <w:rPr>
          <w:b/>
          <w:bCs/>
          <w:sz w:val="44"/>
          <w:szCs w:val="44"/>
        </w:rPr>
      </w:pPr>
    </w:p>
    <w:p w14:paraId="27219BEA" w14:textId="0158715D" w:rsidR="00616435" w:rsidRDefault="00616435" w:rsidP="00616435">
      <w:pPr>
        <w:jc w:val="center"/>
        <w:rPr>
          <w:b/>
          <w:bCs/>
          <w:sz w:val="44"/>
          <w:szCs w:val="44"/>
        </w:rPr>
      </w:pPr>
      <w:r>
        <w:rPr>
          <w:b/>
          <w:bCs/>
          <w:sz w:val="44"/>
          <w:szCs w:val="44"/>
        </w:rPr>
        <w:t xml:space="preserve">Professor’s Name: </w:t>
      </w:r>
      <w:r w:rsidR="00F430AD" w:rsidRPr="00F430AD">
        <w:rPr>
          <w:rFonts w:cs="Times New Roman"/>
          <w:b/>
          <w:bCs/>
          <w:color w:val="373A3C"/>
          <w:sz w:val="44"/>
          <w:szCs w:val="44"/>
          <w:shd w:val="clear" w:color="auto" w:fill="F9F9F9"/>
        </w:rPr>
        <w:t>Charles Oham</w:t>
      </w:r>
    </w:p>
    <w:p w14:paraId="0BDB80D5" w14:textId="4F671774" w:rsidR="00CC2112" w:rsidRPr="00865990" w:rsidRDefault="00CC2112">
      <w:pPr>
        <w:spacing w:line="259" w:lineRule="auto"/>
        <w:jc w:val="left"/>
        <w:rPr>
          <w:rFonts w:eastAsiaTheme="majorEastAsia" w:cstheme="majorBidi"/>
          <w:b/>
          <w:spacing w:val="-10"/>
          <w:kern w:val="28"/>
          <w:sz w:val="36"/>
          <w:szCs w:val="50"/>
        </w:rPr>
      </w:pPr>
    </w:p>
    <w:p w14:paraId="20B31CAA" w14:textId="77777777" w:rsidR="00616435" w:rsidRDefault="00616435" w:rsidP="00CC2112">
      <w:pPr>
        <w:jc w:val="center"/>
        <w:rPr>
          <w:b/>
          <w:bCs/>
        </w:rPr>
      </w:pPr>
    </w:p>
    <w:p w14:paraId="72955A6F" w14:textId="77777777" w:rsidR="00616435" w:rsidRDefault="00616435" w:rsidP="00CC2112">
      <w:pPr>
        <w:jc w:val="center"/>
        <w:rPr>
          <w:b/>
          <w:bCs/>
        </w:rPr>
      </w:pPr>
    </w:p>
    <w:p w14:paraId="01BDFD7E" w14:textId="125F7197" w:rsidR="004E32FF" w:rsidRPr="00865990" w:rsidRDefault="00CC2112" w:rsidP="00CC2112">
      <w:pPr>
        <w:jc w:val="center"/>
        <w:rPr>
          <w:b/>
          <w:bCs/>
        </w:rPr>
      </w:pPr>
      <w:r w:rsidRPr="00865990">
        <w:rPr>
          <w:b/>
          <w:bCs/>
        </w:rPr>
        <w:lastRenderedPageBreak/>
        <w:t>Executive Summary</w:t>
      </w:r>
    </w:p>
    <w:p w14:paraId="05BD54DA" w14:textId="29C2D28F" w:rsidR="00CC2112" w:rsidRPr="00865990" w:rsidRDefault="00A81922" w:rsidP="00A81922">
      <w:r>
        <w:t>The overall summary of the report has provided an idea about managing people in the business and its importance for gaining success and enhancing the reputation that can lead the company to grow.</w:t>
      </w:r>
      <w:r w:rsidR="004B4E08">
        <w:t xml:space="preserve"> Whereas, the benefits of flexible working have been discussed in the report that can help in enhancing diversity and inclusion. Moreover, an analysis of the role has been undertaken in the report to provide the idea about promoting diversity and inclusion in Sainsbury’s. Challenges faced by the organisation due to flexible working in relation to the inequality has been discussed and Human Resources role were provided in the report to address the concerns about inequality.</w:t>
      </w:r>
      <w:r w:rsidR="00CC2112" w:rsidRPr="00865990">
        <w:br w:type="page"/>
      </w:r>
    </w:p>
    <w:sdt>
      <w:sdtPr>
        <w:rPr>
          <w:rFonts w:ascii="Times New Roman" w:eastAsiaTheme="minorHAnsi" w:hAnsi="Times New Roman" w:cs="Times New Roman"/>
          <w:b/>
          <w:bCs/>
          <w:noProof/>
          <w:color w:val="000000" w:themeColor="text1"/>
          <w:sz w:val="24"/>
          <w:szCs w:val="24"/>
          <w:lang w:val="en-GB" w:bidi="hi-IN"/>
        </w:rPr>
        <w:id w:val="1307200533"/>
        <w:docPartObj>
          <w:docPartGallery w:val="Table of Contents"/>
          <w:docPartUnique/>
        </w:docPartObj>
      </w:sdtPr>
      <w:sdtEndPr>
        <w:rPr>
          <w:rFonts w:cstheme="minorBidi"/>
          <w:szCs w:val="20"/>
        </w:rPr>
      </w:sdtEndPr>
      <w:sdtContent>
        <w:p w14:paraId="30415592" w14:textId="6089F126" w:rsidR="00E72DD8" w:rsidRPr="00E72DD8" w:rsidRDefault="00E72DD8" w:rsidP="00E72DD8">
          <w:pPr>
            <w:pStyle w:val="ab"/>
            <w:jc w:val="center"/>
            <w:rPr>
              <w:rFonts w:ascii="Times New Roman" w:hAnsi="Times New Roman" w:cs="Times New Roman"/>
              <w:b/>
              <w:bCs/>
              <w:color w:val="000000" w:themeColor="text1"/>
              <w:sz w:val="24"/>
              <w:szCs w:val="24"/>
            </w:rPr>
          </w:pPr>
          <w:r w:rsidRPr="00E72DD8">
            <w:rPr>
              <w:rFonts w:ascii="Times New Roman" w:hAnsi="Times New Roman" w:cs="Times New Roman"/>
              <w:b/>
              <w:bCs/>
              <w:color w:val="000000" w:themeColor="text1"/>
              <w:sz w:val="24"/>
              <w:szCs w:val="24"/>
            </w:rPr>
            <w:t>Table of Contents</w:t>
          </w:r>
        </w:p>
        <w:p w14:paraId="7C750420" w14:textId="6EC3A4D6" w:rsidR="00E72DD8" w:rsidRPr="00E72DD8" w:rsidRDefault="00E72DD8">
          <w:pPr>
            <w:pStyle w:val="11"/>
            <w:tabs>
              <w:tab w:val="right" w:leader="dot" w:pos="9016"/>
            </w:tabs>
            <w:rPr>
              <w:rFonts w:cs="Times New Roman"/>
              <w:szCs w:val="24"/>
            </w:rPr>
          </w:pPr>
          <w:r w:rsidRPr="00E72DD8">
            <w:rPr>
              <w:rFonts w:cs="Times New Roman"/>
              <w:szCs w:val="24"/>
            </w:rPr>
            <w:fldChar w:fldCharType="begin"/>
          </w:r>
          <w:r w:rsidRPr="00E72DD8">
            <w:rPr>
              <w:rFonts w:cs="Times New Roman"/>
              <w:szCs w:val="24"/>
            </w:rPr>
            <w:instrText xml:space="preserve"> TOC \o "1-3" \h \z \u </w:instrText>
          </w:r>
          <w:r w:rsidRPr="00E72DD8">
            <w:rPr>
              <w:rFonts w:cs="Times New Roman"/>
              <w:szCs w:val="24"/>
            </w:rPr>
            <w:fldChar w:fldCharType="separate"/>
          </w:r>
          <w:hyperlink w:anchor="_Toc101997758" w:history="1">
            <w:r w:rsidRPr="00E72DD8">
              <w:rPr>
                <w:rStyle w:val="a9"/>
                <w:rFonts w:cs="Times New Roman"/>
                <w:color w:val="000000" w:themeColor="text1"/>
                <w:szCs w:val="24"/>
              </w:rPr>
              <w:t>Introduction</w:t>
            </w:r>
            <w:r w:rsidRPr="00E72DD8">
              <w:rPr>
                <w:rFonts w:cs="Times New Roman"/>
                <w:webHidden/>
                <w:szCs w:val="24"/>
              </w:rPr>
              <w:tab/>
            </w:r>
            <w:r w:rsidRPr="00E72DD8">
              <w:rPr>
                <w:rFonts w:cs="Times New Roman"/>
                <w:webHidden/>
                <w:szCs w:val="24"/>
              </w:rPr>
              <w:fldChar w:fldCharType="begin"/>
            </w:r>
            <w:r w:rsidRPr="00E72DD8">
              <w:rPr>
                <w:rFonts w:cs="Times New Roman"/>
                <w:webHidden/>
                <w:szCs w:val="24"/>
              </w:rPr>
              <w:instrText xml:space="preserve"> PAGEREF _Toc101997758 \h </w:instrText>
            </w:r>
            <w:r w:rsidRPr="00E72DD8">
              <w:rPr>
                <w:rFonts w:cs="Times New Roman"/>
                <w:webHidden/>
                <w:szCs w:val="24"/>
              </w:rPr>
            </w:r>
            <w:r w:rsidRPr="00E72DD8">
              <w:rPr>
                <w:rFonts w:cs="Times New Roman"/>
                <w:webHidden/>
                <w:szCs w:val="24"/>
              </w:rPr>
              <w:fldChar w:fldCharType="separate"/>
            </w:r>
            <w:r w:rsidRPr="00E72DD8">
              <w:rPr>
                <w:rFonts w:cs="Times New Roman"/>
                <w:webHidden/>
                <w:szCs w:val="24"/>
              </w:rPr>
              <w:t>4</w:t>
            </w:r>
            <w:r w:rsidRPr="00E72DD8">
              <w:rPr>
                <w:rFonts w:cs="Times New Roman"/>
                <w:webHidden/>
                <w:szCs w:val="24"/>
              </w:rPr>
              <w:fldChar w:fldCharType="end"/>
            </w:r>
          </w:hyperlink>
        </w:p>
        <w:p w14:paraId="302C4C91" w14:textId="68D432F9" w:rsidR="00E72DD8" w:rsidRPr="00E72DD8" w:rsidRDefault="009E3F85">
          <w:pPr>
            <w:pStyle w:val="11"/>
            <w:tabs>
              <w:tab w:val="right" w:leader="dot" w:pos="9016"/>
            </w:tabs>
            <w:rPr>
              <w:rFonts w:cs="Times New Roman"/>
              <w:szCs w:val="24"/>
            </w:rPr>
          </w:pPr>
          <w:hyperlink w:anchor="_Toc101997759" w:history="1">
            <w:r w:rsidR="00E72DD8" w:rsidRPr="00E72DD8">
              <w:rPr>
                <w:rStyle w:val="a9"/>
                <w:rFonts w:cs="Times New Roman"/>
                <w:color w:val="000000" w:themeColor="text1"/>
                <w:szCs w:val="24"/>
              </w:rPr>
              <w:t>Importance of flexible working for developing diversity and inclusion within the workplace</w:t>
            </w:r>
            <w:r w:rsidR="00E72DD8" w:rsidRPr="00E72DD8">
              <w:rPr>
                <w:rFonts w:cs="Times New Roman"/>
                <w:webHidden/>
                <w:szCs w:val="24"/>
              </w:rPr>
              <w:tab/>
            </w:r>
            <w:r w:rsidR="00E72DD8" w:rsidRPr="00E72DD8">
              <w:rPr>
                <w:rFonts w:cs="Times New Roman"/>
                <w:webHidden/>
                <w:szCs w:val="24"/>
              </w:rPr>
              <w:fldChar w:fldCharType="begin"/>
            </w:r>
            <w:r w:rsidR="00E72DD8" w:rsidRPr="00E72DD8">
              <w:rPr>
                <w:rFonts w:cs="Times New Roman"/>
                <w:webHidden/>
                <w:szCs w:val="24"/>
              </w:rPr>
              <w:instrText xml:space="preserve"> PAGEREF _Toc101997759 \h </w:instrText>
            </w:r>
            <w:r w:rsidR="00E72DD8" w:rsidRPr="00E72DD8">
              <w:rPr>
                <w:rFonts w:cs="Times New Roman"/>
                <w:webHidden/>
                <w:szCs w:val="24"/>
              </w:rPr>
            </w:r>
            <w:r w:rsidR="00E72DD8" w:rsidRPr="00E72DD8">
              <w:rPr>
                <w:rFonts w:cs="Times New Roman"/>
                <w:webHidden/>
                <w:szCs w:val="24"/>
              </w:rPr>
              <w:fldChar w:fldCharType="separate"/>
            </w:r>
            <w:r w:rsidR="00E72DD8" w:rsidRPr="00E72DD8">
              <w:rPr>
                <w:rFonts w:cs="Times New Roman"/>
                <w:webHidden/>
                <w:szCs w:val="24"/>
              </w:rPr>
              <w:t>5</w:t>
            </w:r>
            <w:r w:rsidR="00E72DD8" w:rsidRPr="00E72DD8">
              <w:rPr>
                <w:rFonts w:cs="Times New Roman"/>
                <w:webHidden/>
                <w:szCs w:val="24"/>
              </w:rPr>
              <w:fldChar w:fldCharType="end"/>
            </w:r>
          </w:hyperlink>
        </w:p>
        <w:p w14:paraId="2E8223C7" w14:textId="3A574D07" w:rsidR="00E72DD8" w:rsidRPr="00E72DD8" w:rsidRDefault="009E3F85">
          <w:pPr>
            <w:pStyle w:val="11"/>
            <w:tabs>
              <w:tab w:val="right" w:leader="dot" w:pos="9016"/>
            </w:tabs>
            <w:rPr>
              <w:rFonts w:cs="Times New Roman"/>
              <w:szCs w:val="24"/>
            </w:rPr>
          </w:pPr>
          <w:hyperlink w:anchor="_Toc101997760" w:history="1">
            <w:r w:rsidR="00E72DD8" w:rsidRPr="00E72DD8">
              <w:rPr>
                <w:rStyle w:val="a9"/>
                <w:rFonts w:cs="Times New Roman"/>
                <w:color w:val="000000" w:themeColor="text1"/>
                <w:szCs w:val="24"/>
              </w:rPr>
              <w:t>Role of Human Resources for encouraging diversity and inclusion through flexible working</w:t>
            </w:r>
            <w:r w:rsidR="00E72DD8" w:rsidRPr="00E72DD8">
              <w:rPr>
                <w:rFonts w:cs="Times New Roman"/>
                <w:webHidden/>
                <w:szCs w:val="24"/>
              </w:rPr>
              <w:tab/>
            </w:r>
            <w:r w:rsidR="00E72DD8" w:rsidRPr="00E72DD8">
              <w:rPr>
                <w:rFonts w:cs="Times New Roman"/>
                <w:webHidden/>
                <w:szCs w:val="24"/>
              </w:rPr>
              <w:fldChar w:fldCharType="begin"/>
            </w:r>
            <w:r w:rsidR="00E72DD8" w:rsidRPr="00E72DD8">
              <w:rPr>
                <w:rFonts w:cs="Times New Roman"/>
                <w:webHidden/>
                <w:szCs w:val="24"/>
              </w:rPr>
              <w:instrText xml:space="preserve"> PAGEREF _Toc101997760 \h </w:instrText>
            </w:r>
            <w:r w:rsidR="00E72DD8" w:rsidRPr="00E72DD8">
              <w:rPr>
                <w:rFonts w:cs="Times New Roman"/>
                <w:webHidden/>
                <w:szCs w:val="24"/>
              </w:rPr>
            </w:r>
            <w:r w:rsidR="00E72DD8" w:rsidRPr="00E72DD8">
              <w:rPr>
                <w:rFonts w:cs="Times New Roman"/>
                <w:webHidden/>
                <w:szCs w:val="24"/>
              </w:rPr>
              <w:fldChar w:fldCharType="separate"/>
            </w:r>
            <w:r w:rsidR="00E72DD8" w:rsidRPr="00E72DD8">
              <w:rPr>
                <w:rFonts w:cs="Times New Roman"/>
                <w:webHidden/>
                <w:szCs w:val="24"/>
              </w:rPr>
              <w:t>7</w:t>
            </w:r>
            <w:r w:rsidR="00E72DD8" w:rsidRPr="00E72DD8">
              <w:rPr>
                <w:rFonts w:cs="Times New Roman"/>
                <w:webHidden/>
                <w:szCs w:val="24"/>
              </w:rPr>
              <w:fldChar w:fldCharType="end"/>
            </w:r>
          </w:hyperlink>
        </w:p>
        <w:p w14:paraId="51A35F9C" w14:textId="01A130A4" w:rsidR="00E72DD8" w:rsidRPr="00E72DD8" w:rsidRDefault="009E3F85">
          <w:pPr>
            <w:pStyle w:val="11"/>
            <w:tabs>
              <w:tab w:val="right" w:leader="dot" w:pos="9016"/>
            </w:tabs>
            <w:rPr>
              <w:rFonts w:cs="Times New Roman"/>
              <w:szCs w:val="24"/>
            </w:rPr>
          </w:pPr>
          <w:hyperlink w:anchor="_Toc101997761" w:history="1">
            <w:r w:rsidR="00E72DD8" w:rsidRPr="00E72DD8">
              <w:rPr>
                <w:rStyle w:val="a9"/>
                <w:rFonts w:cs="Times New Roman"/>
                <w:color w:val="000000" w:themeColor="text1"/>
                <w:szCs w:val="24"/>
              </w:rPr>
              <w:t>Inequality at the workplace due to flexible working</w:t>
            </w:r>
            <w:r w:rsidR="00E72DD8" w:rsidRPr="00E72DD8">
              <w:rPr>
                <w:rFonts w:cs="Times New Roman"/>
                <w:webHidden/>
                <w:szCs w:val="24"/>
              </w:rPr>
              <w:tab/>
            </w:r>
            <w:r w:rsidR="00E72DD8" w:rsidRPr="00E72DD8">
              <w:rPr>
                <w:rFonts w:cs="Times New Roman"/>
                <w:webHidden/>
                <w:szCs w:val="24"/>
              </w:rPr>
              <w:fldChar w:fldCharType="begin"/>
            </w:r>
            <w:r w:rsidR="00E72DD8" w:rsidRPr="00E72DD8">
              <w:rPr>
                <w:rFonts w:cs="Times New Roman"/>
                <w:webHidden/>
                <w:szCs w:val="24"/>
              </w:rPr>
              <w:instrText xml:space="preserve"> PAGEREF _Toc101997761 \h </w:instrText>
            </w:r>
            <w:r w:rsidR="00E72DD8" w:rsidRPr="00E72DD8">
              <w:rPr>
                <w:rFonts w:cs="Times New Roman"/>
                <w:webHidden/>
                <w:szCs w:val="24"/>
              </w:rPr>
            </w:r>
            <w:r w:rsidR="00E72DD8" w:rsidRPr="00E72DD8">
              <w:rPr>
                <w:rFonts w:cs="Times New Roman"/>
                <w:webHidden/>
                <w:szCs w:val="24"/>
              </w:rPr>
              <w:fldChar w:fldCharType="separate"/>
            </w:r>
            <w:r w:rsidR="00E72DD8" w:rsidRPr="00E72DD8">
              <w:rPr>
                <w:rFonts w:cs="Times New Roman"/>
                <w:webHidden/>
                <w:szCs w:val="24"/>
              </w:rPr>
              <w:t>8</w:t>
            </w:r>
            <w:r w:rsidR="00E72DD8" w:rsidRPr="00E72DD8">
              <w:rPr>
                <w:rFonts w:cs="Times New Roman"/>
                <w:webHidden/>
                <w:szCs w:val="24"/>
              </w:rPr>
              <w:fldChar w:fldCharType="end"/>
            </w:r>
          </w:hyperlink>
        </w:p>
        <w:p w14:paraId="0397C71B" w14:textId="47527C59" w:rsidR="00E72DD8" w:rsidRPr="00E72DD8" w:rsidRDefault="009E3F85">
          <w:pPr>
            <w:pStyle w:val="11"/>
            <w:tabs>
              <w:tab w:val="right" w:leader="dot" w:pos="9016"/>
            </w:tabs>
            <w:rPr>
              <w:rFonts w:cs="Times New Roman"/>
              <w:szCs w:val="24"/>
            </w:rPr>
          </w:pPr>
          <w:hyperlink w:anchor="_Toc101997762" w:history="1">
            <w:r w:rsidR="00E72DD8" w:rsidRPr="00E72DD8">
              <w:rPr>
                <w:rStyle w:val="a9"/>
                <w:rFonts w:cs="Times New Roman"/>
                <w:color w:val="000000" w:themeColor="text1"/>
                <w:szCs w:val="24"/>
              </w:rPr>
              <w:t>Analysing the role of Human Resources in addressing the inequality arises due to flexible working</w:t>
            </w:r>
            <w:r w:rsidR="00E72DD8" w:rsidRPr="00E72DD8">
              <w:rPr>
                <w:rFonts w:cs="Times New Roman"/>
                <w:webHidden/>
                <w:szCs w:val="24"/>
              </w:rPr>
              <w:tab/>
            </w:r>
            <w:r w:rsidR="00E72DD8" w:rsidRPr="00E72DD8">
              <w:rPr>
                <w:rFonts w:cs="Times New Roman"/>
                <w:webHidden/>
                <w:szCs w:val="24"/>
              </w:rPr>
              <w:fldChar w:fldCharType="begin"/>
            </w:r>
            <w:r w:rsidR="00E72DD8" w:rsidRPr="00E72DD8">
              <w:rPr>
                <w:rFonts w:cs="Times New Roman"/>
                <w:webHidden/>
                <w:szCs w:val="24"/>
              </w:rPr>
              <w:instrText xml:space="preserve"> PAGEREF _Toc101997762 \h </w:instrText>
            </w:r>
            <w:r w:rsidR="00E72DD8" w:rsidRPr="00E72DD8">
              <w:rPr>
                <w:rFonts w:cs="Times New Roman"/>
                <w:webHidden/>
                <w:szCs w:val="24"/>
              </w:rPr>
            </w:r>
            <w:r w:rsidR="00E72DD8" w:rsidRPr="00E72DD8">
              <w:rPr>
                <w:rFonts w:cs="Times New Roman"/>
                <w:webHidden/>
                <w:szCs w:val="24"/>
              </w:rPr>
              <w:fldChar w:fldCharType="separate"/>
            </w:r>
            <w:r w:rsidR="00E72DD8" w:rsidRPr="00E72DD8">
              <w:rPr>
                <w:rFonts w:cs="Times New Roman"/>
                <w:webHidden/>
                <w:szCs w:val="24"/>
              </w:rPr>
              <w:t>9</w:t>
            </w:r>
            <w:r w:rsidR="00E72DD8" w:rsidRPr="00E72DD8">
              <w:rPr>
                <w:rFonts w:cs="Times New Roman"/>
                <w:webHidden/>
                <w:szCs w:val="24"/>
              </w:rPr>
              <w:fldChar w:fldCharType="end"/>
            </w:r>
          </w:hyperlink>
        </w:p>
        <w:p w14:paraId="70BE0BB5" w14:textId="3A5BE0D2" w:rsidR="00E72DD8" w:rsidRPr="00E72DD8" w:rsidRDefault="009E3F85">
          <w:pPr>
            <w:pStyle w:val="11"/>
            <w:tabs>
              <w:tab w:val="right" w:leader="dot" w:pos="9016"/>
            </w:tabs>
            <w:rPr>
              <w:rFonts w:cs="Times New Roman"/>
              <w:szCs w:val="24"/>
            </w:rPr>
          </w:pPr>
          <w:hyperlink w:anchor="_Toc101997763" w:history="1">
            <w:r w:rsidR="00E72DD8" w:rsidRPr="00E72DD8">
              <w:rPr>
                <w:rStyle w:val="a9"/>
                <w:rFonts w:cs="Times New Roman"/>
                <w:color w:val="000000" w:themeColor="text1"/>
                <w:szCs w:val="24"/>
              </w:rPr>
              <w:t>Conclusion</w:t>
            </w:r>
            <w:r w:rsidR="00E72DD8" w:rsidRPr="00E72DD8">
              <w:rPr>
                <w:rFonts w:cs="Times New Roman"/>
                <w:webHidden/>
                <w:szCs w:val="24"/>
              </w:rPr>
              <w:tab/>
            </w:r>
            <w:r w:rsidR="00E72DD8" w:rsidRPr="00E72DD8">
              <w:rPr>
                <w:rFonts w:cs="Times New Roman"/>
                <w:webHidden/>
                <w:szCs w:val="24"/>
              </w:rPr>
              <w:fldChar w:fldCharType="begin"/>
            </w:r>
            <w:r w:rsidR="00E72DD8" w:rsidRPr="00E72DD8">
              <w:rPr>
                <w:rFonts w:cs="Times New Roman"/>
                <w:webHidden/>
                <w:szCs w:val="24"/>
              </w:rPr>
              <w:instrText xml:space="preserve"> PAGEREF _Toc101997763 \h </w:instrText>
            </w:r>
            <w:r w:rsidR="00E72DD8" w:rsidRPr="00E72DD8">
              <w:rPr>
                <w:rFonts w:cs="Times New Roman"/>
                <w:webHidden/>
                <w:szCs w:val="24"/>
              </w:rPr>
            </w:r>
            <w:r w:rsidR="00E72DD8" w:rsidRPr="00E72DD8">
              <w:rPr>
                <w:rFonts w:cs="Times New Roman"/>
                <w:webHidden/>
                <w:szCs w:val="24"/>
              </w:rPr>
              <w:fldChar w:fldCharType="separate"/>
            </w:r>
            <w:r w:rsidR="00E72DD8" w:rsidRPr="00E72DD8">
              <w:rPr>
                <w:rFonts w:cs="Times New Roman"/>
                <w:webHidden/>
                <w:szCs w:val="24"/>
              </w:rPr>
              <w:t>11</w:t>
            </w:r>
            <w:r w:rsidR="00E72DD8" w:rsidRPr="00E72DD8">
              <w:rPr>
                <w:rFonts w:cs="Times New Roman"/>
                <w:webHidden/>
                <w:szCs w:val="24"/>
              </w:rPr>
              <w:fldChar w:fldCharType="end"/>
            </w:r>
          </w:hyperlink>
        </w:p>
        <w:p w14:paraId="45D401BC" w14:textId="0164C23C" w:rsidR="00E72DD8" w:rsidRPr="00E72DD8" w:rsidRDefault="009E3F85">
          <w:pPr>
            <w:pStyle w:val="11"/>
            <w:tabs>
              <w:tab w:val="right" w:leader="dot" w:pos="9016"/>
            </w:tabs>
            <w:rPr>
              <w:rFonts w:cs="Times New Roman"/>
              <w:szCs w:val="24"/>
            </w:rPr>
          </w:pPr>
          <w:hyperlink w:anchor="_Toc101997764" w:history="1">
            <w:r w:rsidR="00E72DD8" w:rsidRPr="00E72DD8">
              <w:rPr>
                <w:rStyle w:val="a9"/>
                <w:rFonts w:cs="Times New Roman"/>
                <w:color w:val="000000" w:themeColor="text1"/>
                <w:szCs w:val="24"/>
              </w:rPr>
              <w:t>References</w:t>
            </w:r>
            <w:r w:rsidR="00E72DD8" w:rsidRPr="00E72DD8">
              <w:rPr>
                <w:rFonts w:cs="Times New Roman"/>
                <w:webHidden/>
                <w:szCs w:val="24"/>
              </w:rPr>
              <w:tab/>
            </w:r>
            <w:r w:rsidR="00E72DD8" w:rsidRPr="00E72DD8">
              <w:rPr>
                <w:rFonts w:cs="Times New Roman"/>
                <w:webHidden/>
                <w:szCs w:val="24"/>
              </w:rPr>
              <w:fldChar w:fldCharType="begin"/>
            </w:r>
            <w:r w:rsidR="00E72DD8" w:rsidRPr="00E72DD8">
              <w:rPr>
                <w:rFonts w:cs="Times New Roman"/>
                <w:webHidden/>
                <w:szCs w:val="24"/>
              </w:rPr>
              <w:instrText xml:space="preserve"> PAGEREF _Toc101997764 \h </w:instrText>
            </w:r>
            <w:r w:rsidR="00E72DD8" w:rsidRPr="00E72DD8">
              <w:rPr>
                <w:rFonts w:cs="Times New Roman"/>
                <w:webHidden/>
                <w:szCs w:val="24"/>
              </w:rPr>
            </w:r>
            <w:r w:rsidR="00E72DD8" w:rsidRPr="00E72DD8">
              <w:rPr>
                <w:rFonts w:cs="Times New Roman"/>
                <w:webHidden/>
                <w:szCs w:val="24"/>
              </w:rPr>
              <w:fldChar w:fldCharType="separate"/>
            </w:r>
            <w:r w:rsidR="00E72DD8" w:rsidRPr="00E72DD8">
              <w:rPr>
                <w:rFonts w:cs="Times New Roman"/>
                <w:webHidden/>
                <w:szCs w:val="24"/>
              </w:rPr>
              <w:t>12</w:t>
            </w:r>
            <w:r w:rsidR="00E72DD8" w:rsidRPr="00E72DD8">
              <w:rPr>
                <w:rFonts w:cs="Times New Roman"/>
                <w:webHidden/>
                <w:szCs w:val="24"/>
              </w:rPr>
              <w:fldChar w:fldCharType="end"/>
            </w:r>
          </w:hyperlink>
        </w:p>
        <w:p w14:paraId="2C01497E" w14:textId="744DB343" w:rsidR="00CC2112" w:rsidRPr="00865990" w:rsidRDefault="00E72DD8" w:rsidP="00CC2112">
          <w:r w:rsidRPr="00E72DD8">
            <w:rPr>
              <w:rFonts w:cs="Times New Roman"/>
              <w:b/>
              <w:bCs/>
              <w:szCs w:val="24"/>
            </w:rPr>
            <w:fldChar w:fldCharType="end"/>
          </w:r>
        </w:p>
      </w:sdtContent>
    </w:sdt>
    <w:p w14:paraId="3EE2970D" w14:textId="77777777" w:rsidR="00CC2112" w:rsidRPr="00865990" w:rsidRDefault="00CC2112">
      <w:pPr>
        <w:spacing w:line="259" w:lineRule="auto"/>
        <w:jc w:val="left"/>
      </w:pPr>
      <w:r w:rsidRPr="00865990">
        <w:br w:type="page"/>
      </w:r>
    </w:p>
    <w:p w14:paraId="0B6B3565" w14:textId="2991569B" w:rsidR="00CC2112" w:rsidRDefault="00CC2112" w:rsidP="00CC2112">
      <w:pPr>
        <w:pStyle w:val="1"/>
      </w:pPr>
      <w:bookmarkStart w:id="0" w:name="_Toc101997758"/>
      <w:r w:rsidRPr="00865990">
        <w:lastRenderedPageBreak/>
        <w:t>Introduction</w:t>
      </w:r>
      <w:bookmarkEnd w:id="0"/>
    </w:p>
    <w:p w14:paraId="4D235BCC" w14:textId="73B3A056" w:rsidR="00E21DB5" w:rsidRDefault="00E21DB5" w:rsidP="00E21DB5">
      <w:r>
        <w:t>Managing the workforce in a firm is considered one of the essential parts of business operation in the contemporary and competitive market.</w:t>
      </w:r>
      <w:r w:rsidR="0065408B">
        <w:t xml:space="preserve"> </w:t>
      </w:r>
      <w:r w:rsidR="0065408B" w:rsidRPr="00AA7914">
        <w:rPr>
          <w:b/>
          <w:bCs/>
          <w:i/>
          <w:iCs/>
        </w:rPr>
        <w:t>People management or managing people</w:t>
      </w:r>
      <w:r w:rsidR="0065408B">
        <w:t xml:space="preserve"> in an enterprise refers to the process of organising the workforce and developing an effective team with several approaches by Human Resource Management in the workplace </w:t>
      </w:r>
      <w:r w:rsidR="0065408B" w:rsidRPr="00531C7F">
        <w:t>(</w:t>
      </w:r>
      <w:r w:rsidR="00531C7F" w:rsidRPr="00531C7F">
        <w:t>Armstrong, 2020</w:t>
      </w:r>
      <w:r w:rsidR="0065408B">
        <w:t>).</w:t>
      </w:r>
      <w:r w:rsidR="006351FF">
        <w:t xml:space="preserve"> Moreover, this is considered one of the necessary approaches for organisational development as organised employees tend to be more inspired and oversee to perform with a productive approach. The report will provide an idea about the impact of a flexible working environment on inequality, diversity and inclusion.</w:t>
      </w:r>
    </w:p>
    <w:p w14:paraId="123BC380" w14:textId="1118775B" w:rsidR="006351FF" w:rsidRPr="006351FF" w:rsidRDefault="006351FF" w:rsidP="00E21DB5">
      <w:pPr>
        <w:rPr>
          <w:b/>
          <w:bCs/>
        </w:rPr>
      </w:pPr>
      <w:r w:rsidRPr="006351FF">
        <w:rPr>
          <w:b/>
          <w:bCs/>
        </w:rPr>
        <w:t>Company Background</w:t>
      </w:r>
    </w:p>
    <w:p w14:paraId="287F5B4E" w14:textId="0473020B" w:rsidR="00CC2112" w:rsidRPr="00865990" w:rsidRDefault="00AC4620" w:rsidP="006351FF">
      <w:bookmarkStart w:id="1" w:name="_Hlk102405103"/>
      <w:r>
        <w:t xml:space="preserve">Sainsbury’s </w:t>
      </w:r>
      <w:bookmarkEnd w:id="1"/>
      <w:r>
        <w:t>is the second-larget supermarket chain operating in the United Kingdom, which oversees to serve its potential customers with high-quality products at a competitive price. The company was founded in the year 1869 by John James Sainsbury and its headquarter is in the United Kingdom, London (</w:t>
      </w:r>
      <w:r w:rsidR="00F855EA">
        <w:t>about.sainsburys.co.uk, 2022</w:t>
      </w:r>
      <w:r>
        <w:t>). Sainsbury’s has more than 600 supermarkets and 800 convenience stores all over the United Kingdom and employs about 189,000 workforces in different locations.</w:t>
      </w:r>
      <w:r w:rsidR="00F855EA">
        <w:t xml:space="preserve"> Its branches are in the different regions of the United Kingdom that oversees to provide its customers with the best services and products. As of the financial year 2021, Sainsbury’s generated about 29 billion British pounds in its retail sales (statista.com, 2022).</w:t>
      </w:r>
      <w:r w:rsidR="00CC2112" w:rsidRPr="00865990">
        <w:br w:type="page"/>
      </w:r>
    </w:p>
    <w:p w14:paraId="2CD3533C" w14:textId="426BFD70" w:rsidR="00F97803" w:rsidRDefault="00CC2112" w:rsidP="009804B0">
      <w:pPr>
        <w:pStyle w:val="1"/>
      </w:pPr>
      <w:bookmarkStart w:id="2" w:name="_Toc101997759"/>
      <w:r w:rsidRPr="00865990">
        <w:lastRenderedPageBreak/>
        <w:t>Importance of flexible working for developing diversity and inclusion within the workplace</w:t>
      </w:r>
      <w:bookmarkEnd w:id="2"/>
    </w:p>
    <w:p w14:paraId="36145C67" w14:textId="136BA6B2" w:rsidR="00FB4B3C" w:rsidRDefault="00F97803" w:rsidP="00F97803">
      <w:r>
        <w:t xml:space="preserve">Within the modern working environment, </w:t>
      </w:r>
      <w:r w:rsidR="00A6085A">
        <w:t>the companies need to implement</w:t>
      </w:r>
      <w:r>
        <w:t xml:space="preserve"> diversity and inclusion as it is one of the essential tools for escalating the organisation’s growth. Hence, the employers of the organisation need to oversee the incorporation of diversity and inclusion within the workplace that can encourage the workforce to actively take part in organisational development. Whereas, </w:t>
      </w:r>
      <w:r w:rsidRPr="00AA7914">
        <w:rPr>
          <w:b/>
          <w:bCs/>
          <w:i/>
          <w:iCs/>
        </w:rPr>
        <w:t>diversity and inclusion</w:t>
      </w:r>
      <w:r>
        <w:t xml:space="preserve"> conceptualise the process that firms implement in their workplace that treats every employee equally regardless of their background, ethnicity, colour, caste and many more factors</w:t>
      </w:r>
      <w:r w:rsidR="00431297">
        <w:t xml:space="preserve"> </w:t>
      </w:r>
      <w:r w:rsidR="00431297" w:rsidRPr="00AA7914">
        <w:t>(</w:t>
      </w:r>
      <w:r w:rsidR="00AA7914" w:rsidRPr="00AA7914">
        <w:t>de Aquino and Robertson, 2018</w:t>
      </w:r>
      <w:r w:rsidR="00431297">
        <w:t>)</w:t>
      </w:r>
      <w:r>
        <w:t>.</w:t>
      </w:r>
      <w:r w:rsidR="00431297">
        <w:t xml:space="preserve"> This is a necessary approach for the enterprises as it concentrates on accelerating the commitment and trust of employees to assist the organisation to achieve their desired goals and objective in the set time.</w:t>
      </w:r>
      <w:r w:rsidR="00452EC4">
        <w:t xml:space="preserve"> Whereas, </w:t>
      </w:r>
      <w:r w:rsidR="00452EC4" w:rsidRPr="00AA7914">
        <w:rPr>
          <w:b/>
          <w:bCs/>
          <w:i/>
          <w:iCs/>
        </w:rPr>
        <w:t>flexible working</w:t>
      </w:r>
      <w:r w:rsidR="00452EC4">
        <w:t xml:space="preserve"> signifies the working arrangements that employers of the corporation fix to allow the workers to avail themselves </w:t>
      </w:r>
      <w:r w:rsidR="00AA7914">
        <w:t xml:space="preserve">of </w:t>
      </w:r>
      <w:r w:rsidR="00452EC4">
        <w:t>their variety of timing, location and working amount with a mutual understanding (</w:t>
      </w:r>
      <w:r w:rsidR="00FB4B3C" w:rsidRPr="00FB4B3C">
        <w:t xml:space="preserve">Cobaleda-Cordero </w:t>
      </w:r>
      <w:r w:rsidR="00FB4B3C" w:rsidRPr="00FB4B3C">
        <w:rPr>
          <w:i/>
          <w:iCs/>
        </w:rPr>
        <w:t>et al.</w:t>
      </w:r>
      <w:r w:rsidR="00FB4B3C" w:rsidRPr="00FB4B3C">
        <w:t>, 2020</w:t>
      </w:r>
      <w:r w:rsidR="00452EC4">
        <w:t>).</w:t>
      </w:r>
      <w:r w:rsidR="00AA7914">
        <w:t xml:space="preserve"> It enables the method of accelerating the feeling of being more valued within the workspace by developing trust and including the creative working environment for corporational growth.</w:t>
      </w:r>
    </w:p>
    <w:p w14:paraId="23E6B2B6" w14:textId="45BADA0F" w:rsidR="00983F85" w:rsidRDefault="00983F85" w:rsidP="00F97803">
      <w:r>
        <w:t>Communication is one of the beneficial techniques included in flexible working for an organisation that helps in mitigating the conflict situation and enhances the aspects of public relations. This can be the right method to include the innovative process that can build teamwork, and trust and increase job satisfaction as well.</w:t>
      </w:r>
    </w:p>
    <w:p w14:paraId="06D902B8" w14:textId="788634BC" w:rsidR="00B50ABB" w:rsidRDefault="00FB4B3C" w:rsidP="00F97803">
      <w:r>
        <w:t xml:space="preserve">Moreover, after the emergence of coronavirus, </w:t>
      </w:r>
      <w:r w:rsidRPr="00F27015">
        <w:rPr>
          <w:b/>
          <w:bCs/>
          <w:i/>
          <w:iCs/>
        </w:rPr>
        <w:t>flexible working</w:t>
      </w:r>
      <w:r>
        <w:t xml:space="preserve"> has been included within the organisations efficiently that assisted the organisations to operate appropriately during the period of uncertainty. </w:t>
      </w:r>
      <w:r w:rsidR="00455628">
        <w:t xml:space="preserve">In the post-COVID-19 pandemic situation, about 55% of the employers operating in the United Kingdom emphasised providing their workforce with working home facilities that amounted to be about 55% (acas.org.uk, 2021). Whereas, </w:t>
      </w:r>
      <w:r w:rsidR="004B5BF7">
        <w:t xml:space="preserve">flexible working after the COVID-19 can assist the managers to organise their workforce productively to escalate the chances of growth. In 2020, when COVID-19 hit most of the businesses </w:t>
      </w:r>
      <w:r w:rsidR="00B50ABB">
        <w:t>operating</w:t>
      </w:r>
      <w:r w:rsidR="004B5BF7">
        <w:t xml:space="preserve"> in the United Kingdom</w:t>
      </w:r>
      <w:r w:rsidR="00B50ABB">
        <w:t>, Sainsbury’s increased its online sales with the help of flexible working hours such as the work from the home method</w:t>
      </w:r>
      <w:r w:rsidR="00B50ABB" w:rsidRPr="00B50ABB">
        <w:t>. According to Chung and Van der Lippe (2020),</w:t>
      </w:r>
      <w:r w:rsidR="00B50ABB">
        <w:t xml:space="preserve"> flexible working hours assisted the corporations to provide the employees with a </w:t>
      </w:r>
      <w:r w:rsidR="00B50ABB" w:rsidRPr="009E0848">
        <w:rPr>
          <w:b/>
          <w:bCs/>
          <w:i/>
          <w:iCs/>
        </w:rPr>
        <w:t>Work-life balance</w:t>
      </w:r>
      <w:r w:rsidR="00B50ABB">
        <w:t xml:space="preserve"> that motivated employees to work as of the needs of the enterprise.</w:t>
      </w:r>
      <w:r w:rsidR="00A73B6B">
        <w:t xml:space="preserve"> Whereas, by implementing flexible working hours, Sainsbury’s focused on increasing its colleagues from different </w:t>
      </w:r>
      <w:r w:rsidR="00A73B6B">
        <w:lastRenderedPageBreak/>
        <w:t>backgrounds. Furthermore, the company has more than 4300 employees from I AM ME, and other cultural people (about.sainsburys.co.uk, 2022).</w:t>
      </w:r>
    </w:p>
    <w:p w14:paraId="12F14289" w14:textId="635AA4D2" w:rsidR="004D0861" w:rsidRDefault="00A73B6B" w:rsidP="00F97803">
      <w:r>
        <w:t xml:space="preserve">Hence, it can be conceptualised that the </w:t>
      </w:r>
      <w:r w:rsidRPr="009E0848">
        <w:rPr>
          <w:b/>
          <w:bCs/>
          <w:i/>
          <w:iCs/>
        </w:rPr>
        <w:t>work from home</w:t>
      </w:r>
      <w:r>
        <w:t xml:space="preserve"> approach assisted in </w:t>
      </w:r>
      <w:r w:rsidR="00A8337D">
        <w:t xml:space="preserve">escalating the method of communicating with different types of people from different regions. Moreover, it included the process of </w:t>
      </w:r>
      <w:r w:rsidR="00A8337D" w:rsidRPr="009E0848">
        <w:rPr>
          <w:b/>
          <w:bCs/>
          <w:i/>
          <w:iCs/>
        </w:rPr>
        <w:t>workforce engagement</w:t>
      </w:r>
      <w:r w:rsidR="00A8337D">
        <w:t xml:space="preserve"> in which about 75% of employees </w:t>
      </w:r>
      <w:r w:rsidR="00B031D8">
        <w:t>were ready to work collaboratively in the workplace (</w:t>
      </w:r>
      <w:r w:rsidR="009E0848">
        <w:t>about.sainsburys.co.uk, 2022</w:t>
      </w:r>
      <w:r w:rsidR="00B031D8">
        <w:t>).</w:t>
      </w:r>
      <w:r w:rsidR="00BB4578">
        <w:t xml:space="preserve"> On the other hand</w:t>
      </w:r>
      <w:r w:rsidR="00BB4578" w:rsidRPr="00BB4578">
        <w:t xml:space="preserve">, Hörning </w:t>
      </w:r>
      <w:r w:rsidR="00BB4578" w:rsidRPr="00BB4578">
        <w:rPr>
          <w:i/>
          <w:iCs/>
        </w:rPr>
        <w:t>et al</w:t>
      </w:r>
      <w:r w:rsidR="00BB4578" w:rsidRPr="00BB4578">
        <w:t>. (2018),</w:t>
      </w:r>
      <w:r w:rsidR="00BB4578">
        <w:t xml:space="preserve"> depicted that flexible working can </w:t>
      </w:r>
      <w:r w:rsidR="00CF5432">
        <w:t xml:space="preserve">have a negative effect on the operating behaviour of employees due to the </w:t>
      </w:r>
      <w:r w:rsidR="00CF5432" w:rsidRPr="009E0848">
        <w:rPr>
          <w:b/>
          <w:bCs/>
          <w:i/>
          <w:iCs/>
        </w:rPr>
        <w:t>poor diversity and inclusion process</w:t>
      </w:r>
      <w:r w:rsidR="00CF5432">
        <w:t xml:space="preserve">. Sainsbury’s has experienced a loss of about 261 million British Pounds in the year 2020, amid the increase in online Argos and food sales during the COVID-19 pandemic (bbc.com, 2021). This was due to the adverse effect of flexible working </w:t>
      </w:r>
      <w:r w:rsidR="00A6085A">
        <w:t>about</w:t>
      </w:r>
      <w:r w:rsidR="00CF5432">
        <w:t xml:space="preserve"> diversity and inclusion in the workplace.</w:t>
      </w:r>
    </w:p>
    <w:p w14:paraId="1EAD1399" w14:textId="331B654E" w:rsidR="004D0861" w:rsidRDefault="004D0861" w:rsidP="00F97803">
      <w:pPr>
        <w:rPr>
          <w:b/>
          <w:bCs/>
        </w:rPr>
      </w:pPr>
      <w:r w:rsidRPr="004D0861">
        <w:rPr>
          <w:b/>
          <w:bCs/>
        </w:rPr>
        <w:t>Advantages of Diversity and Inclusion in the workplace</w:t>
      </w:r>
    </w:p>
    <w:p w14:paraId="3D0A3315" w14:textId="151A3868" w:rsidR="004D0861" w:rsidRDefault="004D0861" w:rsidP="00F97803">
      <w:r>
        <w:t>This allows the managers to recruit from a larger pool of employees and increase the process of customer understanding to improve the innovation process in business. Moreover, it also enhances the business performance, which escalates the reputation among its potential customers and employees.</w:t>
      </w:r>
    </w:p>
    <w:p w14:paraId="144F5DE3" w14:textId="0CA779F6" w:rsidR="00CC2112" w:rsidRPr="009804B0" w:rsidRDefault="00CF5432" w:rsidP="00F97803">
      <w:r>
        <w:t xml:space="preserve">Whereas, it is necessary to be solved </w:t>
      </w:r>
      <w:r w:rsidR="00F27015">
        <w:t xml:space="preserve">for benefiting the organisational growth and future operations, which can be carried out by the implementation of </w:t>
      </w:r>
      <w:r w:rsidR="00F27015" w:rsidRPr="009E0848">
        <w:rPr>
          <w:b/>
          <w:bCs/>
          <w:i/>
          <w:iCs/>
        </w:rPr>
        <w:t>Scientific Management Theory</w:t>
      </w:r>
      <w:r w:rsidR="00F27015">
        <w:t>. It is defined as the process of industrial management that concentrates on combining and analysing the workflows of the employees to increase workers’ productivity in the workspace (</w:t>
      </w:r>
      <w:r w:rsidR="009E0848" w:rsidRPr="009E0848">
        <w:t>Külli, 2019</w:t>
      </w:r>
      <w:r w:rsidR="00F27015">
        <w:t>). This can be an effective procedure to control the product or service quality, planning and process designing.</w:t>
      </w:r>
      <w:r w:rsidR="005450E1">
        <w:t xml:space="preserve"> The managers and leaders of the company can concentrate on enhancing the work environment for their employees and incorporate policies that encourage diversity within the company.</w:t>
      </w:r>
      <w:r w:rsidR="00CC2112" w:rsidRPr="00865990">
        <w:br w:type="page"/>
      </w:r>
    </w:p>
    <w:p w14:paraId="4C1FE071" w14:textId="3EAE3840" w:rsidR="003C50F9" w:rsidRDefault="00CC2112" w:rsidP="009804B0">
      <w:pPr>
        <w:pStyle w:val="1"/>
      </w:pPr>
      <w:bookmarkStart w:id="3" w:name="_Toc101997760"/>
      <w:r w:rsidRPr="00865990">
        <w:lastRenderedPageBreak/>
        <w:t>Role of Human Resources for encouraging diversity and inclusion through flexible working</w:t>
      </w:r>
      <w:bookmarkEnd w:id="3"/>
    </w:p>
    <w:p w14:paraId="209335AC" w14:textId="77777777" w:rsidR="009C4BE3" w:rsidRDefault="003C50F9" w:rsidP="003C50F9">
      <w:r>
        <w:t xml:space="preserve">Human Resources in an organisation are required to oversee the process of including the right environment for their employees and should have an effective diversity and inclusion process. Whereas, several Human Resource managers’ roles that can attentively focus on enhancing diversity and inclusion within the workspace. </w:t>
      </w:r>
      <w:r w:rsidRPr="00D8127D">
        <w:rPr>
          <w:b/>
          <w:bCs/>
          <w:i/>
          <w:iCs/>
        </w:rPr>
        <w:t>Human Resource Management</w:t>
      </w:r>
      <w:r>
        <w:t xml:space="preserve"> in an enterprise is responsible for undertaking the appropriate recruiting process and providing its employees with the right and updated training and development programs (</w:t>
      </w:r>
      <w:r w:rsidR="005450E1" w:rsidRPr="005450E1">
        <w:t xml:space="preserve">Stone </w:t>
      </w:r>
      <w:r w:rsidR="005450E1" w:rsidRPr="005450E1">
        <w:rPr>
          <w:i/>
          <w:iCs/>
        </w:rPr>
        <w:t>et al</w:t>
      </w:r>
      <w:r w:rsidR="005450E1" w:rsidRPr="005450E1">
        <w:t>., 2020</w:t>
      </w:r>
      <w:r>
        <w:t xml:space="preserve">). This will help the organisation to achieve the appropriate success in the future with the help of </w:t>
      </w:r>
      <w:r w:rsidR="00A171FF">
        <w:t xml:space="preserve">flexible working. The unemployment rate of the United Kingdom as of the year 2022 is about 3.8% (statista.com, 2022). After the COVID-19 pandemic, </w:t>
      </w:r>
      <w:r w:rsidR="000F3207">
        <w:t>the unemployment rate in the United Kingdom declined immensely. Hence, it is necessary for the HR managers of the company to recruit candidates from the different regions through flexible working approaches.</w:t>
      </w:r>
    </w:p>
    <w:p w14:paraId="6BDD2E7C" w14:textId="7CF9A0A7" w:rsidR="002268C3" w:rsidRDefault="002268C3" w:rsidP="003C50F9">
      <w:r w:rsidRPr="00D8127D">
        <w:rPr>
          <w:b/>
          <w:bCs/>
          <w:i/>
          <w:iCs/>
        </w:rPr>
        <w:t>Recruitment</w:t>
      </w:r>
      <w:r>
        <w:t xml:space="preserve"> is regarded as one of the most important processes of Human Resources for a business as it emphasises looking out for the candidates that are capable of helping the company to reach its goals (</w:t>
      </w:r>
      <w:r w:rsidR="00591367" w:rsidRPr="00591367">
        <w:t>Ahmad Azmy, 2018</w:t>
      </w:r>
      <w:r>
        <w:t>).</w:t>
      </w:r>
      <w:r w:rsidR="009C4BE3">
        <w:t xml:space="preserve"> </w:t>
      </w:r>
      <w:r>
        <w:t>Whereas, providing the candidates with work from home opportunities after the pandemic will assist the organisation to assess and accomplish organisational needs.</w:t>
      </w:r>
      <w:r w:rsidR="009C4BE3">
        <w:t xml:space="preserve"> About 49% of employers are eapecting to experience an increase in the culture of employees working from home (acas.org.uk, 2021).</w:t>
      </w:r>
    </w:p>
    <w:p w14:paraId="259DE39D" w14:textId="0AF00177" w:rsidR="009964FD" w:rsidRDefault="009964FD" w:rsidP="003C50F9"/>
    <w:p w14:paraId="6890E7D5" w14:textId="6E1DF4F2" w:rsidR="009964FD" w:rsidRDefault="009964FD" w:rsidP="009964FD">
      <w:pPr>
        <w:jc w:val="center"/>
      </w:pPr>
      <w:r>
        <w:drawing>
          <wp:inline distT="0" distB="0" distL="0" distR="0" wp14:anchorId="1863C6A3" wp14:editId="3C1AE05C">
            <wp:extent cx="4853354" cy="2821143"/>
            <wp:effectExtent l="76200" t="76200" r="137795" b="132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4418" t="19857" r="39008" b="21674"/>
                    <a:stretch/>
                  </pic:blipFill>
                  <pic:spPr bwMode="auto">
                    <a:xfrm>
                      <a:off x="0" y="0"/>
                      <a:ext cx="4869791" cy="28306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E4AEBB7" w14:textId="7047DD02" w:rsidR="009964FD" w:rsidRDefault="009964FD" w:rsidP="009964FD">
      <w:pPr>
        <w:jc w:val="center"/>
        <w:rPr>
          <w:b/>
          <w:bCs/>
        </w:rPr>
      </w:pPr>
      <w:r w:rsidRPr="009964FD">
        <w:rPr>
          <w:b/>
          <w:bCs/>
        </w:rPr>
        <w:lastRenderedPageBreak/>
        <w:t>Figure No. 1: The Unemployment rate of the United Kingdom</w:t>
      </w:r>
    </w:p>
    <w:p w14:paraId="0FF69A0E" w14:textId="4010188E" w:rsidR="009964FD" w:rsidRPr="009964FD" w:rsidRDefault="009964FD" w:rsidP="009964FD">
      <w:pPr>
        <w:jc w:val="center"/>
      </w:pPr>
      <w:r>
        <w:t>(Source: statista.com, 2022)</w:t>
      </w:r>
    </w:p>
    <w:p w14:paraId="65AD6105" w14:textId="50C02FE4" w:rsidR="0064418D" w:rsidRDefault="002268C3" w:rsidP="003C50F9">
      <w:r>
        <w:t>The HR managers of Sainsbury’s should focus on hiring employees from different regions, caste, colours, cultures and many more that will enhance the diversity and inclusion within the organisation.</w:t>
      </w:r>
      <w:r w:rsidR="00D3171B">
        <w:t xml:space="preserve"> With the </w:t>
      </w:r>
      <w:r w:rsidR="00D3171B" w:rsidRPr="00D8127D">
        <w:rPr>
          <w:b/>
          <w:bCs/>
          <w:i/>
          <w:iCs/>
        </w:rPr>
        <w:t>advancement in digitisation and COVID-19 outbreak</w:t>
      </w:r>
      <w:r w:rsidR="00D3171B">
        <w:t>, work from home or remote working culture gained crucial importance (statista.com, 2022). Hence, hiring employees from different regions will help the manager of Sainsbury’s to assess the different market needs and expand their business in different markets.</w:t>
      </w:r>
      <w:r w:rsidR="000B264A">
        <w:t xml:space="preserve"> </w:t>
      </w:r>
      <w:r w:rsidR="00ED715B">
        <w:t xml:space="preserve">Moreover, the HR managers should concentrate on providing every employee with the proper </w:t>
      </w:r>
      <w:r w:rsidR="00ED715B" w:rsidRPr="00D8127D">
        <w:rPr>
          <w:b/>
          <w:bCs/>
          <w:i/>
          <w:iCs/>
        </w:rPr>
        <w:t>training and development</w:t>
      </w:r>
      <w:r w:rsidR="00ED715B">
        <w:t xml:space="preserve"> program.</w:t>
      </w:r>
      <w:r w:rsidR="0064418D">
        <w:t xml:space="preserve"> Amazon has committed to providing free training to the candidates, which will be accomplished by 1.2 billion dollars (aboutamazon.com, 2022). The company</w:t>
      </w:r>
      <w:r w:rsidR="009C4BE3">
        <w:t xml:space="preserve"> that</w:t>
      </w:r>
      <w:r w:rsidR="0064418D">
        <w:t xml:space="preserve"> oversees providing </w:t>
      </w:r>
      <w:r w:rsidR="0064418D" w:rsidRPr="00D8127D">
        <w:rPr>
          <w:b/>
          <w:bCs/>
          <w:i/>
          <w:iCs/>
        </w:rPr>
        <w:t>training and development program</w:t>
      </w:r>
      <w:r w:rsidR="0064418D">
        <w:t xml:space="preserve"> to every candidate without any discrimination, will encourage the incorporation of diversity and inclusion within the organisation</w:t>
      </w:r>
      <w:r w:rsidR="009C4BE3">
        <w:t xml:space="preserve"> (acas.org.uk, 2021)</w:t>
      </w:r>
      <w:r w:rsidR="0064418D">
        <w:t xml:space="preserve">. Hence, this conceptualises that the HR management of Sainsbury’s should concentrate on </w:t>
      </w:r>
      <w:r w:rsidR="00D8127D">
        <w:t>including this similar approach with the help of flexible working.</w:t>
      </w:r>
    </w:p>
    <w:p w14:paraId="5901565F" w14:textId="27860C17" w:rsidR="00E90DA4" w:rsidRDefault="00D8127D" w:rsidP="003C50F9">
      <w:r>
        <w:t xml:space="preserve">In order to include diversity and inclusion through flexible working the HR manager of the company should focus on providing their employees with a safe working environment. The workforce from </w:t>
      </w:r>
      <w:r w:rsidR="002E7826">
        <w:t>different</w:t>
      </w:r>
      <w:r>
        <w:t xml:space="preserve"> </w:t>
      </w:r>
      <w:r w:rsidR="002E7826">
        <w:t>cultures, regions, religions, and many more should have the appropriate working environment in the organisation that will help them to acquire inclusion. When employees split their job with existing workers in the company they require a safe environment to appropriately operate in the workplace. Whereas, during Christmas in 2021, Sainsbury’s experienced a huge rise in its profit margin (</w:t>
      </w:r>
      <w:r w:rsidR="00A037C0">
        <w:t>reuters.com, 2022</w:t>
      </w:r>
      <w:r w:rsidR="002E7826">
        <w:t xml:space="preserve">). This was </w:t>
      </w:r>
      <w:r w:rsidR="00A037C0">
        <w:t>possible due to the effective approach of HR managers, who provided their employees with a safe environment. It encouraged and motivated employees to function productively and escalate the profit of the company, which assisted them to accomplish their goals and objectives.</w:t>
      </w:r>
      <w:r w:rsidR="00473197">
        <w:t xml:space="preserve"> </w:t>
      </w:r>
      <w:r w:rsidR="00473197" w:rsidRPr="00E90DA4">
        <w:rPr>
          <w:b/>
          <w:bCs/>
          <w:i/>
          <w:iCs/>
        </w:rPr>
        <w:t>Compensation and benefits</w:t>
      </w:r>
      <w:r w:rsidR="00473197">
        <w:t xml:space="preserve"> provide an idea of additional convenience that the HR managers of the company provides to their employees to motivate them and encourage the process of productivity (</w:t>
      </w:r>
      <w:r w:rsidR="00174195" w:rsidRPr="00174195">
        <w:t>Stewart and Brown, 2019</w:t>
      </w:r>
      <w:r w:rsidR="00473197">
        <w:t>).</w:t>
      </w:r>
      <w:r w:rsidR="00E90DA4">
        <w:t xml:space="preserve"> The Human Resource manager of Sainsbury’s provides its employees with attractive benefits such as colleague discount cards, pensions, holidays, an employee assistance program and many more (sainsburys.jobs, 2022). They provide these benefits to all of their workers escalating diversity and inclusion.</w:t>
      </w:r>
    </w:p>
    <w:p w14:paraId="4F9983AE" w14:textId="4AE6EC06" w:rsidR="00CC2112" w:rsidRPr="009804B0" w:rsidRDefault="00E90DA4" w:rsidP="003C50F9">
      <w:r>
        <w:lastRenderedPageBreak/>
        <w:t xml:space="preserve">Hence, these are the Human Resources role that should be emphasised in the organisation </w:t>
      </w:r>
      <w:r w:rsidR="00BB7A2E">
        <w:t>that will encourage the inclusion and diversity with the implementation of flexible working conditions within the organisation.</w:t>
      </w:r>
    </w:p>
    <w:p w14:paraId="619C264E" w14:textId="3754CA70" w:rsidR="007E3A64" w:rsidRDefault="00865990" w:rsidP="009804B0">
      <w:pPr>
        <w:pStyle w:val="1"/>
      </w:pPr>
      <w:bookmarkStart w:id="4" w:name="_Toc101997761"/>
      <w:r w:rsidRPr="00865990">
        <w:t>Inequality at the workplace due to flexible working</w:t>
      </w:r>
      <w:bookmarkEnd w:id="4"/>
    </w:p>
    <w:p w14:paraId="6613299D" w14:textId="21627E37" w:rsidR="00BF7B27" w:rsidRDefault="007E3A64" w:rsidP="007E3A64">
      <w:r>
        <w:t xml:space="preserve">Maintaining equality in the corporation among employees is considered one of the effective </w:t>
      </w:r>
      <w:r w:rsidR="00075E6C">
        <w:t>methods</w:t>
      </w:r>
      <w:r>
        <w:t xml:space="preserve"> to encourage and intensify the work processes and productivity of the workers. </w:t>
      </w:r>
      <w:r w:rsidRPr="00A6085A">
        <w:rPr>
          <w:b/>
          <w:bCs/>
          <w:i/>
          <w:iCs/>
        </w:rPr>
        <w:t>Inequality at the workplace</w:t>
      </w:r>
      <w:r>
        <w:t xml:space="preserve"> refers to the </w:t>
      </w:r>
      <w:r w:rsidR="00075E6C">
        <w:t>biased</w:t>
      </w:r>
      <w:r>
        <w:t xml:space="preserve"> and unequal treatment of the workforce based on their sexuality, weight, height, gender, race, and many more factors (</w:t>
      </w:r>
      <w:r w:rsidR="00174195" w:rsidRPr="00174195">
        <w:t>Soltero, 2018</w:t>
      </w:r>
      <w:r>
        <w:t xml:space="preserve">). This includes sexual </w:t>
      </w:r>
      <w:r w:rsidR="00075E6C">
        <w:t>harassment</w:t>
      </w:r>
      <w:r>
        <w:t xml:space="preserve">, </w:t>
      </w:r>
      <w:r w:rsidR="00075E6C">
        <w:t>unequal pay, racism, gender pay gap, and many more.</w:t>
      </w:r>
      <w:r w:rsidR="00A03AE7">
        <w:t xml:space="preserve"> As per the survey conducted in the year 2021, more than 8.2 million employees in the United Kingdom reported that they were facing discrimination based on their gender</w:t>
      </w:r>
      <w:r w:rsidR="00A34D9E">
        <w:t xml:space="preserve"> (smeloans.co.uk, 2021). Moreover, about 32% of employees depicted that their opposite gender was experiencing more success in the workplace. Whereas, about 27% of employees provided an idea that their work was not taken seriously in the organisation due to their gender. These concepts get an acceleration due to the flexible working approach that is working from home. It was due to the ineffective evaluation of the work performance of both genders and because of the perception that the managers had about the specific gender.</w:t>
      </w:r>
    </w:p>
    <w:p w14:paraId="5A90C731" w14:textId="58CC77F1" w:rsidR="009964FD" w:rsidRDefault="009964FD" w:rsidP="007E3A64"/>
    <w:p w14:paraId="22FE79AC" w14:textId="2369800F" w:rsidR="009964FD" w:rsidRDefault="009964FD" w:rsidP="009964FD">
      <w:pPr>
        <w:jc w:val="center"/>
      </w:pPr>
      <w:r>
        <w:drawing>
          <wp:inline distT="0" distB="0" distL="0" distR="0" wp14:anchorId="105D038B" wp14:editId="1598D67F">
            <wp:extent cx="4572000" cy="2781786"/>
            <wp:effectExtent l="76200" t="76200" r="133350"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26385" t="25966" r="28450" b="25164"/>
                    <a:stretch/>
                  </pic:blipFill>
                  <pic:spPr bwMode="auto">
                    <a:xfrm>
                      <a:off x="0" y="0"/>
                      <a:ext cx="4578265" cy="27855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1628296" w14:textId="5AAB58C8" w:rsidR="009964FD" w:rsidRDefault="009964FD" w:rsidP="009964FD">
      <w:pPr>
        <w:jc w:val="center"/>
        <w:rPr>
          <w:b/>
          <w:bCs/>
        </w:rPr>
      </w:pPr>
      <w:r w:rsidRPr="009964FD">
        <w:rPr>
          <w:b/>
          <w:bCs/>
        </w:rPr>
        <w:t>Figure No. 2: Gender Discrimination at workplace</w:t>
      </w:r>
    </w:p>
    <w:p w14:paraId="7A79D7D4" w14:textId="3FD6CBC2" w:rsidR="009964FD" w:rsidRPr="009964FD" w:rsidRDefault="009964FD" w:rsidP="009964FD">
      <w:pPr>
        <w:jc w:val="center"/>
      </w:pPr>
      <w:r>
        <w:t>(Source: smeloans.co.uk, 2021)</w:t>
      </w:r>
    </w:p>
    <w:p w14:paraId="01DF6B61" w14:textId="244916DA" w:rsidR="00FA716B" w:rsidRDefault="00BF7B27" w:rsidP="007E3A64">
      <w:r>
        <w:lastRenderedPageBreak/>
        <w:t>The poor assessment of working conditions and processes among the gender inequalities, which resulted due to the flexible working approaches made it one of the serious issues in the United Kingdom. About 23% of people working in organisations in the United Kingdom consider gender inequality one of the most serious issues within the country (blogs.lse.ac.uk, 2021).</w:t>
      </w:r>
      <w:r w:rsidR="00B2014D">
        <w:t xml:space="preserve"> The flexible working condition can make gender inequality worse as the managers will not be able to organise and monitor their policies due to the work from </w:t>
      </w:r>
      <w:r w:rsidR="008A2051">
        <w:t xml:space="preserve">the </w:t>
      </w:r>
      <w:r w:rsidR="00B2014D">
        <w:t>home situation after the COVID-19 (</w:t>
      </w:r>
      <w:r w:rsidR="008A2051">
        <w:t>Partridge, 2021</w:t>
      </w:r>
      <w:r w:rsidR="00B2014D">
        <w:t xml:space="preserve">). Hence, it can be conceptualised that the people in the United Kingdom can suffer from inequality in the workplace due to an acceleration in </w:t>
      </w:r>
      <w:r w:rsidR="008A2051">
        <w:t xml:space="preserve">the </w:t>
      </w:r>
      <w:r w:rsidR="00B2014D">
        <w:t>flexible working environment.</w:t>
      </w:r>
      <w:r w:rsidR="004A5C1F">
        <w:t xml:space="preserve"> Research conducted by the Chartered Management Institute and Work Foundation provided the idea that women are more hesitant to discuss the work from the home request as compared to men (</w:t>
      </w:r>
      <w:r w:rsidR="0023788A">
        <w:t>lancaster.ac.uk, 2021</w:t>
      </w:r>
      <w:r w:rsidR="004A5C1F">
        <w:t>).</w:t>
      </w:r>
      <w:r w:rsidR="00885925">
        <w:t xml:space="preserve"> Moreover, a survey from Office for National Statistics (ONS)</w:t>
      </w:r>
      <w:r w:rsidR="00E5596E">
        <w:t xml:space="preserve"> depicted that about 47% of workers in the United Kingdom were working from home after the COVID-19 pandemic </w:t>
      </w:r>
      <w:r w:rsidR="00E5596E" w:rsidRPr="00FA716B">
        <w:t>(</w:t>
      </w:r>
      <w:r w:rsidR="00FA716B" w:rsidRPr="00FA716B">
        <w:t xml:space="preserve">Chung </w:t>
      </w:r>
      <w:r w:rsidR="00FA716B" w:rsidRPr="00FA716B">
        <w:rPr>
          <w:i/>
          <w:iCs/>
        </w:rPr>
        <w:t>et al</w:t>
      </w:r>
      <w:r w:rsidR="00FA716B" w:rsidRPr="00FA716B">
        <w:t>., 2021</w:t>
      </w:r>
      <w:r w:rsidR="00E5596E">
        <w:t xml:space="preserve">). Whereas, this also provided the idea that people that were working from home during the pandemic consisted more numbers of </w:t>
      </w:r>
      <w:r w:rsidR="00FA716B">
        <w:t xml:space="preserve">more </w:t>
      </w:r>
      <w:r w:rsidR="00E5596E">
        <w:t>women (48%) as compared to men (46%).</w:t>
      </w:r>
    </w:p>
    <w:p w14:paraId="4EF22FDA" w14:textId="4FA52C19" w:rsidR="00865990" w:rsidRPr="009804B0" w:rsidRDefault="000A5358" w:rsidP="007E3A64">
      <w:r>
        <w:t>After the pandemic, the working conditions all over the world have been changed, which resulted in a rise in flexible working that has been causing immense damage to the companies. Moreover, a report portrayed that about 29% of managers felt a decline in the promotion opportunities for remote workers</w:t>
      </w:r>
      <w:r w:rsidR="00983F85">
        <w:t xml:space="preserve"> (acas.org.uk, 2021)</w:t>
      </w:r>
      <w:r>
        <w:t>. This directly indicates that women are having less chance to get promoted as after COVID-19 they are working in a huge number.</w:t>
      </w:r>
      <w:r w:rsidR="00983F85">
        <w:t xml:space="preserve"> Due to flexible working, diversity within the workplace can result in the development of different thoughts among the employees and employees which can lead to the situation of conflict in the firm, inequality and decrease employee motivation. Furthermore, this can result in cultural misunderstanding and communication issues that can make the decision-making process slower.</w:t>
      </w:r>
    </w:p>
    <w:p w14:paraId="3B0DD71E" w14:textId="1F1B5A58" w:rsidR="00174195" w:rsidRDefault="00865990" w:rsidP="009804B0">
      <w:pPr>
        <w:pStyle w:val="1"/>
      </w:pPr>
      <w:bookmarkStart w:id="5" w:name="_Toc101997762"/>
      <w:r w:rsidRPr="00865990">
        <w:t>Analysing the role of Human Resources in addressing the inequality arises due to flexible working</w:t>
      </w:r>
      <w:bookmarkEnd w:id="5"/>
    </w:p>
    <w:p w14:paraId="2EA40124" w14:textId="466E59A0" w:rsidR="00D83411" w:rsidRPr="00983F85" w:rsidRDefault="00D518C1" w:rsidP="00174195">
      <w:r>
        <w:t xml:space="preserve">The Human Resources in an organisation are responsible for </w:t>
      </w:r>
      <w:r w:rsidR="002C4122">
        <w:t>various tasks in order to allow the organisation to acquire growth and success in the future. They are also accountable for focusing on addressing the factors of inequality in the workplace that can arise due to flexible working.</w:t>
      </w:r>
      <w:r w:rsidR="003C70A6">
        <w:t xml:space="preserve"> Whereas, in accordance with maintaining equality within the workspace the HR managers of the company should focus on improving the communication and interaction of the employees. </w:t>
      </w:r>
      <w:r w:rsidR="003C70A6">
        <w:lastRenderedPageBreak/>
        <w:t xml:space="preserve">According </w:t>
      </w:r>
      <w:r w:rsidR="003C70A6" w:rsidRPr="003C70A6">
        <w:t>to Yalina (2020),</w:t>
      </w:r>
      <w:r w:rsidR="003C70A6">
        <w:t xml:space="preserve"> communication is </w:t>
      </w:r>
      <w:r w:rsidR="001C37FD">
        <w:t xml:space="preserve">considered an essential approach for maintaining equality in the workplace. With effective communication, the company can oversee the success of the organisation, which will help them to acquire growth and development in the future. </w:t>
      </w:r>
      <w:r w:rsidR="00FE6E35">
        <w:t>Effective</w:t>
      </w:r>
      <w:r w:rsidR="001C37FD">
        <w:t xml:space="preserve"> communication </w:t>
      </w:r>
      <w:r w:rsidR="00FE6E35">
        <w:t>can encourage teamwork and collaboration among the team members. This will result in an improved collectiveness among the workforce and promote equality as they will be able to understand each other.</w:t>
      </w:r>
      <w:r w:rsidR="00B52985">
        <w:t xml:space="preserve"> On the other hand</w:t>
      </w:r>
      <w:r w:rsidR="00B52985" w:rsidRPr="00B52985">
        <w:t xml:space="preserve">, Cletus </w:t>
      </w:r>
      <w:r w:rsidR="00B52985" w:rsidRPr="00B52985">
        <w:rPr>
          <w:i/>
          <w:iCs/>
        </w:rPr>
        <w:t>et al</w:t>
      </w:r>
      <w:r w:rsidR="00B52985" w:rsidRPr="00B52985">
        <w:t>. (2018</w:t>
      </w:r>
      <w:r w:rsidR="00B52985">
        <w:t>), stated that poor communication among the employees and other management personnel can result in an immense cultural misunderstanding that can increase the chances of a conflict.</w:t>
      </w:r>
    </w:p>
    <w:p w14:paraId="14B623E2" w14:textId="179EF784" w:rsidR="00D83411" w:rsidRDefault="00D83411" w:rsidP="00174195">
      <w:pPr>
        <w:rPr>
          <w:b/>
          <w:bCs/>
          <w:i/>
          <w:iCs/>
        </w:rPr>
      </w:pPr>
      <w:r>
        <w:rPr>
          <w:b/>
          <w:bCs/>
          <w:i/>
          <w:iCs/>
        </w:rPr>
        <w:t>Disa</w:t>
      </w:r>
      <w:r w:rsidRPr="00D83411">
        <w:rPr>
          <w:b/>
          <w:bCs/>
          <w:i/>
          <w:iCs/>
        </w:rPr>
        <w:t>dvantages of Communication in the Workp</w:t>
      </w:r>
      <w:r>
        <w:rPr>
          <w:b/>
          <w:bCs/>
          <w:i/>
          <w:iCs/>
        </w:rPr>
        <w:t>la</w:t>
      </w:r>
      <w:r w:rsidRPr="00D83411">
        <w:rPr>
          <w:b/>
          <w:bCs/>
          <w:i/>
          <w:iCs/>
        </w:rPr>
        <w:t>ce</w:t>
      </w:r>
    </w:p>
    <w:p w14:paraId="488A39A7" w14:textId="26DBB555" w:rsidR="0096392E" w:rsidRPr="00D83411" w:rsidRDefault="0096392E" w:rsidP="0096392E">
      <w:r>
        <w:t xml:space="preserve">This can be a challenging process in an organisation due </w:t>
      </w:r>
      <w:r w:rsidR="0024396B">
        <w:t>to the politics that occurs in the company can lead to a negative effect on employee motivation.</w:t>
      </w:r>
    </w:p>
    <w:p w14:paraId="437B525E" w14:textId="1624B6E3" w:rsidR="00865990" w:rsidRPr="009804B0" w:rsidRDefault="00B52985" w:rsidP="00174195">
      <w:r>
        <w:t xml:space="preserve">Hence, </w:t>
      </w:r>
      <w:r w:rsidR="005B24AF">
        <w:t>this aspect provides an idea that the Human Resource manager of the company should oversee to include an effective communication and interaction process among the employees. This will assist in understanding the right and effective approach for addressing the inequality that arose due to flexible working. Moreover, there are other aspects that the HR manager of the company should follow to address the inequality within the organisation.</w:t>
      </w:r>
      <w:r w:rsidR="00BB2D8B">
        <w:t xml:space="preserve"> In order to maintain equality within the workplace, the HR manager of Sainsbury’s should concentrate on incorporating the Equality Act (2010). This act </w:t>
      </w:r>
      <w:r w:rsidR="00AB433D">
        <w:t>conceptualises that discrimination against someone based on their caste, colour, culture, region, ethnicity or any other aspect is unlawful (</w:t>
      </w:r>
      <w:r w:rsidR="00D83411">
        <w:t>legislation.gov.uk, 2022</w:t>
      </w:r>
      <w:r w:rsidR="00AB433D">
        <w:t xml:space="preserve">). Hence, the HR management of Sainsbury’s can follow this law and will </w:t>
      </w:r>
      <w:r w:rsidR="00D83411">
        <w:t xml:space="preserve">be </w:t>
      </w:r>
      <w:r w:rsidR="00AB433D">
        <w:t>able to actively address the inequality within the workplace</w:t>
      </w:r>
      <w:r w:rsidR="00D83411">
        <w:t>. This act also focuses on the concerns of gender inequality within the organisation, gender pay gap, biasness and many more. Whereas, this can be an efficient approach to maintain equality and diversity within the company that can help them to gain success and competitive advantage within the market.</w:t>
      </w:r>
      <w:r w:rsidR="00865990" w:rsidRPr="00865990">
        <w:br w:type="page"/>
      </w:r>
    </w:p>
    <w:p w14:paraId="52BC9024" w14:textId="1279855E" w:rsidR="00865990" w:rsidRDefault="00865990" w:rsidP="00CC2112">
      <w:pPr>
        <w:pStyle w:val="1"/>
      </w:pPr>
      <w:bookmarkStart w:id="6" w:name="_Toc101997763"/>
      <w:r w:rsidRPr="00865990">
        <w:lastRenderedPageBreak/>
        <w:t>Conclusion</w:t>
      </w:r>
      <w:bookmarkEnd w:id="6"/>
    </w:p>
    <w:p w14:paraId="7DC27ADA" w14:textId="7A82F535" w:rsidR="00865990" w:rsidRPr="00E50F9C" w:rsidRDefault="00E50F9C" w:rsidP="00E50F9C">
      <w:r>
        <w:t>The report has summarised information about managing people in an organisation that can result in high growth and success. Whereas, in the report, the result and importance of flexible working have been provided that can help in improving the diversity and inclusion within the Sainsbury’s, which can help the company to experience development.</w:t>
      </w:r>
      <w:r w:rsidR="00654CD3">
        <w:t xml:space="preserve"> The role of Human Resources in an organisation has been mentioned in order to encourage the process of diversity and inclusion with the help of flexible working. </w:t>
      </w:r>
      <w:r w:rsidR="002B5C7F">
        <w:t>The effect</w:t>
      </w:r>
      <w:r w:rsidR="00654CD3">
        <w:t xml:space="preserve"> of flexible working in relation to inequality </w:t>
      </w:r>
      <w:r w:rsidR="002B5C7F">
        <w:t>in</w:t>
      </w:r>
      <w:r w:rsidR="00654CD3">
        <w:t xml:space="preserve"> the workspace has been provided and the role of HR has been discussed as well to address the issues and factors of inequalities.</w:t>
      </w:r>
      <w:r w:rsidR="00865990" w:rsidRPr="00865990">
        <w:br w:type="page"/>
      </w:r>
    </w:p>
    <w:p w14:paraId="02663BBF" w14:textId="1988D9C4" w:rsidR="00CC2112" w:rsidRDefault="00865990" w:rsidP="00CC2112">
      <w:pPr>
        <w:pStyle w:val="1"/>
      </w:pPr>
      <w:bookmarkStart w:id="7" w:name="_Toc101997764"/>
      <w:r w:rsidRPr="00865990">
        <w:lastRenderedPageBreak/>
        <w:t>References</w:t>
      </w:r>
      <w:bookmarkEnd w:id="7"/>
    </w:p>
    <w:p w14:paraId="2A75B00F" w14:textId="77777777" w:rsidR="00E72DD8" w:rsidRPr="00E72DD8" w:rsidRDefault="00E72DD8" w:rsidP="00E72DD8">
      <w:pPr>
        <w:rPr>
          <w:rFonts w:cs="Times New Roman"/>
          <w:szCs w:val="24"/>
        </w:rPr>
      </w:pPr>
      <w:r w:rsidRPr="00E72DD8">
        <w:rPr>
          <w:rFonts w:cs="Times New Roman"/>
          <w:szCs w:val="24"/>
        </w:rPr>
        <w:t xml:space="preserve">about.sainsburys.co.uk, 2022. </w:t>
      </w:r>
      <w:r w:rsidRPr="00E72DD8">
        <w:rPr>
          <w:rFonts w:cs="Times New Roman"/>
          <w:i/>
          <w:iCs/>
          <w:szCs w:val="24"/>
        </w:rPr>
        <w:t xml:space="preserve">About us </w:t>
      </w:r>
      <w:r w:rsidRPr="00E72DD8">
        <w:rPr>
          <w:rFonts w:cs="Times New Roman"/>
          <w:szCs w:val="24"/>
        </w:rPr>
        <w:t>[Online] Available at: https://www.about.sainsburys.co.uk/about-us [Accessed 27 April 2022]</w:t>
      </w:r>
    </w:p>
    <w:p w14:paraId="7FEFE997" w14:textId="77777777" w:rsidR="00E72DD8" w:rsidRPr="00E72DD8" w:rsidRDefault="00E72DD8" w:rsidP="00E72DD8">
      <w:pPr>
        <w:rPr>
          <w:rFonts w:cs="Times New Roman"/>
          <w:szCs w:val="24"/>
        </w:rPr>
      </w:pPr>
      <w:r w:rsidRPr="00E72DD8">
        <w:rPr>
          <w:rFonts w:cs="Times New Roman"/>
          <w:szCs w:val="24"/>
        </w:rPr>
        <w:t xml:space="preserve">about.sainsburys.co.uk, 2022. </w:t>
      </w:r>
      <w:r w:rsidRPr="00E72DD8">
        <w:rPr>
          <w:rFonts w:cs="Times New Roman"/>
          <w:i/>
          <w:iCs/>
          <w:szCs w:val="24"/>
        </w:rPr>
        <w:t>An inclusive place to work and shop</w:t>
      </w:r>
      <w:r w:rsidRPr="00E72DD8">
        <w:rPr>
          <w:rFonts w:cs="Times New Roman"/>
          <w:szCs w:val="24"/>
        </w:rPr>
        <w:t xml:space="preserve"> [Online] Available at: https://www.about.sainsburys.co.uk/sustainability/better-for-everyone/diversity-and-inclusion [Accessed 27 April 2022]</w:t>
      </w:r>
    </w:p>
    <w:p w14:paraId="31E14443" w14:textId="77777777" w:rsidR="00E72DD8" w:rsidRPr="00E72DD8" w:rsidRDefault="00E72DD8" w:rsidP="00E72DD8">
      <w:pPr>
        <w:rPr>
          <w:rFonts w:cs="Times New Roman"/>
          <w:szCs w:val="24"/>
        </w:rPr>
      </w:pPr>
      <w:r w:rsidRPr="00E72DD8">
        <w:rPr>
          <w:rFonts w:cs="Times New Roman"/>
          <w:szCs w:val="24"/>
        </w:rPr>
        <w:t xml:space="preserve">aboutamazon.com, 2022. </w:t>
      </w:r>
      <w:r w:rsidRPr="00E72DD8">
        <w:rPr>
          <w:rFonts w:cs="Times New Roman"/>
          <w:i/>
          <w:iCs/>
          <w:szCs w:val="24"/>
        </w:rPr>
        <w:t>Our Upskilling Commitments</w:t>
      </w:r>
      <w:r w:rsidRPr="00E72DD8">
        <w:rPr>
          <w:rFonts w:cs="Times New Roman"/>
          <w:szCs w:val="24"/>
        </w:rPr>
        <w:t xml:space="preserve"> [Online] Available at: https://www.aboutamazon.com/impact/empowerment/training-for-the-public [Accessed 27 April 2022]</w:t>
      </w:r>
    </w:p>
    <w:p w14:paraId="2A04824D" w14:textId="77777777" w:rsidR="00E72DD8" w:rsidRPr="00E72DD8" w:rsidRDefault="00E72DD8" w:rsidP="00E72DD8">
      <w:pPr>
        <w:rPr>
          <w:rFonts w:cs="Times New Roman"/>
          <w:szCs w:val="24"/>
        </w:rPr>
      </w:pPr>
      <w:r w:rsidRPr="00E72DD8">
        <w:rPr>
          <w:rFonts w:cs="Times New Roman"/>
          <w:szCs w:val="24"/>
        </w:rPr>
        <w:t xml:space="preserve">acas.org.uk, 2021. </w:t>
      </w:r>
      <w:r w:rsidRPr="00E72DD8">
        <w:rPr>
          <w:rFonts w:cs="Times New Roman"/>
          <w:i/>
          <w:iCs/>
          <w:szCs w:val="24"/>
        </w:rPr>
        <w:t>New study reveals half of employers expect more flexible working requests from staff after the pandemic is over</w:t>
      </w:r>
      <w:r w:rsidRPr="00E72DD8">
        <w:rPr>
          <w:rFonts w:cs="Times New Roman"/>
          <w:szCs w:val="24"/>
        </w:rPr>
        <w:t xml:space="preserve"> [Online] Available at: https://www.acas.org.uk/new-study-reveals-half-of-employers-expect-more-flexible-working-after-pandemic#:~:text=Acas%20commissioned%20YouGov%20to%20ask,remotely%20part%20of%20the%20week [Accessed 27 April 2022]</w:t>
      </w:r>
    </w:p>
    <w:p w14:paraId="0A079426" w14:textId="77777777" w:rsidR="00E72DD8" w:rsidRPr="00E72DD8" w:rsidRDefault="00E72DD8" w:rsidP="00E72DD8">
      <w:pPr>
        <w:rPr>
          <w:rFonts w:cs="Times New Roman"/>
          <w:szCs w:val="24"/>
          <w:shd w:val="clear" w:color="auto" w:fill="FFFFFF"/>
        </w:rPr>
      </w:pPr>
      <w:r w:rsidRPr="00E72DD8">
        <w:rPr>
          <w:rFonts w:cs="Times New Roman"/>
          <w:szCs w:val="24"/>
          <w:shd w:val="clear" w:color="auto" w:fill="FFFFFF"/>
        </w:rPr>
        <w:t>Ahmad Azmy, S.E., 2018. Recruitment strategy to hire the best people for organization. </w:t>
      </w:r>
      <w:r w:rsidRPr="00E72DD8">
        <w:rPr>
          <w:rFonts w:cs="Times New Roman"/>
          <w:i/>
          <w:iCs/>
          <w:szCs w:val="24"/>
          <w:shd w:val="clear" w:color="auto" w:fill="FFFFFF"/>
        </w:rPr>
        <w:t>Journal of Management and Leadership</w:t>
      </w:r>
      <w:r w:rsidRPr="00E72DD8">
        <w:rPr>
          <w:rFonts w:cs="Times New Roman"/>
          <w:szCs w:val="24"/>
          <w:shd w:val="clear" w:color="auto" w:fill="FFFFFF"/>
        </w:rPr>
        <w:t>, </w:t>
      </w:r>
      <w:r w:rsidRPr="00E72DD8">
        <w:rPr>
          <w:rFonts w:cs="Times New Roman"/>
          <w:i/>
          <w:iCs/>
          <w:szCs w:val="24"/>
          <w:shd w:val="clear" w:color="auto" w:fill="FFFFFF"/>
        </w:rPr>
        <w:t>1</w:t>
      </w:r>
      <w:r w:rsidRPr="00E72DD8">
        <w:rPr>
          <w:rFonts w:cs="Times New Roman"/>
          <w:szCs w:val="24"/>
          <w:shd w:val="clear" w:color="auto" w:fill="FFFFFF"/>
        </w:rPr>
        <w:t>(2).</w:t>
      </w:r>
    </w:p>
    <w:p w14:paraId="5FCB36EA" w14:textId="77777777" w:rsidR="00E72DD8" w:rsidRPr="00E72DD8" w:rsidRDefault="00E72DD8" w:rsidP="00E72DD8">
      <w:pPr>
        <w:rPr>
          <w:rFonts w:cs="Times New Roman"/>
          <w:szCs w:val="24"/>
          <w:shd w:val="clear" w:color="auto" w:fill="FFFFFF"/>
        </w:rPr>
      </w:pPr>
      <w:r w:rsidRPr="00E72DD8">
        <w:rPr>
          <w:rFonts w:cs="Times New Roman"/>
          <w:szCs w:val="24"/>
          <w:shd w:val="clear" w:color="auto" w:fill="FFFFFF"/>
        </w:rPr>
        <w:t>Armstrong, M., 2020. </w:t>
      </w:r>
      <w:r w:rsidRPr="00E72DD8">
        <w:rPr>
          <w:rFonts w:cs="Times New Roman"/>
          <w:i/>
          <w:iCs/>
          <w:szCs w:val="24"/>
          <w:shd w:val="clear" w:color="auto" w:fill="FFFFFF"/>
        </w:rPr>
        <w:t>Armstrong's Handbook of Strategic Human Resource Management: Improve Business Performance Through Strategic People Management</w:t>
      </w:r>
      <w:r w:rsidRPr="00E72DD8">
        <w:rPr>
          <w:rFonts w:cs="Times New Roman"/>
          <w:szCs w:val="24"/>
          <w:shd w:val="clear" w:color="auto" w:fill="FFFFFF"/>
        </w:rPr>
        <w:t>. Kogan Page Publishers.</w:t>
      </w:r>
    </w:p>
    <w:p w14:paraId="1206A94B" w14:textId="77777777" w:rsidR="00E72DD8" w:rsidRPr="00E72DD8" w:rsidRDefault="00E72DD8" w:rsidP="00E72DD8">
      <w:pPr>
        <w:rPr>
          <w:rFonts w:cs="Times New Roman"/>
          <w:szCs w:val="24"/>
        </w:rPr>
      </w:pPr>
      <w:r w:rsidRPr="00E72DD8">
        <w:rPr>
          <w:rFonts w:cs="Times New Roman"/>
          <w:szCs w:val="24"/>
        </w:rPr>
        <w:t xml:space="preserve">bbc.com, 2021. </w:t>
      </w:r>
      <w:r w:rsidRPr="00E72DD8">
        <w:rPr>
          <w:rFonts w:cs="Times New Roman"/>
          <w:i/>
          <w:iCs/>
          <w:szCs w:val="24"/>
        </w:rPr>
        <w:t>Sainsbury's: Cost of Covid has been high</w:t>
      </w:r>
      <w:r w:rsidRPr="00E72DD8">
        <w:rPr>
          <w:rFonts w:cs="Times New Roman"/>
          <w:szCs w:val="24"/>
        </w:rPr>
        <w:t xml:space="preserve"> [Online] Available at: https://www.bbc.com/news/business-56912064 [Accessed 27 April 2022]</w:t>
      </w:r>
    </w:p>
    <w:p w14:paraId="24996682" w14:textId="77777777" w:rsidR="00E72DD8" w:rsidRPr="00E72DD8" w:rsidRDefault="00E72DD8" w:rsidP="00E72DD8">
      <w:pPr>
        <w:rPr>
          <w:rFonts w:cs="Times New Roman"/>
          <w:szCs w:val="24"/>
        </w:rPr>
      </w:pPr>
      <w:r w:rsidRPr="00E72DD8">
        <w:rPr>
          <w:rFonts w:cs="Times New Roman"/>
          <w:szCs w:val="24"/>
        </w:rPr>
        <w:t xml:space="preserve">blogs.lse.ac.uk, 2021. </w:t>
      </w:r>
      <w:r w:rsidRPr="00E72DD8">
        <w:rPr>
          <w:rFonts w:cs="Times New Roman"/>
          <w:i/>
          <w:iCs/>
          <w:szCs w:val="24"/>
        </w:rPr>
        <w:t>Why we should still be concerned about gender inequality in the UK</w:t>
      </w:r>
      <w:r w:rsidRPr="00E72DD8">
        <w:rPr>
          <w:rFonts w:cs="Times New Roman"/>
          <w:szCs w:val="24"/>
        </w:rPr>
        <w:t xml:space="preserve"> [Online] Available at: https://blogs.lse.ac.uk/socialbusinesshub/2021/11/15/why-we-should-still-be-concerned-about-gender-inequality-in-the-uk/ [Accessed 27 April 2022]</w:t>
      </w:r>
    </w:p>
    <w:p w14:paraId="2BFE4EE9" w14:textId="77777777" w:rsidR="00E72DD8" w:rsidRPr="00E72DD8" w:rsidRDefault="00E72DD8" w:rsidP="00E72DD8">
      <w:pPr>
        <w:rPr>
          <w:rFonts w:cs="Times New Roman"/>
          <w:szCs w:val="24"/>
        </w:rPr>
      </w:pPr>
      <w:r w:rsidRPr="00E72DD8">
        <w:rPr>
          <w:rFonts w:cs="Times New Roman"/>
          <w:szCs w:val="24"/>
          <w:shd w:val="clear" w:color="auto" w:fill="FFFFFF"/>
        </w:rPr>
        <w:t>Chung, H. and Van der Lippe, T., 2020. Flexible working, work–life balance, and gender equality: Introduction. </w:t>
      </w:r>
      <w:r w:rsidRPr="00E72DD8">
        <w:rPr>
          <w:rFonts w:cs="Times New Roman"/>
          <w:i/>
          <w:iCs/>
          <w:szCs w:val="24"/>
          <w:shd w:val="clear" w:color="auto" w:fill="FFFFFF"/>
        </w:rPr>
        <w:t>Social Indicators Research</w:t>
      </w:r>
      <w:r w:rsidRPr="00E72DD8">
        <w:rPr>
          <w:rFonts w:cs="Times New Roman"/>
          <w:szCs w:val="24"/>
          <w:shd w:val="clear" w:color="auto" w:fill="FFFFFF"/>
        </w:rPr>
        <w:t>, </w:t>
      </w:r>
      <w:r w:rsidRPr="00E72DD8">
        <w:rPr>
          <w:rFonts w:cs="Times New Roman"/>
          <w:i/>
          <w:iCs/>
          <w:szCs w:val="24"/>
          <w:shd w:val="clear" w:color="auto" w:fill="FFFFFF"/>
        </w:rPr>
        <w:t>151</w:t>
      </w:r>
      <w:r w:rsidRPr="00E72DD8">
        <w:rPr>
          <w:rFonts w:cs="Times New Roman"/>
          <w:szCs w:val="24"/>
          <w:shd w:val="clear" w:color="auto" w:fill="FFFFFF"/>
        </w:rPr>
        <w:t>(2), pp.365-381.</w:t>
      </w:r>
      <w:r w:rsidRPr="00E72DD8">
        <w:rPr>
          <w:rFonts w:cs="Times New Roman"/>
          <w:szCs w:val="24"/>
        </w:rPr>
        <w:t xml:space="preserve"> </w:t>
      </w:r>
    </w:p>
    <w:p w14:paraId="562617A3" w14:textId="77777777" w:rsidR="00E72DD8" w:rsidRPr="00E72DD8" w:rsidRDefault="00E72DD8" w:rsidP="00E72DD8">
      <w:pPr>
        <w:rPr>
          <w:rFonts w:cs="Times New Roman"/>
          <w:szCs w:val="24"/>
        </w:rPr>
      </w:pPr>
      <w:r w:rsidRPr="00E72DD8">
        <w:rPr>
          <w:rFonts w:cs="Times New Roman"/>
          <w:szCs w:val="24"/>
          <w:shd w:val="clear" w:color="auto" w:fill="FFFFFF"/>
        </w:rPr>
        <w:t>Chung, H., Birkett, H., Forbes, S. and Seo, H., 2021. Covid-19, flexible working, and implications for gender equality in the United Kingdom. </w:t>
      </w:r>
      <w:r w:rsidRPr="00E72DD8">
        <w:rPr>
          <w:rFonts w:cs="Times New Roman"/>
          <w:i/>
          <w:iCs/>
          <w:szCs w:val="24"/>
          <w:shd w:val="clear" w:color="auto" w:fill="FFFFFF"/>
        </w:rPr>
        <w:t>Gender &amp; Society</w:t>
      </w:r>
      <w:r w:rsidRPr="00E72DD8">
        <w:rPr>
          <w:rFonts w:cs="Times New Roman"/>
          <w:szCs w:val="24"/>
          <w:shd w:val="clear" w:color="auto" w:fill="FFFFFF"/>
        </w:rPr>
        <w:t>, </w:t>
      </w:r>
      <w:r w:rsidRPr="00E72DD8">
        <w:rPr>
          <w:rFonts w:cs="Times New Roman"/>
          <w:i/>
          <w:iCs/>
          <w:szCs w:val="24"/>
          <w:shd w:val="clear" w:color="auto" w:fill="FFFFFF"/>
        </w:rPr>
        <w:t>35</w:t>
      </w:r>
      <w:r w:rsidRPr="00E72DD8">
        <w:rPr>
          <w:rFonts w:cs="Times New Roman"/>
          <w:szCs w:val="24"/>
          <w:shd w:val="clear" w:color="auto" w:fill="FFFFFF"/>
        </w:rPr>
        <w:t>(2), pp.218-232.</w:t>
      </w:r>
    </w:p>
    <w:p w14:paraId="0E659DA3" w14:textId="77777777" w:rsidR="00E72DD8" w:rsidRPr="00E72DD8" w:rsidRDefault="00E72DD8" w:rsidP="00E72DD8">
      <w:pPr>
        <w:rPr>
          <w:rFonts w:cs="Times New Roman"/>
          <w:szCs w:val="24"/>
        </w:rPr>
      </w:pPr>
      <w:r w:rsidRPr="00E72DD8">
        <w:rPr>
          <w:rFonts w:cs="Times New Roman"/>
          <w:szCs w:val="24"/>
          <w:shd w:val="clear" w:color="auto" w:fill="FFFFFF"/>
        </w:rPr>
        <w:lastRenderedPageBreak/>
        <w:t>Cletus, H.E., Mahmood, N.A., Umar, A. and Ibrahim, A.D., 2018. Prospects and challenges of workplace diversity in modern day organizations: A critical review. </w:t>
      </w:r>
      <w:r w:rsidRPr="00E72DD8">
        <w:rPr>
          <w:rFonts w:cs="Times New Roman"/>
          <w:i/>
          <w:iCs/>
          <w:szCs w:val="24"/>
          <w:shd w:val="clear" w:color="auto" w:fill="FFFFFF"/>
        </w:rPr>
        <w:t>HOLISTICA–Journal of Business and Public Administration</w:t>
      </w:r>
      <w:r w:rsidRPr="00E72DD8">
        <w:rPr>
          <w:rFonts w:cs="Times New Roman"/>
          <w:szCs w:val="24"/>
          <w:shd w:val="clear" w:color="auto" w:fill="FFFFFF"/>
        </w:rPr>
        <w:t>, </w:t>
      </w:r>
      <w:r w:rsidRPr="00E72DD8">
        <w:rPr>
          <w:rFonts w:cs="Times New Roman"/>
          <w:i/>
          <w:iCs/>
          <w:szCs w:val="24"/>
          <w:shd w:val="clear" w:color="auto" w:fill="FFFFFF"/>
        </w:rPr>
        <w:t>9</w:t>
      </w:r>
      <w:r w:rsidRPr="00E72DD8">
        <w:rPr>
          <w:rFonts w:cs="Times New Roman"/>
          <w:szCs w:val="24"/>
          <w:shd w:val="clear" w:color="auto" w:fill="FFFFFF"/>
        </w:rPr>
        <w:t>(2), pp.35-52.</w:t>
      </w:r>
    </w:p>
    <w:p w14:paraId="6B5D2C63" w14:textId="77777777" w:rsidR="00E72DD8" w:rsidRPr="00E72DD8" w:rsidRDefault="00E72DD8" w:rsidP="00E72DD8">
      <w:pPr>
        <w:rPr>
          <w:rFonts w:cs="Times New Roman"/>
          <w:szCs w:val="24"/>
          <w:shd w:val="clear" w:color="auto" w:fill="FFFFFF"/>
        </w:rPr>
      </w:pPr>
      <w:r w:rsidRPr="00E72DD8">
        <w:rPr>
          <w:rFonts w:cs="Times New Roman"/>
          <w:szCs w:val="24"/>
          <w:shd w:val="clear" w:color="auto" w:fill="FFFFFF"/>
        </w:rPr>
        <w:t>Cobaleda-Cordero, A., Babapour, M. and Karlsson, M., 2020. Flexible office, flexible working? A post-relocation study on how and why university employees use a combi-office for their activities at hand. </w:t>
      </w:r>
      <w:r w:rsidRPr="00E72DD8">
        <w:rPr>
          <w:rFonts w:cs="Times New Roman"/>
          <w:i/>
          <w:iCs/>
          <w:szCs w:val="24"/>
          <w:shd w:val="clear" w:color="auto" w:fill="FFFFFF"/>
        </w:rPr>
        <w:t>International Journal of Human Factors and Ergonomics</w:t>
      </w:r>
      <w:r w:rsidRPr="00E72DD8">
        <w:rPr>
          <w:rFonts w:cs="Times New Roman"/>
          <w:szCs w:val="24"/>
          <w:shd w:val="clear" w:color="auto" w:fill="FFFFFF"/>
        </w:rPr>
        <w:t>, </w:t>
      </w:r>
      <w:r w:rsidRPr="00E72DD8">
        <w:rPr>
          <w:rFonts w:cs="Times New Roman"/>
          <w:i/>
          <w:iCs/>
          <w:szCs w:val="24"/>
          <w:shd w:val="clear" w:color="auto" w:fill="FFFFFF"/>
        </w:rPr>
        <w:t>7</w:t>
      </w:r>
      <w:r w:rsidRPr="00E72DD8">
        <w:rPr>
          <w:rFonts w:cs="Times New Roman"/>
          <w:szCs w:val="24"/>
          <w:shd w:val="clear" w:color="auto" w:fill="FFFFFF"/>
        </w:rPr>
        <w:t>(1), pp.26-54.</w:t>
      </w:r>
    </w:p>
    <w:p w14:paraId="707CB850" w14:textId="77777777" w:rsidR="00E72DD8" w:rsidRPr="00E72DD8" w:rsidRDefault="00E72DD8" w:rsidP="00E72DD8">
      <w:pPr>
        <w:rPr>
          <w:rFonts w:cs="Times New Roman"/>
          <w:szCs w:val="24"/>
        </w:rPr>
      </w:pPr>
      <w:r w:rsidRPr="00E72DD8">
        <w:rPr>
          <w:rFonts w:cs="Times New Roman"/>
          <w:szCs w:val="24"/>
          <w:shd w:val="clear" w:color="auto" w:fill="FFFFFF"/>
        </w:rPr>
        <w:t>de Aquino, C.T.E. and Robertson, R.W., 2018. </w:t>
      </w:r>
      <w:r w:rsidRPr="00E72DD8">
        <w:rPr>
          <w:rFonts w:cs="Times New Roman"/>
          <w:i/>
          <w:iCs/>
          <w:szCs w:val="24"/>
          <w:shd w:val="clear" w:color="auto" w:fill="FFFFFF"/>
        </w:rPr>
        <w:t>Diversity and inclusion in the global workplace</w:t>
      </w:r>
      <w:r w:rsidRPr="00E72DD8">
        <w:rPr>
          <w:rFonts w:cs="Times New Roman"/>
          <w:szCs w:val="24"/>
          <w:shd w:val="clear" w:color="auto" w:fill="FFFFFF"/>
        </w:rPr>
        <w:t>. Springer.</w:t>
      </w:r>
    </w:p>
    <w:p w14:paraId="7BB7DA0F" w14:textId="77777777" w:rsidR="00E72DD8" w:rsidRPr="00E72DD8" w:rsidRDefault="00E72DD8" w:rsidP="00E72DD8">
      <w:pPr>
        <w:rPr>
          <w:rFonts w:cs="Times New Roman"/>
          <w:szCs w:val="24"/>
        </w:rPr>
      </w:pPr>
      <w:r w:rsidRPr="00E72DD8">
        <w:rPr>
          <w:rFonts w:cs="Times New Roman"/>
          <w:szCs w:val="24"/>
          <w:shd w:val="clear" w:color="auto" w:fill="FFFFFF"/>
        </w:rPr>
        <w:t>Hörning, K.H., Gerhard, A. and Michailow, M., 2018. </w:t>
      </w:r>
      <w:r w:rsidRPr="00E72DD8">
        <w:rPr>
          <w:rFonts w:cs="Times New Roman"/>
          <w:i/>
          <w:iCs/>
          <w:szCs w:val="24"/>
          <w:shd w:val="clear" w:color="auto" w:fill="FFFFFF"/>
        </w:rPr>
        <w:t>Time pioneers: Flexible working time and new lifestyles</w:t>
      </w:r>
      <w:r w:rsidRPr="00E72DD8">
        <w:rPr>
          <w:rFonts w:cs="Times New Roman"/>
          <w:szCs w:val="24"/>
          <w:shd w:val="clear" w:color="auto" w:fill="FFFFFF"/>
        </w:rPr>
        <w:t>. John Wiley &amp; Sons.</w:t>
      </w:r>
    </w:p>
    <w:p w14:paraId="57355B2C" w14:textId="77777777" w:rsidR="00E72DD8" w:rsidRPr="00E72DD8" w:rsidRDefault="00E72DD8" w:rsidP="00E72DD8">
      <w:pPr>
        <w:rPr>
          <w:rFonts w:cs="Times New Roman"/>
          <w:szCs w:val="24"/>
        </w:rPr>
      </w:pPr>
      <w:r w:rsidRPr="00E72DD8">
        <w:rPr>
          <w:rFonts w:cs="Times New Roman"/>
          <w:szCs w:val="24"/>
          <w:shd w:val="clear" w:color="auto" w:fill="FFFFFF"/>
        </w:rPr>
        <w:t>Külli, B., 2019. Factory and production problems to scientific management societies: Legitimacy of the scientific management movement. </w:t>
      </w:r>
      <w:r w:rsidRPr="00E72DD8">
        <w:rPr>
          <w:rFonts w:cs="Times New Roman"/>
          <w:i/>
          <w:iCs/>
          <w:szCs w:val="24"/>
          <w:shd w:val="clear" w:color="auto" w:fill="FFFFFF"/>
        </w:rPr>
        <w:t>Istanbul Management Journal</w:t>
      </w:r>
      <w:r w:rsidRPr="00E72DD8">
        <w:rPr>
          <w:rFonts w:cs="Times New Roman"/>
          <w:szCs w:val="24"/>
          <w:shd w:val="clear" w:color="auto" w:fill="FFFFFF"/>
        </w:rPr>
        <w:t>, (87), pp.159-177.</w:t>
      </w:r>
    </w:p>
    <w:p w14:paraId="34F78C37" w14:textId="77777777" w:rsidR="00E72DD8" w:rsidRPr="00E72DD8" w:rsidRDefault="00E72DD8" w:rsidP="00E72DD8">
      <w:pPr>
        <w:rPr>
          <w:rFonts w:cs="Times New Roman"/>
          <w:szCs w:val="24"/>
        </w:rPr>
      </w:pPr>
      <w:r w:rsidRPr="00E72DD8">
        <w:rPr>
          <w:rFonts w:cs="Times New Roman"/>
          <w:szCs w:val="24"/>
        </w:rPr>
        <w:t xml:space="preserve">lancaster.ac.uk, 2021. </w:t>
      </w:r>
      <w:r w:rsidRPr="00E72DD8">
        <w:rPr>
          <w:rFonts w:cs="Times New Roman"/>
          <w:i/>
          <w:iCs/>
          <w:szCs w:val="24"/>
        </w:rPr>
        <w:t>Outdated attitudes risk widening inequalities in hybrid workplace, think-tank warns</w:t>
      </w:r>
      <w:r w:rsidRPr="00E72DD8">
        <w:rPr>
          <w:rFonts w:cs="Times New Roman"/>
          <w:szCs w:val="24"/>
        </w:rPr>
        <w:t xml:space="preserve"> [Online] Available at: https://www.lancaster.ac.uk/news/outdated-attitudes-risk-widening-inequalities-in-hybrid-workplace-think-tank-warns [Accessed 27 April 2022]</w:t>
      </w:r>
    </w:p>
    <w:p w14:paraId="17CADCAB" w14:textId="77777777" w:rsidR="00E72DD8" w:rsidRPr="00E72DD8" w:rsidRDefault="00E72DD8" w:rsidP="00E72DD8">
      <w:pPr>
        <w:rPr>
          <w:rFonts w:cs="Times New Roman"/>
          <w:szCs w:val="24"/>
        </w:rPr>
      </w:pPr>
      <w:r w:rsidRPr="00E72DD8">
        <w:rPr>
          <w:rFonts w:cs="Times New Roman"/>
          <w:szCs w:val="24"/>
        </w:rPr>
        <w:t xml:space="preserve">legislation.gov.uk, 2022. </w:t>
      </w:r>
      <w:r w:rsidRPr="00E72DD8">
        <w:rPr>
          <w:rFonts w:cs="Times New Roman"/>
          <w:i/>
          <w:iCs/>
          <w:szCs w:val="24"/>
        </w:rPr>
        <w:t xml:space="preserve">The Equality Act 2010 (Gender Pay Gap Information) Regulations 2017 </w:t>
      </w:r>
      <w:r w:rsidRPr="00E72DD8">
        <w:rPr>
          <w:rFonts w:cs="Times New Roman"/>
          <w:szCs w:val="24"/>
        </w:rPr>
        <w:t>[Online] Available at: https://www.legislation.gov.uk/ukdsi/2017/9780111152010 [Accessed 27 April 2022]</w:t>
      </w:r>
    </w:p>
    <w:p w14:paraId="5C8058EC" w14:textId="77777777" w:rsidR="00E72DD8" w:rsidRPr="00E72DD8" w:rsidRDefault="00E72DD8" w:rsidP="00E72DD8">
      <w:pPr>
        <w:rPr>
          <w:rFonts w:cs="Times New Roman"/>
          <w:szCs w:val="24"/>
        </w:rPr>
      </w:pPr>
      <w:r w:rsidRPr="00E72DD8">
        <w:rPr>
          <w:rFonts w:cs="Times New Roman"/>
          <w:szCs w:val="24"/>
        </w:rPr>
        <w:t xml:space="preserve">Partridge. J., 2021. </w:t>
      </w:r>
      <w:r w:rsidRPr="00E72DD8">
        <w:rPr>
          <w:rFonts w:cs="Times New Roman"/>
          <w:i/>
          <w:iCs/>
          <w:szCs w:val="24"/>
        </w:rPr>
        <w:t>Switch to more home working after Covid ‘will make gender inequality worse’</w:t>
      </w:r>
      <w:r w:rsidRPr="00E72DD8">
        <w:rPr>
          <w:rFonts w:cs="Times New Roman"/>
          <w:szCs w:val="24"/>
        </w:rPr>
        <w:t xml:space="preserve"> [Online] Available at: https://www.theguardian.com/business/2021/jun/19/switch-to-more-home-working-after-covid-will-make-gender-inequality-worse [Accessed 27 April 2022]</w:t>
      </w:r>
    </w:p>
    <w:p w14:paraId="42E0368B" w14:textId="77777777" w:rsidR="00E72DD8" w:rsidRPr="00E72DD8" w:rsidRDefault="00E72DD8" w:rsidP="00E72DD8">
      <w:pPr>
        <w:rPr>
          <w:rFonts w:cs="Times New Roman"/>
          <w:szCs w:val="24"/>
        </w:rPr>
      </w:pPr>
      <w:r w:rsidRPr="00E72DD8">
        <w:rPr>
          <w:rFonts w:cs="Times New Roman"/>
          <w:szCs w:val="24"/>
        </w:rPr>
        <w:t xml:space="preserve">reuters.com, 2022. </w:t>
      </w:r>
      <w:r w:rsidRPr="00E72DD8">
        <w:rPr>
          <w:rFonts w:cs="Times New Roman"/>
          <w:i/>
          <w:iCs/>
          <w:szCs w:val="24"/>
        </w:rPr>
        <w:t xml:space="preserve">Sainsbury's raises profit outlook on strong Christmas sales </w:t>
      </w:r>
      <w:r w:rsidRPr="00E72DD8">
        <w:rPr>
          <w:rFonts w:cs="Times New Roman"/>
          <w:szCs w:val="24"/>
        </w:rPr>
        <w:t>[Online] Available at: https://www.reuters.com/business/sainsburys-raises-profit-outlook-despite-christmas-sales-fall-2022-01-12/ [Accessed 27 April 2022]</w:t>
      </w:r>
    </w:p>
    <w:p w14:paraId="2E99400C" w14:textId="77777777" w:rsidR="00E72DD8" w:rsidRPr="00E72DD8" w:rsidRDefault="00E72DD8" w:rsidP="00E72DD8">
      <w:pPr>
        <w:rPr>
          <w:rFonts w:cs="Times New Roman"/>
          <w:szCs w:val="24"/>
        </w:rPr>
      </w:pPr>
      <w:r w:rsidRPr="00E72DD8">
        <w:rPr>
          <w:rFonts w:cs="Times New Roman"/>
          <w:szCs w:val="24"/>
        </w:rPr>
        <w:t xml:space="preserve">sainsburys.jobs, 2022. </w:t>
      </w:r>
      <w:r w:rsidRPr="00E72DD8">
        <w:rPr>
          <w:rFonts w:cs="Times New Roman"/>
          <w:i/>
          <w:iCs/>
          <w:szCs w:val="24"/>
        </w:rPr>
        <w:t>Benefits</w:t>
      </w:r>
      <w:r w:rsidRPr="00E72DD8">
        <w:rPr>
          <w:rFonts w:cs="Times New Roman"/>
          <w:szCs w:val="24"/>
        </w:rPr>
        <w:t xml:space="preserve"> [Online] Available at: https://sainsburys.jobs/working-for-us/benefits/ [Accessed 27 April 2022]</w:t>
      </w:r>
    </w:p>
    <w:p w14:paraId="483AE620" w14:textId="77777777" w:rsidR="00E72DD8" w:rsidRPr="00E72DD8" w:rsidRDefault="00E72DD8" w:rsidP="00E72DD8">
      <w:pPr>
        <w:rPr>
          <w:rFonts w:cs="Times New Roman"/>
          <w:szCs w:val="24"/>
        </w:rPr>
      </w:pPr>
      <w:r w:rsidRPr="00E72DD8">
        <w:rPr>
          <w:rFonts w:cs="Times New Roman"/>
          <w:szCs w:val="24"/>
        </w:rPr>
        <w:lastRenderedPageBreak/>
        <w:t xml:space="preserve">smeloans.co.uk, 2021. </w:t>
      </w:r>
      <w:r w:rsidRPr="00E72DD8">
        <w:rPr>
          <w:rFonts w:cs="Times New Roman"/>
          <w:i/>
          <w:iCs/>
          <w:szCs w:val="24"/>
        </w:rPr>
        <w:t>MEN More Likely Than Women To Feel Discriminated At Work On The Grounds Of Gender</w:t>
      </w:r>
      <w:r w:rsidRPr="00E72DD8">
        <w:rPr>
          <w:rFonts w:cs="Times New Roman"/>
          <w:szCs w:val="24"/>
        </w:rPr>
        <w:t xml:space="preserve"> [Online] Available at: https://www.smeloans.co.uk/blog/gender-discrimination-in-the-workplace/ [Accessed 27 April 2022]</w:t>
      </w:r>
    </w:p>
    <w:p w14:paraId="169B2455" w14:textId="77777777" w:rsidR="00E72DD8" w:rsidRPr="00E72DD8" w:rsidRDefault="00E72DD8" w:rsidP="00E72DD8">
      <w:pPr>
        <w:rPr>
          <w:rFonts w:cs="Times New Roman"/>
          <w:szCs w:val="24"/>
        </w:rPr>
      </w:pPr>
      <w:r w:rsidRPr="00E72DD8">
        <w:rPr>
          <w:rFonts w:cs="Times New Roman"/>
          <w:szCs w:val="24"/>
          <w:shd w:val="clear" w:color="auto" w:fill="FFFFFF"/>
        </w:rPr>
        <w:t>Soltero, J.M., 2018. </w:t>
      </w:r>
      <w:r w:rsidRPr="00E72DD8">
        <w:rPr>
          <w:rFonts w:cs="Times New Roman"/>
          <w:i/>
          <w:iCs/>
          <w:szCs w:val="24"/>
          <w:shd w:val="clear" w:color="auto" w:fill="FFFFFF"/>
        </w:rPr>
        <w:t>Inequality in the workplace: Underemployment among Mexicans, African Americans, and Whites</w:t>
      </w:r>
      <w:r w:rsidRPr="00E72DD8">
        <w:rPr>
          <w:rFonts w:cs="Times New Roman"/>
          <w:szCs w:val="24"/>
          <w:shd w:val="clear" w:color="auto" w:fill="FFFFFF"/>
        </w:rPr>
        <w:t>. Routledge.</w:t>
      </w:r>
    </w:p>
    <w:p w14:paraId="58CD8806" w14:textId="77777777" w:rsidR="00E72DD8" w:rsidRPr="00E72DD8" w:rsidRDefault="00E72DD8" w:rsidP="00E72DD8">
      <w:pPr>
        <w:rPr>
          <w:rFonts w:cs="Times New Roman"/>
          <w:szCs w:val="24"/>
        </w:rPr>
      </w:pPr>
      <w:r w:rsidRPr="00E72DD8">
        <w:rPr>
          <w:rFonts w:cs="Times New Roman"/>
          <w:szCs w:val="24"/>
        </w:rPr>
        <w:t xml:space="preserve">statista.com, 2022. </w:t>
      </w:r>
      <w:r w:rsidRPr="00E72DD8">
        <w:rPr>
          <w:rFonts w:cs="Times New Roman"/>
          <w:i/>
          <w:iCs/>
          <w:szCs w:val="24"/>
        </w:rPr>
        <w:t>Annual retail sales of Sainsbury's in the United Kingdom (UK) from financial year 2008/09 to 2020/21</w:t>
      </w:r>
      <w:r w:rsidRPr="00E72DD8">
        <w:rPr>
          <w:rFonts w:cs="Times New Roman"/>
          <w:szCs w:val="24"/>
        </w:rPr>
        <w:t xml:space="preserve"> [Online] Available at: https://www.statista.com/statistics/386342/sainsburys-retail-sales-united-kingdom-uk/ [Accessed 27 April 2022]</w:t>
      </w:r>
    </w:p>
    <w:p w14:paraId="5FE84264" w14:textId="77777777" w:rsidR="00E72DD8" w:rsidRPr="00E72DD8" w:rsidRDefault="00E72DD8" w:rsidP="00E72DD8">
      <w:pPr>
        <w:rPr>
          <w:rFonts w:cs="Times New Roman"/>
          <w:szCs w:val="24"/>
        </w:rPr>
      </w:pPr>
      <w:r w:rsidRPr="00E72DD8">
        <w:rPr>
          <w:rFonts w:cs="Times New Roman"/>
          <w:szCs w:val="24"/>
        </w:rPr>
        <w:t xml:space="preserve">statista.com, 2022. </w:t>
      </w:r>
      <w:r w:rsidRPr="00E72DD8">
        <w:rPr>
          <w:rFonts w:cs="Times New Roman"/>
          <w:i/>
          <w:iCs/>
          <w:szCs w:val="24"/>
        </w:rPr>
        <w:t>Unemployment rate in the United Kingdom from May 1992 to February 2022, by country</w:t>
      </w:r>
      <w:r w:rsidRPr="00E72DD8">
        <w:rPr>
          <w:rFonts w:cs="Times New Roman"/>
          <w:szCs w:val="24"/>
        </w:rPr>
        <w:t xml:space="preserve"> [Online] Available at: https://www.statista.com/statistics/279990/unemployment-rate-in-the-uk-by-country/ [Accessed 27 April 2022]</w:t>
      </w:r>
    </w:p>
    <w:p w14:paraId="6C47EBF7" w14:textId="77777777" w:rsidR="00E72DD8" w:rsidRPr="00E72DD8" w:rsidRDefault="00E72DD8" w:rsidP="00E72DD8">
      <w:pPr>
        <w:rPr>
          <w:rFonts w:cs="Times New Roman"/>
          <w:szCs w:val="24"/>
        </w:rPr>
      </w:pPr>
      <w:r w:rsidRPr="00E72DD8">
        <w:rPr>
          <w:rFonts w:cs="Times New Roman"/>
          <w:szCs w:val="24"/>
        </w:rPr>
        <w:t xml:space="preserve">statista.com, 2022. </w:t>
      </w:r>
      <w:r w:rsidRPr="00E72DD8">
        <w:rPr>
          <w:rFonts w:cs="Times New Roman"/>
          <w:i/>
          <w:iCs/>
          <w:szCs w:val="24"/>
        </w:rPr>
        <w:t>Work from home &amp; remote work - Statistics &amp; Facts</w:t>
      </w:r>
      <w:r w:rsidRPr="00E72DD8">
        <w:rPr>
          <w:rFonts w:cs="Times New Roman"/>
          <w:szCs w:val="24"/>
        </w:rPr>
        <w:t xml:space="preserve"> [Online] Available at: https://www.statista.com/topics/6565/work-from-home-and-remote-work/#dossierKeyfigures [Accessed 27 April 2022]</w:t>
      </w:r>
    </w:p>
    <w:p w14:paraId="1E344351" w14:textId="77777777" w:rsidR="00E72DD8" w:rsidRPr="00E72DD8" w:rsidRDefault="00E72DD8" w:rsidP="00E72DD8">
      <w:pPr>
        <w:rPr>
          <w:rFonts w:cs="Times New Roman"/>
          <w:szCs w:val="24"/>
        </w:rPr>
      </w:pPr>
      <w:r w:rsidRPr="00E72DD8">
        <w:rPr>
          <w:rFonts w:cs="Times New Roman"/>
          <w:szCs w:val="24"/>
          <w:shd w:val="clear" w:color="auto" w:fill="FFFFFF"/>
        </w:rPr>
        <w:t>Stewart, G.L. and Brown, K.G., 2019. </w:t>
      </w:r>
      <w:r w:rsidRPr="00E72DD8">
        <w:rPr>
          <w:rFonts w:cs="Times New Roman"/>
          <w:i/>
          <w:iCs/>
          <w:szCs w:val="24"/>
          <w:shd w:val="clear" w:color="auto" w:fill="FFFFFF"/>
        </w:rPr>
        <w:t>Human resource management</w:t>
      </w:r>
      <w:r w:rsidRPr="00E72DD8">
        <w:rPr>
          <w:rFonts w:cs="Times New Roman"/>
          <w:szCs w:val="24"/>
          <w:shd w:val="clear" w:color="auto" w:fill="FFFFFF"/>
        </w:rPr>
        <w:t>. John Wiley &amp; Sons.</w:t>
      </w:r>
    </w:p>
    <w:p w14:paraId="56073325" w14:textId="77777777" w:rsidR="00E72DD8" w:rsidRPr="00E72DD8" w:rsidRDefault="00E72DD8" w:rsidP="00E72DD8">
      <w:pPr>
        <w:rPr>
          <w:rFonts w:cs="Times New Roman"/>
          <w:szCs w:val="24"/>
        </w:rPr>
      </w:pPr>
      <w:r w:rsidRPr="00E72DD8">
        <w:rPr>
          <w:rFonts w:cs="Times New Roman"/>
          <w:szCs w:val="24"/>
          <w:shd w:val="clear" w:color="auto" w:fill="FFFFFF"/>
        </w:rPr>
        <w:t>Stone, R.J., Cox, A. and Gavin, M., 2020. </w:t>
      </w:r>
      <w:r w:rsidRPr="00E72DD8">
        <w:rPr>
          <w:rFonts w:cs="Times New Roman"/>
          <w:i/>
          <w:iCs/>
          <w:szCs w:val="24"/>
          <w:shd w:val="clear" w:color="auto" w:fill="FFFFFF"/>
        </w:rPr>
        <w:t>Human resource management</w:t>
      </w:r>
      <w:r w:rsidRPr="00E72DD8">
        <w:rPr>
          <w:rFonts w:cs="Times New Roman"/>
          <w:szCs w:val="24"/>
          <w:shd w:val="clear" w:color="auto" w:fill="FFFFFF"/>
        </w:rPr>
        <w:t>. John Wiley &amp; Sons.</w:t>
      </w:r>
    </w:p>
    <w:p w14:paraId="6D41FF89" w14:textId="77777777" w:rsidR="00E72DD8" w:rsidRPr="00E72DD8" w:rsidRDefault="00E72DD8" w:rsidP="00E72DD8">
      <w:pPr>
        <w:rPr>
          <w:rFonts w:cs="Times New Roman"/>
          <w:szCs w:val="24"/>
        </w:rPr>
      </w:pPr>
      <w:r w:rsidRPr="00E72DD8">
        <w:rPr>
          <w:rFonts w:cs="Times New Roman"/>
          <w:szCs w:val="24"/>
          <w:shd w:val="clear" w:color="auto" w:fill="FFFFFF"/>
        </w:rPr>
        <w:t>Yalina, N., 2020, January. Digital Workplace Implementation To Promote Gender Equality. In </w:t>
      </w:r>
      <w:r w:rsidRPr="00E72DD8">
        <w:rPr>
          <w:rFonts w:cs="Times New Roman"/>
          <w:i/>
          <w:iCs/>
          <w:szCs w:val="24"/>
          <w:shd w:val="clear" w:color="auto" w:fill="FFFFFF"/>
        </w:rPr>
        <w:t>International Conference on Research and Academic Community Services (ICRACOS 2019)</w:t>
      </w:r>
      <w:r w:rsidRPr="00E72DD8">
        <w:rPr>
          <w:rFonts w:cs="Times New Roman"/>
          <w:szCs w:val="24"/>
          <w:shd w:val="clear" w:color="auto" w:fill="FFFFFF"/>
        </w:rPr>
        <w:t> (pp. 1-5). Atlantis Press.</w:t>
      </w:r>
    </w:p>
    <w:sectPr w:rsidR="00E72DD8" w:rsidRPr="00E72DD8" w:rsidSect="009804B0">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ACBF1" w14:textId="77777777" w:rsidR="009E3F85" w:rsidRDefault="009E3F85" w:rsidP="009804B0">
      <w:pPr>
        <w:spacing w:after="0" w:line="240" w:lineRule="auto"/>
      </w:pPr>
      <w:r>
        <w:separator/>
      </w:r>
    </w:p>
  </w:endnote>
  <w:endnote w:type="continuationSeparator" w:id="0">
    <w:p w14:paraId="47E0FD97" w14:textId="77777777" w:rsidR="009E3F85" w:rsidRDefault="009E3F85" w:rsidP="00980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51020607"/>
      <w:docPartObj>
        <w:docPartGallery w:val="Page Numbers (Bottom of Page)"/>
        <w:docPartUnique/>
      </w:docPartObj>
    </w:sdtPr>
    <w:sdtEndPr>
      <w:rPr>
        <w:noProof/>
      </w:rPr>
    </w:sdtEndPr>
    <w:sdtContent>
      <w:p w14:paraId="6C9E1E77" w14:textId="6C6EA358" w:rsidR="009804B0" w:rsidRDefault="009804B0">
        <w:pPr>
          <w:pStyle w:val="a7"/>
          <w:jc w:val="right"/>
        </w:pPr>
        <w:r>
          <w:rPr>
            <w:noProof w:val="0"/>
          </w:rPr>
          <w:fldChar w:fldCharType="begin"/>
        </w:r>
        <w:r>
          <w:instrText xml:space="preserve"> PAGE   \* MERGEFORMAT </w:instrText>
        </w:r>
        <w:r>
          <w:rPr>
            <w:noProof w:val="0"/>
          </w:rPr>
          <w:fldChar w:fldCharType="separate"/>
        </w:r>
        <w:r>
          <w:t>2</w:t>
        </w:r>
        <w:r>
          <w:fldChar w:fldCharType="end"/>
        </w:r>
      </w:p>
    </w:sdtContent>
  </w:sdt>
  <w:p w14:paraId="2AFFBE95" w14:textId="77777777" w:rsidR="009804B0" w:rsidRDefault="009804B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DDAAE" w14:textId="77777777" w:rsidR="009E3F85" w:rsidRDefault="009E3F85" w:rsidP="009804B0">
      <w:pPr>
        <w:spacing w:after="0" w:line="240" w:lineRule="auto"/>
      </w:pPr>
      <w:r>
        <w:separator/>
      </w:r>
    </w:p>
  </w:footnote>
  <w:footnote w:type="continuationSeparator" w:id="0">
    <w:p w14:paraId="1F64FAD0" w14:textId="77777777" w:rsidR="009E3F85" w:rsidRDefault="009E3F85" w:rsidP="009804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1tzA2Mja1MDQyNDdR0lEKTi0uzszPAykwrAUACDEJhSwAAAA="/>
  </w:docVars>
  <w:rsids>
    <w:rsidRoot w:val="00CC2112"/>
    <w:rsid w:val="00075E6C"/>
    <w:rsid w:val="000A5358"/>
    <w:rsid w:val="000B264A"/>
    <w:rsid w:val="000F3207"/>
    <w:rsid w:val="00140E0C"/>
    <w:rsid w:val="00174195"/>
    <w:rsid w:val="001C37FD"/>
    <w:rsid w:val="001C6840"/>
    <w:rsid w:val="0021133D"/>
    <w:rsid w:val="002268C3"/>
    <w:rsid w:val="0023788A"/>
    <w:rsid w:val="0024396B"/>
    <w:rsid w:val="002B5C7F"/>
    <w:rsid w:val="002C4122"/>
    <w:rsid w:val="002E7826"/>
    <w:rsid w:val="003C50F9"/>
    <w:rsid w:val="003C70A6"/>
    <w:rsid w:val="00431297"/>
    <w:rsid w:val="00452EC4"/>
    <w:rsid w:val="00455628"/>
    <w:rsid w:val="00473197"/>
    <w:rsid w:val="004A5C1F"/>
    <w:rsid w:val="004B4E08"/>
    <w:rsid w:val="004B5BF7"/>
    <w:rsid w:val="004D0861"/>
    <w:rsid w:val="004E2C3B"/>
    <w:rsid w:val="004E32FF"/>
    <w:rsid w:val="00531C7F"/>
    <w:rsid w:val="005450E1"/>
    <w:rsid w:val="00591367"/>
    <w:rsid w:val="005B24AF"/>
    <w:rsid w:val="00600108"/>
    <w:rsid w:val="00616435"/>
    <w:rsid w:val="006351FF"/>
    <w:rsid w:val="0064418D"/>
    <w:rsid w:val="0065408B"/>
    <w:rsid w:val="00654CD3"/>
    <w:rsid w:val="007B6751"/>
    <w:rsid w:val="007E3A64"/>
    <w:rsid w:val="00865990"/>
    <w:rsid w:val="00885925"/>
    <w:rsid w:val="00893FAF"/>
    <w:rsid w:val="008A2051"/>
    <w:rsid w:val="00902C50"/>
    <w:rsid w:val="0096392E"/>
    <w:rsid w:val="009804B0"/>
    <w:rsid w:val="00983F85"/>
    <w:rsid w:val="009964FD"/>
    <w:rsid w:val="009C4BE3"/>
    <w:rsid w:val="009E0848"/>
    <w:rsid w:val="009E3F85"/>
    <w:rsid w:val="00A037C0"/>
    <w:rsid w:val="00A03AE7"/>
    <w:rsid w:val="00A171FF"/>
    <w:rsid w:val="00A34D9E"/>
    <w:rsid w:val="00A6085A"/>
    <w:rsid w:val="00A60A0A"/>
    <w:rsid w:val="00A73B6B"/>
    <w:rsid w:val="00A81922"/>
    <w:rsid w:val="00A8337D"/>
    <w:rsid w:val="00AA7914"/>
    <w:rsid w:val="00AB433D"/>
    <w:rsid w:val="00AB4C4E"/>
    <w:rsid w:val="00AC4620"/>
    <w:rsid w:val="00B031D8"/>
    <w:rsid w:val="00B2014D"/>
    <w:rsid w:val="00B50ABB"/>
    <w:rsid w:val="00B52985"/>
    <w:rsid w:val="00BB2D8B"/>
    <w:rsid w:val="00BB4578"/>
    <w:rsid w:val="00BB7A2E"/>
    <w:rsid w:val="00BF7B27"/>
    <w:rsid w:val="00C231B3"/>
    <w:rsid w:val="00CC2112"/>
    <w:rsid w:val="00CF5432"/>
    <w:rsid w:val="00D3171B"/>
    <w:rsid w:val="00D518C1"/>
    <w:rsid w:val="00D8127D"/>
    <w:rsid w:val="00D83411"/>
    <w:rsid w:val="00E21DB5"/>
    <w:rsid w:val="00E50F9C"/>
    <w:rsid w:val="00E5596E"/>
    <w:rsid w:val="00E72DD8"/>
    <w:rsid w:val="00E90DA4"/>
    <w:rsid w:val="00EA3C03"/>
    <w:rsid w:val="00ED715B"/>
    <w:rsid w:val="00F27015"/>
    <w:rsid w:val="00F430AD"/>
    <w:rsid w:val="00F855EA"/>
    <w:rsid w:val="00F97803"/>
    <w:rsid w:val="00FA716B"/>
    <w:rsid w:val="00FB4B3C"/>
    <w:rsid w:val="00FE6E3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6BE6C"/>
  <w15:chartTrackingRefBased/>
  <w15:docId w15:val="{28EFAA4F-81BD-479E-9D4F-975E93984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C2112"/>
    <w:pPr>
      <w:spacing w:line="360" w:lineRule="auto"/>
      <w:jc w:val="both"/>
    </w:pPr>
    <w:rPr>
      <w:rFonts w:ascii="Times New Roman" w:hAnsi="Times New Roman"/>
      <w:noProof/>
      <w:color w:val="000000" w:themeColor="text1"/>
      <w:sz w:val="24"/>
    </w:rPr>
  </w:style>
  <w:style w:type="paragraph" w:styleId="1">
    <w:name w:val="heading 1"/>
    <w:basedOn w:val="a"/>
    <w:next w:val="a"/>
    <w:link w:val="10"/>
    <w:uiPriority w:val="9"/>
    <w:qFormat/>
    <w:rsid w:val="00CC2112"/>
    <w:pPr>
      <w:outlineLvl w:val="0"/>
    </w:pPr>
    <w:rPr>
      <w:b/>
    </w:rPr>
  </w:style>
  <w:style w:type="paragraph" w:styleId="2">
    <w:name w:val="heading 2"/>
    <w:basedOn w:val="1"/>
    <w:next w:val="a"/>
    <w:link w:val="20"/>
    <w:uiPriority w:val="9"/>
    <w:unhideWhenUsed/>
    <w:qFormat/>
    <w:rsid w:val="00CC2112"/>
    <w:pPr>
      <w:outlineLvl w:val="1"/>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CC2112"/>
    <w:rPr>
      <w:rFonts w:ascii="Times New Roman" w:hAnsi="Times New Roman"/>
      <w:b/>
      <w:noProof/>
      <w:color w:val="000000" w:themeColor="text1"/>
      <w:sz w:val="24"/>
    </w:rPr>
  </w:style>
  <w:style w:type="character" w:customStyle="1" w:styleId="20">
    <w:name w:val="Заглавие 2 Знак"/>
    <w:basedOn w:val="a0"/>
    <w:link w:val="2"/>
    <w:uiPriority w:val="9"/>
    <w:rsid w:val="00CC2112"/>
    <w:rPr>
      <w:rFonts w:ascii="Times New Roman" w:hAnsi="Times New Roman"/>
      <w:b/>
      <w:noProof/>
      <w:color w:val="000000" w:themeColor="text1"/>
      <w:sz w:val="24"/>
    </w:rPr>
  </w:style>
  <w:style w:type="paragraph" w:styleId="a3">
    <w:name w:val="Title"/>
    <w:basedOn w:val="a"/>
    <w:next w:val="a"/>
    <w:link w:val="a4"/>
    <w:uiPriority w:val="10"/>
    <w:qFormat/>
    <w:rsid w:val="00CC2112"/>
    <w:pPr>
      <w:spacing w:after="0"/>
      <w:contextualSpacing/>
      <w:jc w:val="center"/>
    </w:pPr>
    <w:rPr>
      <w:rFonts w:eastAsiaTheme="majorEastAsia" w:cstheme="majorBidi"/>
      <w:b/>
      <w:spacing w:val="-10"/>
      <w:kern w:val="28"/>
      <w:sz w:val="36"/>
      <w:szCs w:val="50"/>
    </w:rPr>
  </w:style>
  <w:style w:type="character" w:customStyle="1" w:styleId="a4">
    <w:name w:val="Заглавие Знак"/>
    <w:basedOn w:val="a0"/>
    <w:link w:val="a3"/>
    <w:uiPriority w:val="10"/>
    <w:rsid w:val="00CC2112"/>
    <w:rPr>
      <w:rFonts w:ascii="Times New Roman" w:eastAsiaTheme="majorEastAsia" w:hAnsi="Times New Roman" w:cstheme="majorBidi"/>
      <w:b/>
      <w:noProof/>
      <w:color w:val="000000" w:themeColor="text1"/>
      <w:spacing w:val="-10"/>
      <w:kern w:val="28"/>
      <w:sz w:val="36"/>
      <w:szCs w:val="50"/>
    </w:rPr>
  </w:style>
  <w:style w:type="paragraph" w:styleId="a5">
    <w:name w:val="header"/>
    <w:basedOn w:val="a"/>
    <w:link w:val="a6"/>
    <w:uiPriority w:val="99"/>
    <w:unhideWhenUsed/>
    <w:rsid w:val="009804B0"/>
    <w:pPr>
      <w:tabs>
        <w:tab w:val="center" w:pos="4513"/>
        <w:tab w:val="right" w:pos="9026"/>
      </w:tabs>
      <w:spacing w:after="0" w:line="240" w:lineRule="auto"/>
    </w:pPr>
  </w:style>
  <w:style w:type="character" w:customStyle="1" w:styleId="a6">
    <w:name w:val="Горен колонтитул Знак"/>
    <w:basedOn w:val="a0"/>
    <w:link w:val="a5"/>
    <w:uiPriority w:val="99"/>
    <w:rsid w:val="009804B0"/>
    <w:rPr>
      <w:rFonts w:ascii="Times New Roman" w:hAnsi="Times New Roman"/>
      <w:noProof/>
      <w:color w:val="000000" w:themeColor="text1"/>
      <w:sz w:val="24"/>
    </w:rPr>
  </w:style>
  <w:style w:type="paragraph" w:styleId="a7">
    <w:name w:val="footer"/>
    <w:basedOn w:val="a"/>
    <w:link w:val="a8"/>
    <w:uiPriority w:val="99"/>
    <w:unhideWhenUsed/>
    <w:rsid w:val="009804B0"/>
    <w:pPr>
      <w:tabs>
        <w:tab w:val="center" w:pos="4513"/>
        <w:tab w:val="right" w:pos="9026"/>
      </w:tabs>
      <w:spacing w:after="0" w:line="240" w:lineRule="auto"/>
    </w:pPr>
  </w:style>
  <w:style w:type="character" w:customStyle="1" w:styleId="a8">
    <w:name w:val="Долен колонтитул Знак"/>
    <w:basedOn w:val="a0"/>
    <w:link w:val="a7"/>
    <w:uiPriority w:val="99"/>
    <w:rsid w:val="009804B0"/>
    <w:rPr>
      <w:rFonts w:ascii="Times New Roman" w:hAnsi="Times New Roman"/>
      <w:noProof/>
      <w:color w:val="000000" w:themeColor="text1"/>
      <w:sz w:val="24"/>
    </w:rPr>
  </w:style>
  <w:style w:type="character" w:styleId="a9">
    <w:name w:val="Hyperlink"/>
    <w:basedOn w:val="a0"/>
    <w:uiPriority w:val="99"/>
    <w:unhideWhenUsed/>
    <w:rsid w:val="00F855EA"/>
    <w:rPr>
      <w:color w:val="0563C1" w:themeColor="hyperlink"/>
      <w:u w:val="single"/>
    </w:rPr>
  </w:style>
  <w:style w:type="character" w:styleId="aa">
    <w:name w:val="Unresolved Mention"/>
    <w:basedOn w:val="a0"/>
    <w:uiPriority w:val="99"/>
    <w:semiHidden/>
    <w:unhideWhenUsed/>
    <w:rsid w:val="00F855EA"/>
    <w:rPr>
      <w:color w:val="605E5C"/>
      <w:shd w:val="clear" w:color="auto" w:fill="E1DFDD"/>
    </w:rPr>
  </w:style>
  <w:style w:type="paragraph" w:styleId="ab">
    <w:name w:val="TOC Heading"/>
    <w:basedOn w:val="1"/>
    <w:next w:val="a"/>
    <w:uiPriority w:val="39"/>
    <w:unhideWhenUsed/>
    <w:qFormat/>
    <w:rsid w:val="00E72DD8"/>
    <w:pPr>
      <w:keepNext/>
      <w:keepLines/>
      <w:spacing w:before="240" w:after="0" w:line="259" w:lineRule="auto"/>
      <w:jc w:val="left"/>
      <w:outlineLvl w:val="9"/>
    </w:pPr>
    <w:rPr>
      <w:rFonts w:asciiTheme="majorHAnsi" w:eastAsiaTheme="majorEastAsia" w:hAnsiTheme="majorHAnsi" w:cstheme="majorBidi"/>
      <w:b w:val="0"/>
      <w:noProof w:val="0"/>
      <w:color w:val="2F5496" w:themeColor="accent1" w:themeShade="BF"/>
      <w:sz w:val="32"/>
      <w:szCs w:val="32"/>
      <w:lang w:val="en-US" w:bidi="ar-SA"/>
    </w:rPr>
  </w:style>
  <w:style w:type="paragraph" w:styleId="11">
    <w:name w:val="toc 1"/>
    <w:basedOn w:val="a"/>
    <w:next w:val="a"/>
    <w:autoRedefine/>
    <w:uiPriority w:val="39"/>
    <w:unhideWhenUsed/>
    <w:rsid w:val="00E72DD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286648">
      <w:bodyDiv w:val="1"/>
      <w:marLeft w:val="0"/>
      <w:marRight w:val="0"/>
      <w:marTop w:val="0"/>
      <w:marBottom w:val="0"/>
      <w:divBdr>
        <w:top w:val="none" w:sz="0" w:space="0" w:color="auto"/>
        <w:left w:val="none" w:sz="0" w:space="0" w:color="auto"/>
        <w:bottom w:val="none" w:sz="0" w:space="0" w:color="auto"/>
        <w:right w:val="none" w:sz="0" w:space="0" w:color="auto"/>
      </w:divBdr>
    </w:div>
    <w:div w:id="395013759">
      <w:bodyDiv w:val="1"/>
      <w:marLeft w:val="0"/>
      <w:marRight w:val="0"/>
      <w:marTop w:val="0"/>
      <w:marBottom w:val="0"/>
      <w:divBdr>
        <w:top w:val="none" w:sz="0" w:space="0" w:color="auto"/>
        <w:left w:val="none" w:sz="0" w:space="0" w:color="auto"/>
        <w:bottom w:val="none" w:sz="0" w:space="0" w:color="auto"/>
        <w:right w:val="none" w:sz="0" w:space="0" w:color="auto"/>
      </w:divBdr>
      <w:divsChild>
        <w:div w:id="414012392">
          <w:marLeft w:val="2950"/>
          <w:marRight w:val="0"/>
          <w:marTop w:val="0"/>
          <w:marBottom w:val="0"/>
          <w:divBdr>
            <w:top w:val="none" w:sz="0" w:space="0" w:color="auto"/>
            <w:left w:val="none" w:sz="0" w:space="0" w:color="auto"/>
            <w:bottom w:val="none" w:sz="0" w:space="0" w:color="auto"/>
            <w:right w:val="none" w:sz="0" w:space="0" w:color="auto"/>
          </w:divBdr>
        </w:div>
      </w:divsChild>
    </w:div>
    <w:div w:id="400254476">
      <w:bodyDiv w:val="1"/>
      <w:marLeft w:val="0"/>
      <w:marRight w:val="0"/>
      <w:marTop w:val="0"/>
      <w:marBottom w:val="0"/>
      <w:divBdr>
        <w:top w:val="none" w:sz="0" w:space="0" w:color="auto"/>
        <w:left w:val="none" w:sz="0" w:space="0" w:color="auto"/>
        <w:bottom w:val="none" w:sz="0" w:space="0" w:color="auto"/>
        <w:right w:val="none" w:sz="0" w:space="0" w:color="auto"/>
      </w:divBdr>
    </w:div>
    <w:div w:id="827405375">
      <w:bodyDiv w:val="1"/>
      <w:marLeft w:val="0"/>
      <w:marRight w:val="0"/>
      <w:marTop w:val="0"/>
      <w:marBottom w:val="0"/>
      <w:divBdr>
        <w:top w:val="none" w:sz="0" w:space="0" w:color="auto"/>
        <w:left w:val="none" w:sz="0" w:space="0" w:color="auto"/>
        <w:bottom w:val="none" w:sz="0" w:space="0" w:color="auto"/>
        <w:right w:val="none" w:sz="0" w:space="0" w:color="auto"/>
      </w:divBdr>
    </w:div>
    <w:div w:id="963539677">
      <w:bodyDiv w:val="1"/>
      <w:marLeft w:val="0"/>
      <w:marRight w:val="0"/>
      <w:marTop w:val="0"/>
      <w:marBottom w:val="0"/>
      <w:divBdr>
        <w:top w:val="none" w:sz="0" w:space="0" w:color="auto"/>
        <w:left w:val="none" w:sz="0" w:space="0" w:color="auto"/>
        <w:bottom w:val="none" w:sz="0" w:space="0" w:color="auto"/>
        <w:right w:val="none" w:sz="0" w:space="0" w:color="auto"/>
      </w:divBdr>
      <w:divsChild>
        <w:div w:id="1806849301">
          <w:marLeft w:val="0"/>
          <w:marRight w:val="0"/>
          <w:marTop w:val="0"/>
          <w:marBottom w:val="525"/>
          <w:divBdr>
            <w:top w:val="none" w:sz="0" w:space="0" w:color="auto"/>
            <w:left w:val="none" w:sz="0" w:space="0" w:color="auto"/>
            <w:bottom w:val="none" w:sz="0" w:space="0" w:color="auto"/>
            <w:right w:val="none" w:sz="0" w:space="0" w:color="auto"/>
          </w:divBdr>
          <w:divsChild>
            <w:div w:id="207927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595384">
      <w:bodyDiv w:val="1"/>
      <w:marLeft w:val="0"/>
      <w:marRight w:val="0"/>
      <w:marTop w:val="0"/>
      <w:marBottom w:val="0"/>
      <w:divBdr>
        <w:top w:val="none" w:sz="0" w:space="0" w:color="auto"/>
        <w:left w:val="none" w:sz="0" w:space="0" w:color="auto"/>
        <w:bottom w:val="none" w:sz="0" w:space="0" w:color="auto"/>
        <w:right w:val="none" w:sz="0" w:space="0" w:color="auto"/>
      </w:divBdr>
      <w:divsChild>
        <w:div w:id="364790177">
          <w:marLeft w:val="0"/>
          <w:marRight w:val="0"/>
          <w:marTop w:val="0"/>
          <w:marBottom w:val="0"/>
          <w:divBdr>
            <w:top w:val="none" w:sz="0" w:space="0" w:color="auto"/>
            <w:left w:val="none" w:sz="0" w:space="0" w:color="auto"/>
            <w:bottom w:val="none" w:sz="0" w:space="0" w:color="auto"/>
            <w:right w:val="none" w:sz="0" w:space="0" w:color="auto"/>
          </w:divBdr>
        </w:div>
      </w:divsChild>
    </w:div>
    <w:div w:id="1191067772">
      <w:bodyDiv w:val="1"/>
      <w:marLeft w:val="0"/>
      <w:marRight w:val="0"/>
      <w:marTop w:val="0"/>
      <w:marBottom w:val="0"/>
      <w:divBdr>
        <w:top w:val="none" w:sz="0" w:space="0" w:color="auto"/>
        <w:left w:val="none" w:sz="0" w:space="0" w:color="auto"/>
        <w:bottom w:val="none" w:sz="0" w:space="0" w:color="auto"/>
        <w:right w:val="none" w:sz="0" w:space="0" w:color="auto"/>
      </w:divBdr>
    </w:div>
    <w:div w:id="1197814576">
      <w:bodyDiv w:val="1"/>
      <w:marLeft w:val="0"/>
      <w:marRight w:val="0"/>
      <w:marTop w:val="0"/>
      <w:marBottom w:val="0"/>
      <w:divBdr>
        <w:top w:val="none" w:sz="0" w:space="0" w:color="auto"/>
        <w:left w:val="none" w:sz="0" w:space="0" w:color="auto"/>
        <w:bottom w:val="none" w:sz="0" w:space="0" w:color="auto"/>
        <w:right w:val="none" w:sz="0" w:space="0" w:color="auto"/>
      </w:divBdr>
    </w:div>
    <w:div w:id="1466701135">
      <w:bodyDiv w:val="1"/>
      <w:marLeft w:val="0"/>
      <w:marRight w:val="0"/>
      <w:marTop w:val="0"/>
      <w:marBottom w:val="0"/>
      <w:divBdr>
        <w:top w:val="none" w:sz="0" w:space="0" w:color="auto"/>
        <w:left w:val="none" w:sz="0" w:space="0" w:color="auto"/>
        <w:bottom w:val="none" w:sz="0" w:space="0" w:color="auto"/>
        <w:right w:val="none" w:sz="0" w:space="0" w:color="auto"/>
      </w:divBdr>
      <w:divsChild>
        <w:div w:id="782696914">
          <w:marLeft w:val="0"/>
          <w:marRight w:val="0"/>
          <w:marTop w:val="0"/>
          <w:marBottom w:val="0"/>
          <w:divBdr>
            <w:top w:val="none" w:sz="0" w:space="0" w:color="auto"/>
            <w:left w:val="none" w:sz="0" w:space="0" w:color="auto"/>
            <w:bottom w:val="none" w:sz="0" w:space="0" w:color="auto"/>
            <w:right w:val="none" w:sz="0" w:space="0" w:color="auto"/>
          </w:divBdr>
        </w:div>
      </w:divsChild>
    </w:div>
    <w:div w:id="1554004398">
      <w:bodyDiv w:val="1"/>
      <w:marLeft w:val="0"/>
      <w:marRight w:val="0"/>
      <w:marTop w:val="0"/>
      <w:marBottom w:val="0"/>
      <w:divBdr>
        <w:top w:val="none" w:sz="0" w:space="0" w:color="auto"/>
        <w:left w:val="none" w:sz="0" w:space="0" w:color="auto"/>
        <w:bottom w:val="none" w:sz="0" w:space="0" w:color="auto"/>
        <w:right w:val="none" w:sz="0" w:space="0" w:color="auto"/>
      </w:divBdr>
    </w:div>
    <w:div w:id="1786581685">
      <w:bodyDiv w:val="1"/>
      <w:marLeft w:val="0"/>
      <w:marRight w:val="0"/>
      <w:marTop w:val="0"/>
      <w:marBottom w:val="0"/>
      <w:divBdr>
        <w:top w:val="none" w:sz="0" w:space="0" w:color="auto"/>
        <w:left w:val="none" w:sz="0" w:space="0" w:color="auto"/>
        <w:bottom w:val="none" w:sz="0" w:space="0" w:color="auto"/>
        <w:right w:val="none" w:sz="0" w:space="0" w:color="auto"/>
      </w:divBdr>
    </w:div>
    <w:div w:id="1808349628">
      <w:bodyDiv w:val="1"/>
      <w:marLeft w:val="0"/>
      <w:marRight w:val="0"/>
      <w:marTop w:val="0"/>
      <w:marBottom w:val="0"/>
      <w:divBdr>
        <w:top w:val="none" w:sz="0" w:space="0" w:color="auto"/>
        <w:left w:val="none" w:sz="0" w:space="0" w:color="auto"/>
        <w:bottom w:val="none" w:sz="0" w:space="0" w:color="auto"/>
        <w:right w:val="none" w:sz="0" w:space="0" w:color="auto"/>
      </w:divBdr>
    </w:div>
    <w:div w:id="1839006178">
      <w:bodyDiv w:val="1"/>
      <w:marLeft w:val="0"/>
      <w:marRight w:val="0"/>
      <w:marTop w:val="0"/>
      <w:marBottom w:val="0"/>
      <w:divBdr>
        <w:top w:val="none" w:sz="0" w:space="0" w:color="auto"/>
        <w:left w:val="none" w:sz="0" w:space="0" w:color="auto"/>
        <w:bottom w:val="none" w:sz="0" w:space="0" w:color="auto"/>
        <w:right w:val="none" w:sz="0" w:space="0" w:color="auto"/>
      </w:divBdr>
    </w:div>
    <w:div w:id="1869903607">
      <w:bodyDiv w:val="1"/>
      <w:marLeft w:val="0"/>
      <w:marRight w:val="0"/>
      <w:marTop w:val="0"/>
      <w:marBottom w:val="0"/>
      <w:divBdr>
        <w:top w:val="none" w:sz="0" w:space="0" w:color="auto"/>
        <w:left w:val="none" w:sz="0" w:space="0" w:color="auto"/>
        <w:bottom w:val="none" w:sz="0" w:space="0" w:color="auto"/>
        <w:right w:val="none" w:sz="0" w:space="0" w:color="auto"/>
      </w:divBdr>
      <w:divsChild>
        <w:div w:id="1081172307">
          <w:marLeft w:val="0"/>
          <w:marRight w:val="0"/>
          <w:marTop w:val="0"/>
          <w:marBottom w:val="0"/>
          <w:divBdr>
            <w:top w:val="none" w:sz="0" w:space="0" w:color="auto"/>
            <w:left w:val="none" w:sz="0" w:space="0" w:color="auto"/>
            <w:bottom w:val="none" w:sz="0" w:space="0" w:color="auto"/>
            <w:right w:val="none" w:sz="0" w:space="0" w:color="auto"/>
          </w:divBdr>
          <w:divsChild>
            <w:div w:id="202724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937683">
      <w:bodyDiv w:val="1"/>
      <w:marLeft w:val="0"/>
      <w:marRight w:val="0"/>
      <w:marTop w:val="0"/>
      <w:marBottom w:val="0"/>
      <w:divBdr>
        <w:top w:val="none" w:sz="0" w:space="0" w:color="auto"/>
        <w:left w:val="none" w:sz="0" w:space="0" w:color="auto"/>
        <w:bottom w:val="none" w:sz="0" w:space="0" w:color="auto"/>
        <w:right w:val="none" w:sz="0" w:space="0" w:color="auto"/>
      </w:divBdr>
    </w:div>
    <w:div w:id="200084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B4C69B-F628-47BA-86E3-ADB8D62A1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15</Pages>
  <Words>3688</Words>
  <Characters>21022</Characters>
  <Application>Microsoft Office Word</Application>
  <DocSecurity>0</DocSecurity>
  <Lines>175</Lines>
  <Paragraphs>49</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Svetlomira Nedyalkova (2010796)</cp:lastModifiedBy>
  <cp:revision>2</cp:revision>
  <dcterms:created xsi:type="dcterms:W3CDTF">2022-04-26T21:13:00Z</dcterms:created>
  <dcterms:modified xsi:type="dcterms:W3CDTF">2022-05-02T16:37:00Z</dcterms:modified>
</cp:coreProperties>
</file>