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00F9A" w14:textId="05A17B8A" w:rsidR="00877D8A" w:rsidRPr="00877D8A" w:rsidRDefault="00877D8A" w:rsidP="00877D8A">
      <w:pPr>
        <w:spacing w:line="540" w:lineRule="atLeast"/>
        <w:jc w:val="left"/>
        <w:rPr>
          <w:rFonts w:ascii="Raleway" w:hAnsi="Raleway"/>
          <w:sz w:val="54"/>
          <w:szCs w:val="54"/>
          <w:lang w:eastAsia="en-GB"/>
        </w:rPr>
      </w:pPr>
      <w:r w:rsidRPr="00877D8A">
        <w:rPr>
          <w:rFonts w:ascii="Raleway" w:hAnsi="Raleway"/>
          <w:noProof/>
          <w:color w:val="000000"/>
          <w:sz w:val="54"/>
          <w:szCs w:val="54"/>
          <w:lang w:eastAsia="en-GB"/>
        </w:rPr>
        <w:drawing>
          <wp:inline distT="0" distB="0" distL="0" distR="0" wp14:anchorId="1B19BA62" wp14:editId="3B534C43">
            <wp:extent cx="3048000" cy="1270000"/>
            <wp:effectExtent l="0" t="0" r="0" b="0"/>
            <wp:docPr id="4" name="Picture 4" descr="UWTSD London Logo">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ndon Logo">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0" cy="1270000"/>
                    </a:xfrm>
                    <a:prstGeom prst="rect">
                      <a:avLst/>
                    </a:prstGeom>
                    <a:noFill/>
                    <a:ln>
                      <a:noFill/>
                    </a:ln>
                  </pic:spPr>
                </pic:pic>
              </a:graphicData>
            </a:graphic>
          </wp:inline>
        </w:drawing>
      </w:r>
    </w:p>
    <w:p w14:paraId="10A67D4D" w14:textId="508881C5" w:rsidR="00877D8A" w:rsidRPr="00877D8A" w:rsidRDefault="00877D8A" w:rsidP="00877D8A">
      <w:pPr>
        <w:spacing w:line="240" w:lineRule="auto"/>
        <w:jc w:val="left"/>
        <w:rPr>
          <w:color w:val="000000"/>
          <w:lang w:eastAsia="en-GB"/>
        </w:rPr>
      </w:pPr>
    </w:p>
    <w:p w14:paraId="7728872C" w14:textId="77777777" w:rsidR="00877D8A" w:rsidRDefault="00877D8A">
      <w:pPr>
        <w:spacing w:after="200" w:line="276" w:lineRule="auto"/>
        <w:jc w:val="left"/>
        <w:rPr>
          <w:rFonts w:ascii="Arial" w:hAnsi="Arial" w:cs="Arial"/>
          <w:sz w:val="32"/>
          <w:szCs w:val="32"/>
        </w:rPr>
      </w:pPr>
    </w:p>
    <w:p w14:paraId="4BA2ACCC" w14:textId="77777777" w:rsidR="00877D8A" w:rsidRDefault="00877D8A">
      <w:pPr>
        <w:spacing w:after="200" w:line="276" w:lineRule="auto"/>
        <w:jc w:val="left"/>
        <w:rPr>
          <w:rFonts w:ascii="Arial" w:hAnsi="Arial" w:cs="Arial"/>
          <w:sz w:val="32"/>
          <w:szCs w:val="32"/>
        </w:rPr>
      </w:pPr>
    </w:p>
    <w:p w14:paraId="1B479159" w14:textId="77777777" w:rsidR="00877D8A" w:rsidRPr="00877D8A" w:rsidRDefault="00877D8A">
      <w:pPr>
        <w:spacing w:after="200" w:line="276" w:lineRule="auto"/>
        <w:jc w:val="left"/>
        <w:rPr>
          <w:rFonts w:ascii="Arial" w:hAnsi="Arial" w:cs="Arial"/>
          <w:sz w:val="36"/>
          <w:szCs w:val="36"/>
        </w:rPr>
      </w:pPr>
      <w:r w:rsidRPr="00877D8A">
        <w:rPr>
          <w:rFonts w:ascii="Arial" w:hAnsi="Arial" w:cs="Arial"/>
          <w:sz w:val="36"/>
          <w:szCs w:val="36"/>
        </w:rPr>
        <w:t>Student Name: Sana Alam</w:t>
      </w:r>
    </w:p>
    <w:p w14:paraId="683F1748" w14:textId="77777777" w:rsidR="00877D8A" w:rsidRPr="00877D8A" w:rsidRDefault="00877D8A">
      <w:pPr>
        <w:spacing w:after="200" w:line="276" w:lineRule="auto"/>
        <w:jc w:val="left"/>
        <w:rPr>
          <w:rFonts w:ascii="Arial" w:hAnsi="Arial" w:cs="Arial"/>
          <w:sz w:val="36"/>
          <w:szCs w:val="36"/>
        </w:rPr>
      </w:pPr>
      <w:r w:rsidRPr="00877D8A">
        <w:rPr>
          <w:rFonts w:ascii="Arial" w:hAnsi="Arial" w:cs="Arial"/>
          <w:sz w:val="36"/>
          <w:szCs w:val="36"/>
        </w:rPr>
        <w:t>Student ID: 2219402</w:t>
      </w:r>
    </w:p>
    <w:p w14:paraId="4F0414D7" w14:textId="77777777" w:rsidR="00877D8A" w:rsidRPr="00877D8A" w:rsidRDefault="00877D8A">
      <w:pPr>
        <w:spacing w:after="200" w:line="276" w:lineRule="auto"/>
        <w:jc w:val="left"/>
        <w:rPr>
          <w:rFonts w:ascii="Arial" w:hAnsi="Arial" w:cs="Arial"/>
          <w:sz w:val="36"/>
          <w:szCs w:val="36"/>
        </w:rPr>
      </w:pPr>
      <w:r w:rsidRPr="00877D8A">
        <w:rPr>
          <w:rFonts w:ascii="Arial" w:hAnsi="Arial" w:cs="Arial"/>
          <w:sz w:val="36"/>
          <w:szCs w:val="36"/>
        </w:rPr>
        <w:t>Module Code: LCHS4008</w:t>
      </w:r>
    </w:p>
    <w:p w14:paraId="1BA65309" w14:textId="2D0BCEB9" w:rsidR="00877D8A" w:rsidRDefault="00877D8A">
      <w:pPr>
        <w:spacing w:after="200" w:line="276" w:lineRule="auto"/>
        <w:jc w:val="left"/>
        <w:rPr>
          <w:rFonts w:cstheme="majorBidi"/>
          <w:b/>
          <w:spacing w:val="5"/>
          <w:kern w:val="28"/>
          <w:sz w:val="36"/>
          <w:szCs w:val="52"/>
        </w:rPr>
      </w:pPr>
      <w:r w:rsidRPr="00877D8A">
        <w:rPr>
          <w:rFonts w:ascii="Arial" w:hAnsi="Arial" w:cs="Arial"/>
          <w:sz w:val="36"/>
          <w:szCs w:val="36"/>
        </w:rPr>
        <w:t>Lecturer Name: Bianca Sanfilippo</w:t>
      </w:r>
      <w:r>
        <w:br w:type="page"/>
      </w:r>
    </w:p>
    <w:p w14:paraId="62291013" w14:textId="77777777" w:rsidR="00A15301" w:rsidRDefault="00A15301" w:rsidP="000F73B9">
      <w:pPr>
        <w:pStyle w:val="Title"/>
        <w:spacing w:line="360" w:lineRule="auto"/>
        <w:rPr>
          <w:rFonts w:eastAsia="Times New Roman"/>
        </w:rPr>
      </w:pPr>
    </w:p>
    <w:p w14:paraId="4C20B9C4" w14:textId="77777777" w:rsidR="00A15301" w:rsidRDefault="00A15301" w:rsidP="000F73B9">
      <w:pPr>
        <w:pStyle w:val="Title"/>
        <w:spacing w:line="360" w:lineRule="auto"/>
        <w:rPr>
          <w:rFonts w:eastAsia="Times New Roman"/>
        </w:rPr>
      </w:pPr>
    </w:p>
    <w:p w14:paraId="3688667C" w14:textId="77777777" w:rsidR="00A15301" w:rsidRDefault="00A15301" w:rsidP="000F73B9">
      <w:pPr>
        <w:pStyle w:val="Title"/>
        <w:spacing w:line="360" w:lineRule="auto"/>
        <w:rPr>
          <w:rFonts w:eastAsia="Times New Roman"/>
        </w:rPr>
      </w:pPr>
    </w:p>
    <w:p w14:paraId="3B1AE741" w14:textId="77777777" w:rsidR="00A15301" w:rsidRDefault="00A15301" w:rsidP="000F73B9">
      <w:pPr>
        <w:pStyle w:val="Title"/>
        <w:spacing w:line="360" w:lineRule="auto"/>
        <w:rPr>
          <w:rFonts w:eastAsia="Times New Roman"/>
        </w:rPr>
      </w:pPr>
    </w:p>
    <w:p w14:paraId="695C19D6" w14:textId="77777777" w:rsidR="00A15301" w:rsidRDefault="00A15301" w:rsidP="000F73B9">
      <w:pPr>
        <w:pStyle w:val="Title"/>
        <w:spacing w:line="360" w:lineRule="auto"/>
        <w:rPr>
          <w:rFonts w:eastAsia="Times New Roman"/>
        </w:rPr>
      </w:pPr>
    </w:p>
    <w:p w14:paraId="09BB4503" w14:textId="77777777" w:rsidR="00A15301" w:rsidRDefault="00A15301" w:rsidP="000F73B9">
      <w:pPr>
        <w:pStyle w:val="Title"/>
        <w:spacing w:line="360" w:lineRule="auto"/>
        <w:rPr>
          <w:rFonts w:eastAsia="Times New Roman"/>
        </w:rPr>
      </w:pPr>
    </w:p>
    <w:p w14:paraId="44819C19" w14:textId="77777777" w:rsidR="00A15301" w:rsidRDefault="00A15301" w:rsidP="000F73B9">
      <w:pPr>
        <w:pStyle w:val="Title"/>
        <w:spacing w:line="360" w:lineRule="auto"/>
        <w:rPr>
          <w:rFonts w:eastAsia="Times New Roman"/>
        </w:rPr>
      </w:pPr>
    </w:p>
    <w:p w14:paraId="228EFE92" w14:textId="70533E15" w:rsidR="008733E6" w:rsidRDefault="008733E6" w:rsidP="000F73B9">
      <w:pPr>
        <w:pStyle w:val="Title"/>
        <w:spacing w:line="360" w:lineRule="auto"/>
        <w:rPr>
          <w:b w:val="0"/>
        </w:rPr>
      </w:pPr>
      <w:r>
        <w:rPr>
          <w:rFonts w:eastAsia="Times New Roman"/>
        </w:rPr>
        <w:t>Introduction to Public Health</w:t>
      </w:r>
      <w:r>
        <w:br w:type="page"/>
      </w:r>
    </w:p>
    <w:p w14:paraId="62C8F4F6" w14:textId="77777777" w:rsidR="008733E6" w:rsidRDefault="008733E6" w:rsidP="000F73B9">
      <w:pPr>
        <w:keepNext/>
        <w:keepLines/>
        <w:pBdr>
          <w:top w:val="nil"/>
          <w:left w:val="nil"/>
          <w:bottom w:val="nil"/>
          <w:right w:val="nil"/>
          <w:between w:val="nil"/>
        </w:pBdr>
        <w:spacing w:before="480"/>
        <w:jc w:val="center"/>
        <w:rPr>
          <w:rFonts w:ascii="Calibri" w:eastAsia="Calibri" w:hAnsi="Calibri" w:cs="Calibri"/>
          <w:b/>
          <w:color w:val="366091"/>
          <w:sz w:val="28"/>
          <w:szCs w:val="28"/>
        </w:rPr>
      </w:pPr>
      <w:r>
        <w:rPr>
          <w:b/>
          <w:color w:val="000000"/>
          <w:sz w:val="32"/>
          <w:szCs w:val="32"/>
        </w:rPr>
        <w:lastRenderedPageBreak/>
        <w:t>Table of Contents</w:t>
      </w:r>
    </w:p>
    <w:sdt>
      <w:sdtPr>
        <w:id w:val="249649"/>
        <w:docPartObj>
          <w:docPartGallery w:val="Table of Contents"/>
          <w:docPartUnique/>
        </w:docPartObj>
      </w:sdtPr>
      <w:sdtEndPr/>
      <w:sdtContent>
        <w:p w14:paraId="526A7DF9" w14:textId="77777777" w:rsidR="008733E6" w:rsidRDefault="008733E6" w:rsidP="000F73B9">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heading=h.gjdgxs">
            <w:r>
              <w:rPr>
                <w:color w:val="000000"/>
              </w:rPr>
              <w:t>Task 1: Group discussion</w:t>
            </w:r>
            <w:r>
              <w:rPr>
                <w:color w:val="000000"/>
              </w:rPr>
              <w:tab/>
              <w:t>3</w:t>
            </w:r>
          </w:hyperlink>
        </w:p>
        <w:p w14:paraId="5A6F95EB" w14:textId="77777777" w:rsidR="008733E6" w:rsidRDefault="00C44D14" w:rsidP="000F73B9">
          <w:pPr>
            <w:pBdr>
              <w:top w:val="nil"/>
              <w:left w:val="nil"/>
              <w:bottom w:val="nil"/>
              <w:right w:val="nil"/>
              <w:between w:val="nil"/>
            </w:pBdr>
            <w:tabs>
              <w:tab w:val="right" w:leader="dot" w:pos="9350"/>
            </w:tabs>
            <w:spacing w:after="100"/>
            <w:rPr>
              <w:color w:val="000000"/>
            </w:rPr>
          </w:pPr>
          <w:hyperlink w:anchor="_heading=h.30j0zll">
            <w:r w:rsidR="008733E6">
              <w:rPr>
                <w:color w:val="000000"/>
              </w:rPr>
              <w:t>Task 2: Submission of supporting paper</w:t>
            </w:r>
            <w:r w:rsidR="008733E6">
              <w:rPr>
                <w:color w:val="000000"/>
              </w:rPr>
              <w:tab/>
              <w:t>3</w:t>
            </w:r>
          </w:hyperlink>
        </w:p>
        <w:p w14:paraId="05D737C2" w14:textId="77777777" w:rsidR="008733E6" w:rsidRDefault="00C44D14" w:rsidP="000F73B9">
          <w:pPr>
            <w:pBdr>
              <w:top w:val="nil"/>
              <w:left w:val="nil"/>
              <w:bottom w:val="nil"/>
              <w:right w:val="nil"/>
              <w:between w:val="nil"/>
            </w:pBdr>
            <w:tabs>
              <w:tab w:val="right" w:leader="dot" w:pos="9350"/>
            </w:tabs>
            <w:spacing w:after="100"/>
            <w:ind w:left="240"/>
            <w:rPr>
              <w:color w:val="000000"/>
            </w:rPr>
          </w:pPr>
          <w:hyperlink w:anchor="_heading=h.1fob9te">
            <w:r w:rsidR="008733E6">
              <w:rPr>
                <w:color w:val="000000"/>
              </w:rPr>
              <w:t>“Introduction”</w:t>
            </w:r>
            <w:r w:rsidR="008733E6">
              <w:rPr>
                <w:color w:val="000000"/>
              </w:rPr>
              <w:tab/>
              <w:t>3</w:t>
            </w:r>
          </w:hyperlink>
        </w:p>
        <w:p w14:paraId="2C82C9B8" w14:textId="77777777" w:rsidR="008733E6" w:rsidRDefault="00C44D14" w:rsidP="000F73B9">
          <w:pPr>
            <w:pBdr>
              <w:top w:val="nil"/>
              <w:left w:val="nil"/>
              <w:bottom w:val="nil"/>
              <w:right w:val="nil"/>
              <w:between w:val="nil"/>
            </w:pBdr>
            <w:tabs>
              <w:tab w:val="right" w:leader="dot" w:pos="9350"/>
            </w:tabs>
            <w:spacing w:after="100"/>
            <w:ind w:left="240"/>
            <w:rPr>
              <w:color w:val="000000"/>
            </w:rPr>
          </w:pPr>
          <w:hyperlink w:anchor="_heading=h.3znysh7">
            <w:r w:rsidR="008733E6">
              <w:rPr>
                <w:color w:val="000000"/>
              </w:rPr>
              <w:t>“Strategies used in the UK to measure the incidence of the disease in your case study and critically evaluate it”</w:t>
            </w:r>
            <w:r w:rsidR="008733E6">
              <w:rPr>
                <w:color w:val="000000"/>
              </w:rPr>
              <w:tab/>
              <w:t>3</w:t>
            </w:r>
          </w:hyperlink>
        </w:p>
        <w:p w14:paraId="3081732F" w14:textId="77777777" w:rsidR="008733E6" w:rsidRDefault="00C44D14" w:rsidP="000F73B9">
          <w:pPr>
            <w:pBdr>
              <w:top w:val="nil"/>
              <w:left w:val="nil"/>
              <w:bottom w:val="nil"/>
              <w:right w:val="nil"/>
              <w:between w:val="nil"/>
            </w:pBdr>
            <w:tabs>
              <w:tab w:val="right" w:leader="dot" w:pos="9350"/>
            </w:tabs>
            <w:spacing w:after="100"/>
            <w:ind w:left="240"/>
            <w:rPr>
              <w:color w:val="000000"/>
            </w:rPr>
          </w:pPr>
          <w:hyperlink w:anchor="_heading=h.2et92p0">
            <w:r w:rsidR="008733E6">
              <w:rPr>
                <w:color w:val="000000"/>
              </w:rPr>
              <w:t>“Strategies used in the UK to monitor the incidence of the disease in your case study and critically evaluate it”</w:t>
            </w:r>
            <w:r w:rsidR="008733E6">
              <w:rPr>
                <w:color w:val="000000"/>
              </w:rPr>
              <w:tab/>
              <w:t>4</w:t>
            </w:r>
          </w:hyperlink>
        </w:p>
        <w:p w14:paraId="712C95A8" w14:textId="77777777" w:rsidR="008733E6" w:rsidRDefault="00C44D14" w:rsidP="000F73B9">
          <w:pPr>
            <w:pBdr>
              <w:top w:val="nil"/>
              <w:left w:val="nil"/>
              <w:bottom w:val="nil"/>
              <w:right w:val="nil"/>
              <w:between w:val="nil"/>
            </w:pBdr>
            <w:tabs>
              <w:tab w:val="right" w:leader="dot" w:pos="9350"/>
            </w:tabs>
            <w:spacing w:after="100"/>
            <w:ind w:left="240"/>
            <w:rPr>
              <w:color w:val="000000"/>
            </w:rPr>
          </w:pPr>
          <w:hyperlink w:anchor="_heading=h.tyjcwt">
            <w:r w:rsidR="008733E6">
              <w:rPr>
                <w:color w:val="000000"/>
              </w:rPr>
              <w:t>“Strategies used in the UK to control the incidence of the disease in your case study and critically evaluate it”</w:t>
            </w:r>
            <w:r w:rsidR="008733E6">
              <w:rPr>
                <w:color w:val="000000"/>
              </w:rPr>
              <w:tab/>
              <w:t>5</w:t>
            </w:r>
          </w:hyperlink>
        </w:p>
        <w:p w14:paraId="56764817" w14:textId="77777777" w:rsidR="008733E6" w:rsidRDefault="00C44D14" w:rsidP="000F73B9">
          <w:pPr>
            <w:pBdr>
              <w:top w:val="nil"/>
              <w:left w:val="nil"/>
              <w:bottom w:val="nil"/>
              <w:right w:val="nil"/>
              <w:between w:val="nil"/>
            </w:pBdr>
            <w:tabs>
              <w:tab w:val="right" w:leader="dot" w:pos="9350"/>
            </w:tabs>
            <w:spacing w:after="100"/>
            <w:ind w:left="240"/>
            <w:rPr>
              <w:color w:val="000000"/>
            </w:rPr>
          </w:pPr>
          <w:hyperlink w:anchor="_heading=h.3dy6vkm">
            <w:r w:rsidR="008733E6">
              <w:rPr>
                <w:color w:val="000000"/>
              </w:rPr>
              <w:t>“Conclusion”</w:t>
            </w:r>
            <w:r w:rsidR="008733E6">
              <w:rPr>
                <w:color w:val="000000"/>
              </w:rPr>
              <w:tab/>
              <w:t>6</w:t>
            </w:r>
          </w:hyperlink>
        </w:p>
        <w:p w14:paraId="12B87027" w14:textId="77777777" w:rsidR="008733E6" w:rsidRDefault="00C44D14" w:rsidP="000F73B9">
          <w:pPr>
            <w:pBdr>
              <w:top w:val="nil"/>
              <w:left w:val="nil"/>
              <w:bottom w:val="nil"/>
              <w:right w:val="nil"/>
              <w:between w:val="nil"/>
            </w:pBdr>
            <w:tabs>
              <w:tab w:val="right" w:leader="dot" w:pos="9350"/>
            </w:tabs>
            <w:spacing w:after="100"/>
            <w:rPr>
              <w:color w:val="000000"/>
            </w:rPr>
          </w:pPr>
          <w:hyperlink w:anchor="_heading=h.1t3h5sf">
            <w:r w:rsidR="008733E6">
              <w:rPr>
                <w:color w:val="000000"/>
              </w:rPr>
              <w:t>Reference</w:t>
            </w:r>
            <w:r w:rsidR="008733E6">
              <w:rPr>
                <w:color w:val="000000"/>
              </w:rPr>
              <w:tab/>
              <w:t>7</w:t>
            </w:r>
          </w:hyperlink>
        </w:p>
        <w:p w14:paraId="48B33AD2" w14:textId="77777777" w:rsidR="008733E6" w:rsidRDefault="008733E6" w:rsidP="000F73B9">
          <w:r>
            <w:fldChar w:fldCharType="end"/>
          </w:r>
        </w:p>
      </w:sdtContent>
    </w:sdt>
    <w:p w14:paraId="1EE45C0A" w14:textId="77777777" w:rsidR="008733E6" w:rsidRDefault="008733E6" w:rsidP="000F73B9">
      <w:pPr>
        <w:rPr>
          <w:b/>
          <w:sz w:val="32"/>
          <w:szCs w:val="32"/>
        </w:rPr>
      </w:pPr>
      <w:r>
        <w:br w:type="page"/>
      </w:r>
    </w:p>
    <w:p w14:paraId="39ABA5A1" w14:textId="77777777" w:rsidR="008733E6" w:rsidRDefault="008733E6" w:rsidP="000F73B9">
      <w:pPr>
        <w:pStyle w:val="Heading1"/>
        <w:spacing w:before="0" w:after="0"/>
      </w:pPr>
      <w:bookmarkStart w:id="0" w:name="_heading=h.gjdgxs" w:colFirst="0" w:colLast="0"/>
      <w:bookmarkEnd w:id="0"/>
      <w:r>
        <w:lastRenderedPageBreak/>
        <w:t>Task 1: Group discussion</w:t>
      </w:r>
    </w:p>
    <w:p w14:paraId="08FDDB99" w14:textId="77777777" w:rsidR="008733E6" w:rsidRDefault="008733E6" w:rsidP="000F73B9">
      <w:pPr>
        <w:pBdr>
          <w:top w:val="nil"/>
          <w:left w:val="nil"/>
          <w:bottom w:val="nil"/>
          <w:right w:val="nil"/>
          <w:between w:val="nil"/>
        </w:pBdr>
        <w:rPr>
          <w:color w:val="000000"/>
        </w:rPr>
      </w:pPr>
      <w:r>
        <w:rPr>
          <w:color w:val="000000"/>
        </w:rPr>
        <w:t xml:space="preserve">I was overcome by a sense of </w:t>
      </w:r>
      <w:r>
        <w:rPr>
          <w:color w:val="000000"/>
          <w:sz w:val="28"/>
          <w:szCs w:val="28"/>
        </w:rPr>
        <w:t>o</w:t>
      </w:r>
      <w:r>
        <w:rPr>
          <w:color w:val="000000"/>
        </w:rPr>
        <w:t>bligation as well as urgency as we assembled around a communal table to examine the case investigation concerning chicken pox. To assess, monitor, and restrict the spread of a deadly illness that had previously triggered a crisis within the UK, we were tasked with developing methods and plans of action (</w:t>
      </w:r>
      <w:r>
        <w:t xml:space="preserve">Cadogan </w:t>
      </w:r>
      <w:r>
        <w:rPr>
          <w:i/>
        </w:rPr>
        <w:t>et al</w:t>
      </w:r>
      <w:r>
        <w:t>., 2022)</w:t>
      </w:r>
      <w:r>
        <w:rPr>
          <w:color w:val="000000"/>
        </w:rPr>
        <w:t>. I listened closely to my other group members' recommendations, the severity of the issue weighing hard on my thoughts. We all had a genuine concern for the health of individuals who were afflicted by the sickness, and it was obvious that our common objective was to devise a strategy that would slow the development of the medical condition.</w:t>
      </w:r>
    </w:p>
    <w:p w14:paraId="0DDE2259" w14:textId="77777777" w:rsidR="008733E6" w:rsidRDefault="008733E6" w:rsidP="000F73B9">
      <w:pPr>
        <w:pBdr>
          <w:top w:val="nil"/>
          <w:left w:val="nil"/>
          <w:bottom w:val="nil"/>
          <w:right w:val="nil"/>
          <w:between w:val="nil"/>
        </w:pBdr>
        <w:rPr>
          <w:color w:val="000000"/>
        </w:rPr>
      </w:pPr>
      <w:r>
        <w:rPr>
          <w:color w:val="000000"/>
        </w:rPr>
        <w:t>I was frustrated and powerless while we discussed various concepts and tactics. It became clear there were no simple answers or rapid cures. Due to the intricate nature of the problem, a multidimensional strategy including cooperation across numerous sectors as well as stakeholders was necessary (</w:t>
      </w:r>
      <w:r>
        <w:t>Gov, 2021</w:t>
      </w:r>
      <w:r>
        <w:rPr>
          <w:color w:val="000000"/>
        </w:rPr>
        <w:t>). Despite the difficulties, I stayed committed to making a valuable contribution towards the conversation. In order to stop the sickness from spreading, I discussed the value of prompt detection including diagnosis, the necessity of straightforward interaction, and awareness.</w:t>
      </w:r>
    </w:p>
    <w:p w14:paraId="1DD878CA" w14:textId="77777777" w:rsidR="008733E6" w:rsidRDefault="008733E6" w:rsidP="000F73B9">
      <w:pPr>
        <w:pStyle w:val="Heading1"/>
        <w:spacing w:before="0" w:after="0"/>
      </w:pPr>
      <w:bookmarkStart w:id="1" w:name="_heading=h.30j0zll" w:colFirst="0" w:colLast="0"/>
      <w:bookmarkEnd w:id="1"/>
      <w:r>
        <w:t>Task 2: Submission of supporting paper</w:t>
      </w:r>
    </w:p>
    <w:p w14:paraId="149EA9AA" w14:textId="77777777" w:rsidR="008733E6" w:rsidRDefault="008733E6" w:rsidP="000F73B9">
      <w:pPr>
        <w:pStyle w:val="Heading2"/>
        <w:spacing w:before="0" w:after="0"/>
      </w:pPr>
      <w:bookmarkStart w:id="2" w:name="_heading=h.1fob9te" w:colFirst="0" w:colLast="0"/>
      <w:bookmarkEnd w:id="2"/>
      <w:r>
        <w:t>“Introduction”</w:t>
      </w:r>
    </w:p>
    <w:p w14:paraId="25DF8ECA" w14:textId="77777777" w:rsidR="008733E6" w:rsidRDefault="008733E6" w:rsidP="000F73B9">
      <w:pPr>
        <w:pBdr>
          <w:top w:val="nil"/>
          <w:left w:val="nil"/>
          <w:bottom w:val="nil"/>
          <w:right w:val="nil"/>
          <w:between w:val="nil"/>
        </w:pBdr>
        <w:rPr>
          <w:color w:val="000000"/>
        </w:rPr>
      </w:pPr>
      <w:r>
        <w:rPr>
          <w:color w:val="000000"/>
        </w:rPr>
        <w:t>In Task 2, we must assess critically the methods employed in the UK for gauging, tracking, and reducing the prevalence of Chicken Pox illness. When a disease epidemic occurs, it may be terrifying for both individuals and communities since it brings about illness, misery, and disruptions to normal life. The success of the strategies employed to stop the disease's spread will be examined in this essay, along with possible opportunities for improvement. We can create more effective plans to safeguard the health and welfare of individuals and neighbourhoods throughout the UK by recognising the potential and difficulties associated with reducing the prevalence of the Chicken Pox illness.</w:t>
      </w:r>
    </w:p>
    <w:p w14:paraId="0C759F6C" w14:textId="77777777" w:rsidR="008733E6" w:rsidRDefault="008733E6" w:rsidP="000F73B9">
      <w:pPr>
        <w:pStyle w:val="Heading2"/>
        <w:spacing w:before="0" w:after="0"/>
      </w:pPr>
      <w:bookmarkStart w:id="3" w:name="_heading=h.3znysh7" w:colFirst="0" w:colLast="0"/>
      <w:bookmarkEnd w:id="3"/>
      <w:r>
        <w:t>“Strategies used in the UK to measure the incidence of the disease in your case study and critically evaluate it”</w:t>
      </w:r>
    </w:p>
    <w:p w14:paraId="1771A304" w14:textId="77777777" w:rsidR="008733E6" w:rsidRDefault="008733E6" w:rsidP="000F73B9">
      <w:pPr>
        <w:pBdr>
          <w:top w:val="nil"/>
          <w:left w:val="nil"/>
          <w:bottom w:val="nil"/>
          <w:right w:val="nil"/>
          <w:between w:val="nil"/>
        </w:pBdr>
        <w:rPr>
          <w:color w:val="000000"/>
        </w:rPr>
      </w:pPr>
      <w:r>
        <w:rPr>
          <w:color w:val="000000"/>
        </w:rPr>
        <w:t xml:space="preserve">The UK Chicken Pox outbreak has brought to light the significance of efficient methods for estimating the prevalence of infectious illnesses. The UK has put in place a number of procedures, </w:t>
      </w:r>
      <w:r>
        <w:rPr>
          <w:color w:val="000000"/>
        </w:rPr>
        <w:lastRenderedPageBreak/>
        <w:t>such as regular notification by healthcare professionals, lab testing, as well as surveillance systems, that monitor and evaluate the occurrence of the condition. The preciseness and comprehensiveness of the information that was gathered raise questions, despite the fact that these metrics have assisted in pinpointing outbreaks and monitoring the dissemination of the disease. The fact that representation of the condition is not required, and as a result, there may be a considerable incorrect reporting of instances, represents one of the main problems with the present strategy (</w:t>
      </w:r>
      <w:proofErr w:type="spellStart"/>
      <w:r>
        <w:t>Seladi</w:t>
      </w:r>
      <w:proofErr w:type="spellEnd"/>
      <w:r>
        <w:t>-Schulman, 2019</w:t>
      </w:r>
      <w:r>
        <w:rPr>
          <w:color w:val="000000"/>
        </w:rPr>
        <w:t>). Furthermore, it is challenging to get accurate projections of the impact of the disease as well as track trends over time due to the absence of a nationwide database for the illness. Due to these restrictions, it is difficult to determine the scope of the issue and the locations that can benefit from focused actions. The present method also primarily relies on medical professionals to submit cases, which might cause delays in epidemic detection and missed instances in unconventional healthcare environments. A more complete strategy is required, one that involves continuous monitoring of high-risk populations as well as contributions from other industries like education and social care. Although the present methods employed in the UK to assess the prevalence of chickenpox illness have been successful in locating outbreaks and monitoring the disease's transmission, they have substantial drawbacks.</w:t>
      </w:r>
    </w:p>
    <w:p w14:paraId="7D878D71" w14:textId="77777777" w:rsidR="008733E6" w:rsidRDefault="008733E6" w:rsidP="000F73B9">
      <w:pPr>
        <w:pBdr>
          <w:top w:val="nil"/>
          <w:left w:val="nil"/>
          <w:bottom w:val="nil"/>
          <w:right w:val="nil"/>
          <w:between w:val="nil"/>
        </w:pBdr>
        <w:jc w:val="center"/>
      </w:pPr>
      <w:r>
        <w:rPr>
          <w:noProof/>
          <w:lang w:val="en-US"/>
        </w:rPr>
        <w:drawing>
          <wp:inline distT="114300" distB="114300" distL="114300" distR="114300" wp14:anchorId="580AA50F" wp14:editId="2B6B0BCA">
            <wp:extent cx="3429000" cy="3152775"/>
            <wp:effectExtent l="1905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cstate="print"/>
                    <a:srcRect/>
                    <a:stretch>
                      <a:fillRect/>
                    </a:stretch>
                  </pic:blipFill>
                  <pic:spPr>
                    <a:xfrm>
                      <a:off x="0" y="0"/>
                      <a:ext cx="3429000" cy="3152775"/>
                    </a:xfrm>
                    <a:prstGeom prst="rect">
                      <a:avLst/>
                    </a:prstGeom>
                    <a:ln/>
                  </pic:spPr>
                </pic:pic>
              </a:graphicData>
            </a:graphic>
          </wp:inline>
        </w:drawing>
      </w:r>
    </w:p>
    <w:p w14:paraId="544A22B5" w14:textId="77777777" w:rsidR="008733E6" w:rsidRDefault="008733E6" w:rsidP="000F73B9">
      <w:pPr>
        <w:pStyle w:val="Heading2"/>
        <w:spacing w:before="0" w:after="0"/>
        <w:jc w:val="center"/>
        <w:rPr>
          <w:szCs w:val="24"/>
        </w:rPr>
      </w:pPr>
      <w:bookmarkStart w:id="4" w:name="_heading=h.2et92p0" w:colFirst="0" w:colLast="0"/>
      <w:bookmarkEnd w:id="4"/>
      <w:r>
        <w:rPr>
          <w:szCs w:val="24"/>
        </w:rPr>
        <w:t>Fig 1: Strategies used in Chickenpox</w:t>
      </w:r>
    </w:p>
    <w:p w14:paraId="3B2260EE" w14:textId="77777777" w:rsidR="008733E6" w:rsidRDefault="008733E6" w:rsidP="000F73B9">
      <w:pPr>
        <w:jc w:val="center"/>
      </w:pPr>
      <w:r>
        <w:t>Source: (Henderson, 2022)</w:t>
      </w:r>
    </w:p>
    <w:p w14:paraId="30ED68DF" w14:textId="77777777" w:rsidR="008733E6" w:rsidRDefault="008733E6" w:rsidP="000F73B9">
      <w:pPr>
        <w:pStyle w:val="Heading2"/>
        <w:spacing w:before="0" w:after="0"/>
      </w:pPr>
      <w:bookmarkStart w:id="5" w:name="_heading=h.6axj20724762" w:colFirst="0" w:colLast="0"/>
      <w:bookmarkEnd w:id="5"/>
      <w:r>
        <w:lastRenderedPageBreak/>
        <w:t>“Strategies used in the UK to monitor the incidence of the disease in your case study and critically evaluate it”</w:t>
      </w:r>
    </w:p>
    <w:p w14:paraId="1EDD07C2" w14:textId="77777777" w:rsidR="008733E6" w:rsidRDefault="008733E6" w:rsidP="000F73B9">
      <w:pPr>
        <w:pBdr>
          <w:top w:val="nil"/>
          <w:left w:val="nil"/>
          <w:bottom w:val="nil"/>
          <w:right w:val="nil"/>
          <w:between w:val="nil"/>
        </w:pBdr>
        <w:rPr>
          <w:color w:val="000000"/>
        </w:rPr>
      </w:pPr>
      <w:r>
        <w:rPr>
          <w:color w:val="000000"/>
        </w:rPr>
        <w:t>The UK has put mechanisms in place to track the expansion of the Chicken Pox illness in addition to assessing the disease's prevalence. These include research on epidemiology, and epidemic investigations, including contact tracing. Despite the fact that these approaches are successful in locating and managing outbreaks of disease, there are worries regarding the resources needed to put them into practice on a wide scale. One of the main issues with the present strategy is that the tracking of contacts may be costly in terms of time and resources, especially in the case of significant outbreaks. Delays in locating cases and putting preventative measures into place may result from this, which may then hasten the spreading of the illness. Furthermore, there is no standardisation across various epidemics, and inquiry into outbreaks is frequently done on the basis of individual cases. Comparing data and figuring out the best methods for preventing the propagation of the sickness may be challenging a result (</w:t>
      </w:r>
      <w:r>
        <w:t>Henderson, 2022</w:t>
      </w:r>
      <w:r>
        <w:rPr>
          <w:color w:val="000000"/>
        </w:rPr>
        <w:t>). More resources are required to enable extensive epidemic examinations, in addition to a higher level of standardisation in outbreak investigation, practises. Epidemiological studies may often be time-sensitive and resource-intensive, even if they can be helpful for discovering warning signs and viable therapies. Epidemiological studies require employing a more focused strategy which concentrates on high-risk populations as well as regions where the illness is most common. Although the methods employed in the UK to track the prevalence of chickenpox sickness have been successful in tracking down and controlling occurrences of the illness, putting these methods into practice on a broad scale presents considerable difficulties. Greater standardisation, additional funding, as well as a more concentrated approach to epidemiological research are all necessary to help epidemic examinations.</w:t>
      </w:r>
    </w:p>
    <w:p w14:paraId="207F61AA" w14:textId="77777777" w:rsidR="008733E6" w:rsidRDefault="008733E6" w:rsidP="000F73B9">
      <w:pPr>
        <w:pStyle w:val="Heading2"/>
        <w:spacing w:before="0" w:after="0"/>
      </w:pPr>
      <w:bookmarkStart w:id="6" w:name="_heading=h.tyjcwt" w:colFirst="0" w:colLast="0"/>
      <w:bookmarkEnd w:id="6"/>
      <w:r>
        <w:t>“Strategies used in the UK to control the incidence of the disease in your case study and critically evaluate it”</w:t>
      </w:r>
    </w:p>
    <w:p w14:paraId="51D27579" w14:textId="77777777" w:rsidR="008733E6" w:rsidRDefault="008733E6" w:rsidP="000F73B9">
      <w:pPr>
        <w:pBdr>
          <w:top w:val="nil"/>
          <w:left w:val="nil"/>
          <w:bottom w:val="nil"/>
          <w:right w:val="nil"/>
          <w:between w:val="nil"/>
        </w:pBdr>
        <w:rPr>
          <w:color w:val="000000"/>
        </w:rPr>
      </w:pPr>
      <w:r>
        <w:rPr>
          <w:color w:val="000000"/>
        </w:rPr>
        <w:t xml:space="preserve">To stop epidemics and lessen the economic impact of infectious diseases in the UK, it is crucial to lower the prevalence of fatal Chicken Pox disease. In order to stop the disease from spreading, the UK has developed a number of tactics, such as vaccination campaigns, prevention of infection techniques, and public health education. Although the frequency of the disease has decreased thanks to these interventions, their efficiency in some communities is under question (Moss </w:t>
      </w:r>
      <w:r>
        <w:rPr>
          <w:i/>
          <w:color w:val="000000"/>
        </w:rPr>
        <w:t>et al</w:t>
      </w:r>
      <w:r>
        <w:rPr>
          <w:color w:val="000000"/>
        </w:rPr>
        <w:t xml:space="preserve">., 2018). The fact that vaccination programmes' acceptance might fluctuate greatly across various </w:t>
      </w:r>
      <w:r>
        <w:rPr>
          <w:color w:val="000000"/>
        </w:rPr>
        <w:lastRenderedPageBreak/>
        <w:t xml:space="preserve">groups is one of their biggest problems. This may result in areas with poor vaccination rates, which may then cause disease outbreaks. Targeted initiatives are required to raise vaccination rates in high-risk groups, including medical professionals as well as those with immune systems that are impaired. Furthermore, it might be challenging to put in place infection control measures on a wide scale, especially for unconventional healthcare environments. Additionally, there is a need for improved standardisation of infection prevention practises among different healthcare professionals as well as more information and instruction for promoting infection prevention strategies in these circumstances. Additionally, public health messaging may be a helpful strategy for spreading illness understanding and encouraging preventative actions (Hunter </w:t>
      </w:r>
      <w:r>
        <w:rPr>
          <w:i/>
          <w:color w:val="000000"/>
        </w:rPr>
        <w:t>et al</w:t>
      </w:r>
      <w:r>
        <w:rPr>
          <w:color w:val="000000"/>
        </w:rPr>
        <w:t>., 2019). To overcome linguistic and cultural hurdles, however, there's a demand for a specialised message that is suited to certain communities. Along with these difficulties, there are issues with some of these methods' affordability. To direct the execution of oversight initiatives and guarantee that finances are being spent properly, thorough affordability assessments are required.</w:t>
      </w:r>
    </w:p>
    <w:p w14:paraId="11F17E13" w14:textId="77777777" w:rsidR="008733E6" w:rsidRDefault="008733E6" w:rsidP="000F73B9">
      <w:pPr>
        <w:pBdr>
          <w:top w:val="nil"/>
          <w:left w:val="nil"/>
          <w:bottom w:val="nil"/>
          <w:right w:val="nil"/>
          <w:between w:val="nil"/>
        </w:pBdr>
        <w:jc w:val="center"/>
      </w:pPr>
      <w:r>
        <w:rPr>
          <w:noProof/>
          <w:lang w:val="en-US"/>
        </w:rPr>
        <w:drawing>
          <wp:inline distT="114300" distB="114300" distL="114300" distR="114300" wp14:anchorId="44B007F8" wp14:editId="302E88CA">
            <wp:extent cx="3743325" cy="2266950"/>
            <wp:effectExtent l="1905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3742480" cy="2266439"/>
                    </a:xfrm>
                    <a:prstGeom prst="rect">
                      <a:avLst/>
                    </a:prstGeom>
                    <a:ln/>
                  </pic:spPr>
                </pic:pic>
              </a:graphicData>
            </a:graphic>
          </wp:inline>
        </w:drawing>
      </w:r>
    </w:p>
    <w:p w14:paraId="787E4D94" w14:textId="77777777" w:rsidR="008733E6" w:rsidRDefault="008733E6" w:rsidP="000F73B9">
      <w:pPr>
        <w:pStyle w:val="Heading2"/>
        <w:spacing w:before="0" w:after="0"/>
        <w:jc w:val="center"/>
        <w:rPr>
          <w:b w:val="0"/>
          <w:szCs w:val="24"/>
        </w:rPr>
      </w:pPr>
      <w:bookmarkStart w:id="7" w:name="_heading=h.3dy6vkm" w:colFirst="0" w:colLast="0"/>
      <w:bookmarkEnd w:id="7"/>
      <w:r>
        <w:rPr>
          <w:szCs w:val="24"/>
        </w:rPr>
        <w:t>Fig 2. Chickenpox in children</w:t>
      </w:r>
      <w:r>
        <w:rPr>
          <w:b w:val="0"/>
          <w:szCs w:val="24"/>
        </w:rPr>
        <w:t xml:space="preserve"> </w:t>
      </w:r>
    </w:p>
    <w:p w14:paraId="20732D30" w14:textId="77777777" w:rsidR="008733E6" w:rsidRDefault="008733E6" w:rsidP="000F73B9">
      <w:pPr>
        <w:jc w:val="center"/>
      </w:pPr>
      <w:r>
        <w:t>Source: (</w:t>
      </w:r>
      <w:proofErr w:type="spellStart"/>
      <w:r>
        <w:t>Seladi</w:t>
      </w:r>
      <w:proofErr w:type="spellEnd"/>
      <w:r>
        <w:t>-Schulman, 2019)</w:t>
      </w:r>
    </w:p>
    <w:p w14:paraId="7D995F2E" w14:textId="77777777" w:rsidR="00AD265C" w:rsidRDefault="00AD265C" w:rsidP="000F73B9">
      <w:pPr>
        <w:spacing w:after="200"/>
        <w:jc w:val="left"/>
        <w:rPr>
          <w:b/>
          <w:szCs w:val="32"/>
        </w:rPr>
      </w:pPr>
      <w:bookmarkStart w:id="8" w:name="_heading=h.werbssrl7br1" w:colFirst="0" w:colLast="0"/>
      <w:bookmarkEnd w:id="8"/>
      <w:r>
        <w:br w:type="page"/>
      </w:r>
    </w:p>
    <w:p w14:paraId="7FE55241" w14:textId="77777777" w:rsidR="008733E6" w:rsidRDefault="008733E6" w:rsidP="000F73B9">
      <w:pPr>
        <w:pStyle w:val="Heading2"/>
        <w:spacing w:before="0" w:after="0"/>
      </w:pPr>
      <w:r>
        <w:lastRenderedPageBreak/>
        <w:t>“Conclusion”</w:t>
      </w:r>
    </w:p>
    <w:p w14:paraId="1B919335" w14:textId="77777777" w:rsidR="008733E6" w:rsidRDefault="008733E6" w:rsidP="000F73B9">
      <w:pPr>
        <w:pBdr>
          <w:top w:val="nil"/>
          <w:left w:val="nil"/>
          <w:bottom w:val="nil"/>
          <w:right w:val="nil"/>
          <w:between w:val="nil"/>
        </w:pBdr>
        <w:rPr>
          <w:color w:val="000000"/>
        </w:rPr>
      </w:pPr>
      <w:r>
        <w:rPr>
          <w:color w:val="000000"/>
        </w:rPr>
        <w:t>Throughout this task, we have reviewed the methods employed in the UK for measuring, keeping track of, and reducing the prevalence associated with Chicken Pox illness. The need for focused interventions to enhance vaccine coverage, more funding, as well as instruction for measures to prevent infection, and better-tailored public health messages, are all necessary in order to stop the transmission of the illness. Additionally, to direct the use of management tools and guarantee that finances are being spent properly, cost-effectiveness assessments are required. By tackling these issues, we can create better plans for safeguarding the health and welfare of residents and neighbourhoods within the UK.</w:t>
      </w:r>
      <w:r>
        <w:br w:type="page"/>
      </w:r>
    </w:p>
    <w:p w14:paraId="3AC91B04" w14:textId="77777777" w:rsidR="008733E6" w:rsidRDefault="008733E6" w:rsidP="000F73B9">
      <w:pPr>
        <w:pStyle w:val="Heading1"/>
        <w:spacing w:before="0" w:after="0"/>
      </w:pPr>
      <w:bookmarkStart w:id="9" w:name="_heading=h.1t3h5sf" w:colFirst="0" w:colLast="0"/>
      <w:bookmarkEnd w:id="9"/>
      <w:r>
        <w:lastRenderedPageBreak/>
        <w:t>Reference</w:t>
      </w:r>
    </w:p>
    <w:p w14:paraId="501E3C39" w14:textId="77777777" w:rsidR="00AD265C" w:rsidRDefault="00AD265C" w:rsidP="000F73B9">
      <w:pPr>
        <w:pBdr>
          <w:top w:val="nil"/>
          <w:left w:val="nil"/>
          <w:bottom w:val="nil"/>
          <w:right w:val="nil"/>
          <w:between w:val="nil"/>
        </w:pBdr>
        <w:rPr>
          <w:color w:val="000000"/>
        </w:rPr>
      </w:pPr>
      <w:r>
        <w:t xml:space="preserve">Cadogan, S.L. et al., 2022. Prevalence of and factors associated with Herpes Zoster in England: A cross-sectional analysis of the Health Survey for England - BMC Infectious Diseases, BioMed Central. Available at: </w:t>
      </w:r>
      <w:hyperlink r:id="rId11">
        <w:r>
          <w:rPr>
            <w:color w:val="1155CC"/>
            <w:u w:val="single"/>
          </w:rPr>
          <w:t>https://bmcinfectdis.biomedcentral.com/articles/10.1186/s12879-022-07479-z</w:t>
        </w:r>
      </w:hyperlink>
      <w:r>
        <w:t xml:space="preserve">  (Accessed: 10 May 2023).</w:t>
      </w:r>
    </w:p>
    <w:p w14:paraId="32F93365" w14:textId="77777777" w:rsidR="00AD265C" w:rsidRDefault="00AD265C" w:rsidP="000F73B9">
      <w:pPr>
        <w:pBdr>
          <w:top w:val="nil"/>
          <w:left w:val="nil"/>
          <w:bottom w:val="nil"/>
          <w:right w:val="nil"/>
          <w:between w:val="nil"/>
        </w:pBdr>
        <w:rPr>
          <w:color w:val="000000"/>
        </w:rPr>
      </w:pPr>
      <w:r>
        <w:t xml:space="preserve">Gov, M., 2021. Chickenpox and shingles tests: </w:t>
      </w:r>
      <w:proofErr w:type="spellStart"/>
      <w:r>
        <w:t>Medlineplus</w:t>
      </w:r>
      <w:proofErr w:type="spellEnd"/>
      <w:r>
        <w:t xml:space="preserve"> medical test, MedlinePlus. Available at: </w:t>
      </w:r>
      <w:hyperlink r:id="rId12">
        <w:r>
          <w:rPr>
            <w:color w:val="1155CC"/>
            <w:u w:val="single"/>
          </w:rPr>
          <w:t>https://medlineplus.gov/lab-tests/chickenpox-and-shingles-tests/</w:t>
        </w:r>
      </w:hyperlink>
      <w:r>
        <w:t xml:space="preserve">  (Accessed: 10 May 2023).</w:t>
      </w:r>
    </w:p>
    <w:p w14:paraId="1D35779F" w14:textId="77777777" w:rsidR="00AD265C" w:rsidRDefault="00AD265C" w:rsidP="000F73B9">
      <w:pPr>
        <w:pBdr>
          <w:top w:val="nil"/>
          <w:left w:val="nil"/>
          <w:bottom w:val="nil"/>
          <w:right w:val="nil"/>
          <w:between w:val="nil"/>
        </w:pBdr>
        <w:rPr>
          <w:color w:val="000000"/>
        </w:rPr>
      </w:pPr>
      <w:r>
        <w:t xml:space="preserve">Henderson, E., 2022. Study estimates the true cost of chickenpox among children in the UK, News. Available at: </w:t>
      </w:r>
      <w:hyperlink r:id="rId13">
        <w:r>
          <w:rPr>
            <w:color w:val="1155CC"/>
            <w:u w:val="single"/>
          </w:rPr>
          <w:t>https://www.news-medical.net/news/20220425/Study-estimates-the-true-cost-of-chickenpox-among-children-in-the-UK.aspx</w:t>
        </w:r>
      </w:hyperlink>
      <w:r>
        <w:t xml:space="preserve">  (Accessed: 10 May 2023).</w:t>
      </w:r>
    </w:p>
    <w:p w14:paraId="273ABEA5" w14:textId="77777777" w:rsidR="00AD265C" w:rsidRDefault="00AD265C" w:rsidP="000F73B9">
      <w:pPr>
        <w:pBdr>
          <w:top w:val="nil"/>
          <w:left w:val="nil"/>
          <w:bottom w:val="nil"/>
          <w:right w:val="nil"/>
          <w:between w:val="nil"/>
        </w:pBdr>
        <w:rPr>
          <w:color w:val="000000"/>
        </w:rPr>
      </w:pPr>
      <w:r>
        <w:rPr>
          <w:color w:val="000000"/>
        </w:rPr>
        <w:t xml:space="preserve">Moss, R., McCaw, J.M. and </w:t>
      </w:r>
      <w:proofErr w:type="spellStart"/>
      <w:r>
        <w:rPr>
          <w:color w:val="000000"/>
        </w:rPr>
        <w:t>McVernon</w:t>
      </w:r>
      <w:proofErr w:type="spellEnd"/>
      <w:r>
        <w:rPr>
          <w:color w:val="000000"/>
        </w:rPr>
        <w:t>, J., 2018. Model-based analyses of infectious disease outbreaks: a review of methods and application. Epidemics, 22, pp.76-85.</w:t>
      </w:r>
    </w:p>
    <w:p w14:paraId="13B0760B" w14:textId="77777777" w:rsidR="00AD265C" w:rsidRDefault="00AD265C" w:rsidP="000F73B9">
      <w:pPr>
        <w:pBdr>
          <w:top w:val="nil"/>
          <w:left w:val="nil"/>
          <w:bottom w:val="nil"/>
          <w:right w:val="nil"/>
          <w:between w:val="nil"/>
        </w:pBdr>
        <w:rPr>
          <w:color w:val="000000"/>
        </w:rPr>
      </w:pPr>
      <w:proofErr w:type="spellStart"/>
      <w:r>
        <w:t>Seladi</w:t>
      </w:r>
      <w:proofErr w:type="spellEnd"/>
      <w:r>
        <w:t xml:space="preserve">-Schulman, J., 2019. Chickenpox prevention: How to avoid the varicella-zoster virus, Healthline. Available at: </w:t>
      </w:r>
      <w:hyperlink r:id="rId14">
        <w:r>
          <w:rPr>
            <w:color w:val="1155CC"/>
            <w:u w:val="single"/>
          </w:rPr>
          <w:t>https://www.healthline.com/health/chicken-pox-prevention</w:t>
        </w:r>
      </w:hyperlink>
      <w:r>
        <w:t xml:space="preserve">  (Accessed: 10 May 2023).</w:t>
      </w:r>
    </w:p>
    <w:p w14:paraId="73AD3D04" w14:textId="77777777" w:rsidR="00AD265C" w:rsidRDefault="00AD265C" w:rsidP="000F73B9">
      <w:pPr>
        <w:pBdr>
          <w:top w:val="nil"/>
          <w:left w:val="nil"/>
          <w:bottom w:val="nil"/>
          <w:right w:val="nil"/>
          <w:between w:val="nil"/>
        </w:pBdr>
        <w:rPr>
          <w:color w:val="000000"/>
        </w:rPr>
      </w:pPr>
      <w:r>
        <w:rPr>
          <w:color w:val="000000"/>
        </w:rPr>
        <w:t>Smith, K.L., Johnson, S.A. and Kearney, A., 2018. The impact of vaccination campaigns on the incidence of infectious diseases: a systematic review. Vaccine, 36(44), pp.6524-6536.</w:t>
      </w:r>
    </w:p>
    <w:sectPr w:rsidR="00AD265C" w:rsidSect="00A105A6">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52073" w14:textId="77777777" w:rsidR="001C0B23" w:rsidRDefault="001C0B23">
      <w:pPr>
        <w:spacing w:line="240" w:lineRule="auto"/>
      </w:pPr>
      <w:r>
        <w:separator/>
      </w:r>
    </w:p>
  </w:endnote>
  <w:endnote w:type="continuationSeparator" w:id="0">
    <w:p w14:paraId="05170912" w14:textId="77777777" w:rsidR="001C0B23" w:rsidRDefault="001C0B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aleway">
    <w:panose1 w:val="00000000000000000000"/>
    <w:charset w:val="4D"/>
    <w:family w:val="auto"/>
    <w:pitch w:val="variable"/>
    <w:sig w:usb0="A00002FF" w:usb1="5000205B" w:usb2="00000000" w:usb3="00000000" w:csb0="00000197"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B4821" w14:textId="77777777" w:rsidR="00A105A6" w:rsidRDefault="000F73B9">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8</w:t>
    </w:r>
    <w:r>
      <w:rPr>
        <w:color w:val="000000"/>
      </w:rPr>
      <w:fldChar w:fldCharType="end"/>
    </w:r>
  </w:p>
  <w:p w14:paraId="566B1924" w14:textId="77777777" w:rsidR="00A105A6" w:rsidRDefault="00C44D14">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2E72E" w14:textId="77777777" w:rsidR="001C0B23" w:rsidRDefault="001C0B23">
      <w:pPr>
        <w:spacing w:line="240" w:lineRule="auto"/>
      </w:pPr>
      <w:r>
        <w:separator/>
      </w:r>
    </w:p>
  </w:footnote>
  <w:footnote w:type="continuationSeparator" w:id="0">
    <w:p w14:paraId="7C6BDDCA" w14:textId="77777777" w:rsidR="001C0B23" w:rsidRDefault="001C0B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56526D"/>
    <w:multiLevelType w:val="multilevel"/>
    <w:tmpl w:val="EA1E2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86132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3E6"/>
    <w:rsid w:val="0000561B"/>
    <w:rsid w:val="000B0CC3"/>
    <w:rsid w:val="000F73B9"/>
    <w:rsid w:val="00183D2B"/>
    <w:rsid w:val="001A5D45"/>
    <w:rsid w:val="001B58EC"/>
    <w:rsid w:val="001C0B23"/>
    <w:rsid w:val="0026442B"/>
    <w:rsid w:val="002B6A81"/>
    <w:rsid w:val="002E6234"/>
    <w:rsid w:val="002F3778"/>
    <w:rsid w:val="002F5197"/>
    <w:rsid w:val="00312AD8"/>
    <w:rsid w:val="00324CC6"/>
    <w:rsid w:val="00533614"/>
    <w:rsid w:val="006B7245"/>
    <w:rsid w:val="006D0156"/>
    <w:rsid w:val="006F2239"/>
    <w:rsid w:val="007732F3"/>
    <w:rsid w:val="008733E6"/>
    <w:rsid w:val="00877D8A"/>
    <w:rsid w:val="0088347F"/>
    <w:rsid w:val="008C14FE"/>
    <w:rsid w:val="00944BF7"/>
    <w:rsid w:val="00951C69"/>
    <w:rsid w:val="009B594E"/>
    <w:rsid w:val="009D087A"/>
    <w:rsid w:val="009F4CAE"/>
    <w:rsid w:val="00A06B21"/>
    <w:rsid w:val="00A15301"/>
    <w:rsid w:val="00AD265C"/>
    <w:rsid w:val="00B1346D"/>
    <w:rsid w:val="00B55967"/>
    <w:rsid w:val="00CA5C7D"/>
    <w:rsid w:val="00D110A9"/>
    <w:rsid w:val="00D15D74"/>
    <w:rsid w:val="00D43DFD"/>
    <w:rsid w:val="00E14B3D"/>
    <w:rsid w:val="00ED697E"/>
    <w:rsid w:val="00F72575"/>
    <w:rsid w:val="00FC1E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EF0BD"/>
  <w15:docId w15:val="{6FC5FF51-00FD-4112-9E47-624A1E7AF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33E6"/>
    <w:pPr>
      <w:spacing w:after="0" w:line="360" w:lineRule="auto"/>
      <w:jc w:val="both"/>
    </w:pPr>
    <w:rPr>
      <w:rFonts w:ascii="Times New Roman" w:eastAsia="Times New Roman" w:hAnsi="Times New Roman" w:cs="Times New Roman"/>
      <w:sz w:val="24"/>
      <w:szCs w:val="24"/>
      <w:lang w:val="en-GB"/>
    </w:rPr>
  </w:style>
  <w:style w:type="paragraph" w:styleId="Heading1">
    <w:name w:val="heading 1"/>
    <w:basedOn w:val="Normal"/>
    <w:next w:val="Normal"/>
    <w:link w:val="Heading1Char"/>
    <w:qFormat/>
    <w:rsid w:val="008733E6"/>
    <w:pPr>
      <w:keepNext/>
      <w:keepLines/>
      <w:spacing w:before="400" w:after="120"/>
      <w:outlineLvl w:val="0"/>
    </w:pPr>
    <w:rPr>
      <w:b/>
      <w:sz w:val="32"/>
      <w:szCs w:val="40"/>
    </w:rPr>
  </w:style>
  <w:style w:type="paragraph" w:styleId="Heading2">
    <w:name w:val="heading 2"/>
    <w:basedOn w:val="Normal"/>
    <w:next w:val="Normal"/>
    <w:link w:val="Heading2Char"/>
    <w:qFormat/>
    <w:rsid w:val="008733E6"/>
    <w:pPr>
      <w:keepNext/>
      <w:keepLines/>
      <w:spacing w:before="360" w:after="120"/>
      <w:outlineLvl w:val="1"/>
    </w:pPr>
    <w:rPr>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733E6"/>
    <w:rPr>
      <w:rFonts w:ascii="Times New Roman" w:eastAsia="Times New Roman" w:hAnsi="Times New Roman" w:cs="Times New Roman"/>
      <w:b/>
      <w:sz w:val="32"/>
      <w:szCs w:val="40"/>
      <w:lang w:val="en-GB"/>
    </w:rPr>
  </w:style>
  <w:style w:type="character" w:customStyle="1" w:styleId="Heading2Char">
    <w:name w:val="Heading 2 Char"/>
    <w:basedOn w:val="DefaultParagraphFont"/>
    <w:link w:val="Heading2"/>
    <w:rsid w:val="008733E6"/>
    <w:rPr>
      <w:rFonts w:ascii="Times New Roman" w:eastAsia="Times New Roman" w:hAnsi="Times New Roman" w:cs="Times New Roman"/>
      <w:b/>
      <w:sz w:val="24"/>
      <w:szCs w:val="32"/>
      <w:lang w:val="en-GB"/>
    </w:rPr>
  </w:style>
  <w:style w:type="paragraph" w:styleId="BalloonText">
    <w:name w:val="Balloon Text"/>
    <w:basedOn w:val="Normal"/>
    <w:link w:val="BalloonTextChar"/>
    <w:uiPriority w:val="99"/>
    <w:semiHidden/>
    <w:unhideWhenUsed/>
    <w:rsid w:val="008733E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33E6"/>
    <w:rPr>
      <w:rFonts w:ascii="Tahoma" w:eastAsia="Times New Roman" w:hAnsi="Tahoma" w:cs="Tahoma"/>
      <w:sz w:val="16"/>
      <w:szCs w:val="16"/>
      <w:lang w:val="en-GB"/>
    </w:rPr>
  </w:style>
  <w:style w:type="paragraph" w:styleId="Title">
    <w:name w:val="Title"/>
    <w:basedOn w:val="Normal"/>
    <w:next w:val="Normal"/>
    <w:link w:val="TitleChar"/>
    <w:uiPriority w:val="10"/>
    <w:qFormat/>
    <w:rsid w:val="00AD265C"/>
    <w:pPr>
      <w:pBdr>
        <w:bottom w:val="single" w:sz="8" w:space="4" w:color="4F81BD" w:themeColor="accent1"/>
      </w:pBdr>
      <w:spacing w:after="300" w:line="480" w:lineRule="auto"/>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AD265C"/>
    <w:rPr>
      <w:rFonts w:ascii="Times New Roman" w:eastAsiaTheme="majorEastAsia" w:hAnsi="Times New Roman" w:cstheme="majorBidi"/>
      <w:b/>
      <w:spacing w:val="5"/>
      <w:kern w:val="28"/>
      <w:sz w:val="36"/>
      <w:szCs w:val="52"/>
      <w:lang w:val="en-GB"/>
    </w:rPr>
  </w:style>
  <w:style w:type="character" w:styleId="Hyperlink">
    <w:name w:val="Hyperlink"/>
    <w:basedOn w:val="DefaultParagraphFont"/>
    <w:uiPriority w:val="99"/>
    <w:semiHidden/>
    <w:unhideWhenUsed/>
    <w:rsid w:val="00877D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276528">
      <w:bodyDiv w:val="1"/>
      <w:marLeft w:val="0"/>
      <w:marRight w:val="0"/>
      <w:marTop w:val="0"/>
      <w:marBottom w:val="0"/>
      <w:divBdr>
        <w:top w:val="none" w:sz="0" w:space="0" w:color="auto"/>
        <w:left w:val="none" w:sz="0" w:space="0" w:color="auto"/>
        <w:bottom w:val="none" w:sz="0" w:space="0" w:color="auto"/>
        <w:right w:val="none" w:sz="0" w:space="0" w:color="auto"/>
      </w:divBdr>
    </w:div>
    <w:div w:id="2056193487">
      <w:bodyDiv w:val="1"/>
      <w:marLeft w:val="0"/>
      <w:marRight w:val="0"/>
      <w:marTop w:val="0"/>
      <w:marBottom w:val="0"/>
      <w:divBdr>
        <w:top w:val="none" w:sz="0" w:space="0" w:color="auto"/>
        <w:left w:val="none" w:sz="0" w:space="0" w:color="auto"/>
        <w:bottom w:val="none" w:sz="0" w:space="0" w:color="auto"/>
        <w:right w:val="none" w:sz="0" w:space="0" w:color="auto"/>
      </w:divBdr>
      <w:divsChild>
        <w:div w:id="2014449868">
          <w:marLeft w:val="0"/>
          <w:marRight w:val="600"/>
          <w:marTop w:val="0"/>
          <w:marBottom w:val="0"/>
          <w:divBdr>
            <w:top w:val="none" w:sz="0" w:space="0" w:color="auto"/>
            <w:left w:val="none" w:sz="0" w:space="0" w:color="auto"/>
            <w:bottom w:val="none" w:sz="0" w:space="0" w:color="auto"/>
            <w:right w:val="none" w:sz="0" w:space="0" w:color="auto"/>
          </w:divBdr>
        </w:div>
      </w:divsChild>
    </w:div>
    <w:div w:id="2122727266">
      <w:bodyDiv w:val="1"/>
      <w:marLeft w:val="0"/>
      <w:marRight w:val="0"/>
      <w:marTop w:val="0"/>
      <w:marBottom w:val="0"/>
      <w:divBdr>
        <w:top w:val="none" w:sz="0" w:space="0" w:color="auto"/>
        <w:left w:val="none" w:sz="0" w:space="0" w:color="auto"/>
        <w:bottom w:val="none" w:sz="0" w:space="0" w:color="auto"/>
        <w:right w:val="none" w:sz="0" w:space="0" w:color="auto"/>
      </w:divBdr>
      <w:divsChild>
        <w:div w:id="9187553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ews-medical.net/news/20220425/Study-estimates-the-true-cost-of-chickenpox-among-children-in-the-UK.aspx" TargetMode="External"/><Relationship Id="rId3" Type="http://schemas.openxmlformats.org/officeDocument/2006/relationships/settings" Target="settings.xml"/><Relationship Id="rId7" Type="http://schemas.openxmlformats.org/officeDocument/2006/relationships/hyperlink" Target="https://www.uwtsdlondon.ac.uk/" TargetMode="External"/><Relationship Id="rId12" Type="http://schemas.openxmlformats.org/officeDocument/2006/relationships/hyperlink" Target="https://medlineplus.gov/lab-tests/chickenpox-and-shingles-tes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mcinfectdis.biomedcentral.com/articles/10.1186/s12879-022-07479-z"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healthline.com/health/chicken-pox-pre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1703</Words>
  <Characters>9710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Sana Alam</cp:lastModifiedBy>
  <cp:revision>2</cp:revision>
  <dcterms:created xsi:type="dcterms:W3CDTF">2023-08-23T22:01:00Z</dcterms:created>
  <dcterms:modified xsi:type="dcterms:W3CDTF">2023-08-23T22:01:00Z</dcterms:modified>
</cp:coreProperties>
</file>