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21142" w14:textId="77777777" w:rsidR="006D2B72" w:rsidRDefault="006D2B72" w:rsidP="006D2B72">
      <w:pPr>
        <w:spacing w:line="360" w:lineRule="auto"/>
        <w:rPr>
          <w:rFonts w:ascii="Arial" w:hAnsi="Arial" w:cs="Arial"/>
          <w:b/>
          <w:bCs/>
          <w:sz w:val="22"/>
          <w:szCs w:val="22"/>
        </w:rPr>
      </w:pPr>
    </w:p>
    <w:p w14:paraId="724A4E1D" w14:textId="77777777" w:rsidR="006D2B72" w:rsidRPr="00746FE4" w:rsidRDefault="006D2B72" w:rsidP="00746FE4">
      <w:pPr>
        <w:spacing w:line="360" w:lineRule="auto"/>
        <w:rPr>
          <w:rFonts w:ascii="Times New Roman" w:hAnsi="Times New Roman" w:cs="Times New Roman"/>
          <w:b/>
          <w:bCs/>
          <w:sz w:val="32"/>
          <w:szCs w:val="32"/>
        </w:rPr>
      </w:pPr>
    </w:p>
    <w:p w14:paraId="27A3AB12" w14:textId="77777777" w:rsidR="006D2B72" w:rsidRPr="00746FE4" w:rsidRDefault="006D2B72" w:rsidP="00746FE4">
      <w:pPr>
        <w:spacing w:line="276" w:lineRule="auto"/>
        <w:rPr>
          <w:rFonts w:ascii="Times New Roman" w:hAnsi="Times New Roman" w:cs="Times New Roman"/>
          <w:b/>
          <w:bCs/>
          <w:sz w:val="72"/>
          <w:szCs w:val="72"/>
        </w:rPr>
      </w:pPr>
      <w:r w:rsidRPr="00746FE4">
        <w:rPr>
          <w:rFonts w:ascii="Times New Roman" w:hAnsi="Times New Roman" w:cs="Times New Roman"/>
          <w:b/>
          <w:bCs/>
          <w:sz w:val="72"/>
          <w:szCs w:val="72"/>
        </w:rPr>
        <w:t>BMHP5021: Protecting and Supporting Families in Health and Care</w:t>
      </w:r>
    </w:p>
    <w:p w14:paraId="4CE68C35" w14:textId="77777777" w:rsidR="006D2B72" w:rsidRPr="00746FE4" w:rsidRDefault="006D2B72" w:rsidP="00746FE4">
      <w:pPr>
        <w:spacing w:line="360" w:lineRule="auto"/>
        <w:rPr>
          <w:rFonts w:ascii="Times New Roman" w:hAnsi="Times New Roman" w:cs="Times New Roman"/>
          <w:b/>
          <w:bCs/>
          <w:sz w:val="44"/>
          <w:szCs w:val="44"/>
        </w:rPr>
      </w:pPr>
      <w:r w:rsidRPr="00746FE4">
        <w:rPr>
          <w:rFonts w:ascii="Times New Roman" w:hAnsi="Times New Roman" w:cs="Times New Roman"/>
          <w:b/>
          <w:bCs/>
          <w:sz w:val="44"/>
          <w:szCs w:val="44"/>
        </w:rPr>
        <w:t>Component 2: Written Report</w:t>
      </w:r>
    </w:p>
    <w:p w14:paraId="439DAFB6" w14:textId="77777777" w:rsidR="006D2B72" w:rsidRPr="00746FE4" w:rsidRDefault="006D2B72" w:rsidP="00746FE4">
      <w:pPr>
        <w:spacing w:line="360" w:lineRule="auto"/>
        <w:rPr>
          <w:rFonts w:ascii="Times New Roman" w:hAnsi="Times New Roman" w:cs="Times New Roman"/>
          <w:b/>
          <w:bCs/>
          <w:sz w:val="32"/>
          <w:szCs w:val="32"/>
        </w:rPr>
      </w:pPr>
    </w:p>
    <w:p w14:paraId="136AA685" w14:textId="77777777" w:rsidR="006D2B72" w:rsidRPr="00746FE4" w:rsidRDefault="006D2B72" w:rsidP="00746FE4">
      <w:pPr>
        <w:spacing w:line="360" w:lineRule="auto"/>
        <w:rPr>
          <w:rFonts w:ascii="Times New Roman" w:hAnsi="Times New Roman" w:cs="Times New Roman"/>
          <w:b/>
          <w:bCs/>
          <w:sz w:val="32"/>
          <w:szCs w:val="32"/>
        </w:rPr>
      </w:pPr>
    </w:p>
    <w:p w14:paraId="1282C048" w14:textId="77777777" w:rsidR="001563F8" w:rsidRPr="001563F8" w:rsidRDefault="001563F8" w:rsidP="00746FE4">
      <w:pPr>
        <w:spacing w:line="360" w:lineRule="auto"/>
        <w:rPr>
          <w:rFonts w:ascii="Times New Roman" w:hAnsi="Times New Roman" w:cs="Times New Roman"/>
          <w:b/>
          <w:bCs/>
          <w:sz w:val="32"/>
          <w:szCs w:val="32"/>
        </w:rPr>
      </w:pPr>
      <w:r w:rsidRPr="001563F8">
        <w:rPr>
          <w:rFonts w:ascii="Times New Roman" w:hAnsi="Times New Roman" w:cs="Times New Roman"/>
          <w:b/>
          <w:bCs/>
          <w:sz w:val="32"/>
          <w:szCs w:val="32"/>
        </w:rPr>
        <w:t>A Critical Evaluation of Early Help Signposting Across Leicestershire, Norfolk and Leeds Local Authority Websites</w:t>
      </w:r>
    </w:p>
    <w:p w14:paraId="6B8520CC" w14:textId="77777777" w:rsidR="006D2B72" w:rsidRPr="00746FE4" w:rsidRDefault="006D2B72" w:rsidP="00746FE4">
      <w:pPr>
        <w:spacing w:line="360" w:lineRule="auto"/>
        <w:rPr>
          <w:rFonts w:ascii="Times New Roman" w:hAnsi="Times New Roman" w:cs="Times New Roman"/>
          <w:b/>
          <w:bCs/>
          <w:sz w:val="32"/>
          <w:szCs w:val="32"/>
        </w:rPr>
      </w:pPr>
    </w:p>
    <w:p w14:paraId="226564F6" w14:textId="4ACDD11D" w:rsidR="001563F8" w:rsidRPr="001563F8" w:rsidRDefault="00746FE4" w:rsidP="00746FE4">
      <w:pPr>
        <w:spacing w:line="360" w:lineRule="auto"/>
        <w:rPr>
          <w:rFonts w:ascii="Times New Roman" w:hAnsi="Times New Roman" w:cs="Times New Roman"/>
          <w:b/>
          <w:bCs/>
          <w:sz w:val="32"/>
          <w:szCs w:val="32"/>
        </w:rPr>
      </w:pPr>
      <w:r w:rsidRPr="00746FE4">
        <w:rPr>
          <w:rFonts w:ascii="Times New Roman" w:hAnsi="Times New Roman" w:cs="Times New Roman"/>
          <w:b/>
          <w:bCs/>
          <w:sz w:val="32"/>
          <w:szCs w:val="32"/>
        </w:rPr>
        <w:t xml:space="preserve">Student Name: </w:t>
      </w:r>
      <w:proofErr w:type="spellStart"/>
      <w:r w:rsidRPr="00746FE4">
        <w:rPr>
          <w:rFonts w:ascii="Times New Roman" w:hAnsi="Times New Roman" w:cs="Times New Roman"/>
          <w:b/>
          <w:bCs/>
          <w:sz w:val="32"/>
          <w:szCs w:val="32"/>
        </w:rPr>
        <w:t>Maminata</w:t>
      </w:r>
      <w:proofErr w:type="spellEnd"/>
      <w:r w:rsidRPr="00746FE4">
        <w:rPr>
          <w:rFonts w:ascii="Times New Roman" w:hAnsi="Times New Roman" w:cs="Times New Roman"/>
          <w:b/>
          <w:bCs/>
          <w:sz w:val="32"/>
          <w:szCs w:val="32"/>
        </w:rPr>
        <w:t xml:space="preserve"> Dembele</w:t>
      </w:r>
    </w:p>
    <w:p w14:paraId="129D4B66" w14:textId="1D3365F6" w:rsidR="001563F8" w:rsidRPr="001563F8" w:rsidRDefault="00746FE4" w:rsidP="00746FE4">
      <w:pPr>
        <w:spacing w:line="360" w:lineRule="auto"/>
        <w:rPr>
          <w:rFonts w:ascii="Times New Roman" w:hAnsi="Times New Roman" w:cs="Times New Roman"/>
          <w:b/>
          <w:bCs/>
          <w:sz w:val="32"/>
          <w:szCs w:val="32"/>
        </w:rPr>
      </w:pPr>
      <w:r w:rsidRPr="00746FE4">
        <w:rPr>
          <w:rFonts w:ascii="Times New Roman" w:hAnsi="Times New Roman" w:cs="Times New Roman"/>
          <w:b/>
          <w:bCs/>
          <w:sz w:val="32"/>
          <w:szCs w:val="32"/>
        </w:rPr>
        <w:t>Student Id</w:t>
      </w:r>
      <w:r w:rsidR="001563F8" w:rsidRPr="001563F8">
        <w:rPr>
          <w:rFonts w:ascii="Times New Roman" w:hAnsi="Times New Roman" w:cs="Times New Roman"/>
          <w:b/>
          <w:bCs/>
          <w:sz w:val="32"/>
          <w:szCs w:val="32"/>
        </w:rPr>
        <w:t>: 2409810</w:t>
      </w:r>
    </w:p>
    <w:p w14:paraId="6D483455" w14:textId="77777777" w:rsidR="006D2B72" w:rsidRDefault="006D2B72" w:rsidP="006D2B72">
      <w:pPr>
        <w:spacing w:line="360" w:lineRule="auto"/>
        <w:rPr>
          <w:rFonts w:ascii="Arial" w:hAnsi="Arial" w:cs="Arial"/>
          <w:b/>
          <w:bCs/>
          <w:sz w:val="22"/>
          <w:szCs w:val="22"/>
        </w:rPr>
      </w:pPr>
    </w:p>
    <w:p w14:paraId="060C9565" w14:textId="77777777" w:rsidR="006D2B72" w:rsidRDefault="006D2B72" w:rsidP="006D2B72">
      <w:pPr>
        <w:spacing w:line="360" w:lineRule="auto"/>
        <w:rPr>
          <w:rFonts w:ascii="Arial" w:hAnsi="Arial" w:cs="Arial"/>
          <w:b/>
          <w:bCs/>
          <w:sz w:val="22"/>
          <w:szCs w:val="22"/>
        </w:rPr>
      </w:pPr>
    </w:p>
    <w:p w14:paraId="4F0F4143" w14:textId="77777777" w:rsidR="00746FE4" w:rsidRDefault="00746FE4" w:rsidP="006D2B72">
      <w:pPr>
        <w:spacing w:line="360" w:lineRule="auto"/>
        <w:rPr>
          <w:rFonts w:ascii="Arial" w:hAnsi="Arial" w:cs="Arial"/>
          <w:b/>
          <w:bCs/>
          <w:sz w:val="22"/>
          <w:szCs w:val="22"/>
        </w:rPr>
      </w:pPr>
    </w:p>
    <w:p w14:paraId="13A7740E" w14:textId="77777777" w:rsidR="00746FE4" w:rsidRDefault="00746FE4" w:rsidP="006D2B72">
      <w:pPr>
        <w:spacing w:line="360" w:lineRule="auto"/>
        <w:rPr>
          <w:rFonts w:ascii="Arial" w:hAnsi="Arial" w:cs="Arial"/>
          <w:b/>
          <w:bCs/>
          <w:sz w:val="22"/>
          <w:szCs w:val="22"/>
        </w:rPr>
      </w:pPr>
    </w:p>
    <w:p w14:paraId="2BCC088D" w14:textId="77777777" w:rsidR="006D2B72" w:rsidRDefault="006D2B72" w:rsidP="006D2B72">
      <w:pPr>
        <w:spacing w:line="360" w:lineRule="auto"/>
        <w:rPr>
          <w:rFonts w:ascii="Arial" w:hAnsi="Arial" w:cs="Arial"/>
          <w:b/>
          <w:bCs/>
          <w:sz w:val="22"/>
          <w:szCs w:val="22"/>
        </w:rPr>
      </w:pPr>
      <w:r>
        <w:rPr>
          <w:rFonts w:ascii="Arial" w:hAnsi="Arial" w:cs="Arial"/>
          <w:b/>
          <w:bCs/>
          <w:sz w:val="22"/>
          <w:szCs w:val="22"/>
        </w:rPr>
        <w:t>Word Count:</w:t>
      </w:r>
    </w:p>
    <w:p w14:paraId="59057B53" w14:textId="77777777" w:rsidR="00746FE4" w:rsidRDefault="00746FE4" w:rsidP="006D2B72">
      <w:pPr>
        <w:spacing w:line="360" w:lineRule="auto"/>
        <w:rPr>
          <w:rFonts w:ascii="Arial" w:hAnsi="Arial" w:cs="Arial"/>
          <w:b/>
          <w:bCs/>
          <w:sz w:val="22"/>
          <w:szCs w:val="22"/>
        </w:rPr>
      </w:pPr>
    </w:p>
    <w:p w14:paraId="69ED7E99" w14:textId="77777777" w:rsidR="00746FE4" w:rsidRDefault="00746FE4" w:rsidP="006D2B72">
      <w:pPr>
        <w:spacing w:line="360" w:lineRule="auto"/>
        <w:rPr>
          <w:rFonts w:ascii="Arial" w:hAnsi="Arial" w:cs="Arial"/>
          <w:b/>
          <w:bCs/>
          <w:sz w:val="22"/>
          <w:szCs w:val="22"/>
        </w:rPr>
      </w:pPr>
    </w:p>
    <w:p w14:paraId="3A1848CB"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lastRenderedPageBreak/>
        <w:t>Introduction</w:t>
      </w:r>
    </w:p>
    <w:p w14:paraId="50AD6B56" w14:textId="74E4046D"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Early Help is one of the elements of the UK safeguarding system</w:t>
      </w:r>
      <w:r w:rsidRPr="00746FE4">
        <w:rPr>
          <w:rFonts w:ascii="MS Gothic" w:eastAsia="MS Gothic" w:hAnsi="MS Gothic" w:cs="MS Gothic" w:hint="eastAsia"/>
          <w:sz w:val="22"/>
          <w:szCs w:val="22"/>
        </w:rPr>
        <w:t>․</w:t>
      </w:r>
      <w:r w:rsidRPr="00746FE4">
        <w:rPr>
          <w:rFonts w:ascii="Arial" w:hAnsi="Arial" w:cs="Arial"/>
          <w:sz w:val="22"/>
          <w:szCs w:val="22"/>
        </w:rPr>
        <w:t xml:space="preserve"> It consists of the identification and addressing of the needs of children and families prior to statutory intervention (Department for Education‚ 2023a</w:t>
      </w:r>
      <w:r>
        <w:rPr>
          <w:rFonts w:ascii="Arial" w:hAnsi="Arial" w:cs="Arial"/>
          <w:sz w:val="22"/>
          <w:szCs w:val="22"/>
        </w:rPr>
        <w:t>).</w:t>
      </w:r>
      <w:r w:rsidRPr="00746FE4">
        <w:rPr>
          <w:rFonts w:ascii="Arial" w:hAnsi="Arial" w:cs="Arial"/>
          <w:sz w:val="22"/>
          <w:szCs w:val="22"/>
        </w:rPr>
        <w:t xml:space="preserve"> Early Help is based on the principle of early-intervention‚ through which it is believed that outcomes may be improved‚ inequality reduced‚ and demand for more expensive targeted support or statutory safeguarding reduced (Early Intervention Foundation‚ 2020</w:t>
      </w:r>
      <w:r>
        <w:rPr>
          <w:rFonts w:ascii="Arial" w:hAnsi="Arial" w:cs="Arial"/>
          <w:sz w:val="22"/>
          <w:szCs w:val="22"/>
        </w:rPr>
        <w:t>).</w:t>
      </w:r>
      <w:r w:rsidRPr="00746FE4">
        <w:rPr>
          <w:rFonts w:ascii="Arial" w:hAnsi="Arial" w:cs="Arial"/>
          <w:sz w:val="22"/>
          <w:szCs w:val="22"/>
        </w:rPr>
        <w:t xml:space="preserve"> However‚ while Early Help may be well established in policy‚ its effectiveness is often contingent on how easy it is for families to access services</w:t>
      </w:r>
      <w:r w:rsidRPr="00746FE4">
        <w:rPr>
          <w:rFonts w:ascii="MS Gothic" w:eastAsia="MS Gothic" w:hAnsi="MS Gothic" w:cs="MS Gothic" w:hint="eastAsia"/>
          <w:sz w:val="22"/>
          <w:szCs w:val="22"/>
        </w:rPr>
        <w:t>․</w:t>
      </w:r>
    </w:p>
    <w:p w14:paraId="7C90ECED" w14:textId="2884B8C0"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In the digital age‚ local authority websites are often the first port of call for individuals to access services</w:t>
      </w:r>
      <w:r w:rsidRPr="00746FE4">
        <w:rPr>
          <w:rFonts w:ascii="MS Gothic" w:eastAsia="MS Gothic" w:hAnsi="MS Gothic" w:cs="MS Gothic" w:hint="eastAsia"/>
          <w:sz w:val="22"/>
          <w:szCs w:val="22"/>
        </w:rPr>
        <w:t>․</w:t>
      </w:r>
      <w:r w:rsidRPr="00746FE4">
        <w:rPr>
          <w:rFonts w:ascii="Arial" w:hAnsi="Arial" w:cs="Arial"/>
          <w:sz w:val="22"/>
          <w:szCs w:val="22"/>
        </w:rPr>
        <w:t xml:space="preserve"> This raises questions over whether Early Help is communicated appropriately to all demographics including those who are vulnerable‚ live in poverty or have poor digital literacy skills (Ofcom‚ 2023</w:t>
      </w:r>
      <w:r>
        <w:rPr>
          <w:rFonts w:ascii="Arial" w:hAnsi="Arial" w:cs="Arial"/>
          <w:sz w:val="22"/>
          <w:szCs w:val="22"/>
        </w:rPr>
        <w:t xml:space="preserve">). </w:t>
      </w:r>
      <w:r w:rsidRPr="00746FE4">
        <w:rPr>
          <w:rFonts w:ascii="Arial" w:hAnsi="Arial" w:cs="Arial"/>
          <w:sz w:val="22"/>
          <w:szCs w:val="22"/>
        </w:rPr>
        <w:t>This report explores how the Early Help services are currently signposted on Leicestershire County Council‚ Norfolk County Council and Leeds City council's websites including the accessibility‚ clarity‚ usability of the information‚ and how the websites reflect the principles of Early Help and multi-agency working from their customers' viewpoint</w:t>
      </w:r>
      <w:r w:rsidRPr="00746FE4">
        <w:rPr>
          <w:rFonts w:ascii="MS Gothic" w:eastAsia="MS Gothic" w:hAnsi="MS Gothic" w:cs="MS Gothic" w:hint="eastAsia"/>
          <w:sz w:val="22"/>
          <w:szCs w:val="22"/>
        </w:rPr>
        <w:t>․</w:t>
      </w:r>
      <w:r w:rsidRPr="00746FE4">
        <w:rPr>
          <w:rFonts w:ascii="Arial" w:hAnsi="Arial" w:cs="Arial"/>
          <w:sz w:val="22"/>
          <w:szCs w:val="22"/>
        </w:rPr>
        <w:t xml:space="preserve"> The report concludes that a lack of digital inclusion weakens the preventative goals of Early Help and increases existing inequalities</w:t>
      </w:r>
      <w:r w:rsidRPr="00746FE4">
        <w:rPr>
          <w:rFonts w:ascii="MS Gothic" w:eastAsia="MS Gothic" w:hAnsi="MS Gothic" w:cs="MS Gothic" w:hint="eastAsia"/>
          <w:sz w:val="22"/>
          <w:szCs w:val="22"/>
        </w:rPr>
        <w:t>․</w:t>
      </w:r>
    </w:p>
    <w:p w14:paraId="5EDE2972" w14:textId="77777777" w:rsidR="00746FE4" w:rsidRPr="00746FE4" w:rsidRDefault="00746FE4" w:rsidP="00746FE4">
      <w:pPr>
        <w:spacing w:line="360" w:lineRule="auto"/>
        <w:jc w:val="both"/>
        <w:rPr>
          <w:rFonts w:ascii="Arial" w:hAnsi="Arial" w:cs="Arial"/>
          <w:sz w:val="22"/>
          <w:szCs w:val="22"/>
        </w:rPr>
      </w:pPr>
    </w:p>
    <w:p w14:paraId="0BE8E33E"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The Early Help System</w:t>
      </w:r>
    </w:p>
    <w:p w14:paraId="0062796D" w14:textId="131C83E3"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A key focus of the Early Help system is in providing joined up preventative support to families who present with emerging difficulties‚ with the aim of preventing families escalating to statutory safeguarding interventions (Department for Education‚ 2023a</w:t>
      </w:r>
      <w:r>
        <w:rPr>
          <w:rFonts w:ascii="Arial" w:hAnsi="Arial" w:cs="Arial"/>
          <w:sz w:val="22"/>
          <w:szCs w:val="22"/>
        </w:rPr>
        <w:t>).</w:t>
      </w:r>
      <w:r w:rsidRPr="00746FE4">
        <w:rPr>
          <w:rFonts w:ascii="Arial" w:hAnsi="Arial" w:cs="Arial"/>
          <w:sz w:val="22"/>
          <w:szCs w:val="22"/>
        </w:rPr>
        <w:t xml:space="preserve"> Early Help services operate within a continuum of need framework‚ and often focus on parenting‚ financial‚ mental health and educational difficulties</w:t>
      </w:r>
      <w:r w:rsidRPr="00746FE4">
        <w:rPr>
          <w:rFonts w:ascii="MS Gothic" w:eastAsia="MS Gothic" w:hAnsi="MS Gothic" w:cs="MS Gothic" w:hint="eastAsia"/>
          <w:sz w:val="22"/>
          <w:szCs w:val="22"/>
        </w:rPr>
        <w:t>․</w:t>
      </w:r>
      <w:r w:rsidRPr="00746FE4">
        <w:rPr>
          <w:rFonts w:ascii="Arial" w:hAnsi="Arial" w:cs="Arial"/>
          <w:sz w:val="22"/>
          <w:szCs w:val="22"/>
        </w:rPr>
        <w:t xml:space="preserve"> The Early Help System Guide states that positive early help for children reduces the need for public services in the long term (HM Government‚ 2023a</w:t>
      </w:r>
      <w:r>
        <w:rPr>
          <w:rFonts w:ascii="Arial" w:hAnsi="Arial" w:cs="Arial"/>
          <w:sz w:val="22"/>
          <w:szCs w:val="22"/>
        </w:rPr>
        <w:t>).</w:t>
      </w:r>
    </w:p>
    <w:p w14:paraId="5CD8EB0A" w14:textId="368830D7"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The Early Help offer is informed by public health models of prevention‚ which aim to identify and address a range of risk factors as early as possible (Allen‚ 2011</w:t>
      </w:r>
      <w:r>
        <w:rPr>
          <w:rFonts w:ascii="Arial" w:hAnsi="Arial" w:cs="Arial"/>
          <w:sz w:val="22"/>
          <w:szCs w:val="22"/>
        </w:rPr>
        <w:t>).</w:t>
      </w:r>
      <w:r w:rsidRPr="00746FE4">
        <w:rPr>
          <w:rFonts w:ascii="Arial" w:hAnsi="Arial" w:cs="Arial"/>
          <w:sz w:val="22"/>
          <w:szCs w:val="22"/>
        </w:rPr>
        <w:t xml:space="preserve"> Evidence shows that early intervention can result in better outcomes for children‚ including reduced risk of poor mental health‚ school exclusion and entry into the criminal justice system (Public Health England‚ 2019; Early Intervention Foundation‚ 2020</w:t>
      </w:r>
      <w:r>
        <w:rPr>
          <w:rFonts w:ascii="Arial" w:hAnsi="Arial" w:cs="Arial"/>
          <w:sz w:val="22"/>
          <w:szCs w:val="22"/>
        </w:rPr>
        <w:t>).</w:t>
      </w:r>
      <w:r w:rsidRPr="00746FE4">
        <w:rPr>
          <w:rFonts w:ascii="Arial" w:hAnsi="Arial" w:cs="Arial"/>
          <w:sz w:val="22"/>
          <w:szCs w:val="22"/>
        </w:rPr>
        <w:t xml:space="preserve"> The recognition of Adverse Childhood Experiences (ACEs) has also strengthened the case for Early Help‚ and shows how adverse experiences in childhood impact on health and wellbeing across the lifecycle (Hughes et al</w:t>
      </w:r>
      <w:r w:rsidRPr="00746FE4">
        <w:rPr>
          <w:rFonts w:ascii="MS Gothic" w:eastAsia="MS Gothic" w:hAnsi="MS Gothic" w:cs="MS Gothic" w:hint="eastAsia"/>
          <w:sz w:val="22"/>
          <w:szCs w:val="22"/>
        </w:rPr>
        <w:t>․</w:t>
      </w:r>
      <w:r w:rsidRPr="00746FE4">
        <w:rPr>
          <w:rFonts w:ascii="Arial" w:hAnsi="Arial" w:cs="Arial"/>
          <w:sz w:val="22"/>
          <w:szCs w:val="22"/>
        </w:rPr>
        <w:t>‚ 2017</w:t>
      </w:r>
      <w:r>
        <w:rPr>
          <w:rFonts w:ascii="Arial" w:hAnsi="Arial" w:cs="Arial"/>
          <w:sz w:val="22"/>
          <w:szCs w:val="22"/>
        </w:rPr>
        <w:t>).</w:t>
      </w:r>
    </w:p>
    <w:p w14:paraId="75180EF2" w14:textId="6F479D4D"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lastRenderedPageBreak/>
        <w:t>Despite these strengths‚ the early help offer has been criticised as piecemeal and underfunded‚ with budgetary cuts for preventative services caused by austerity measures creating an environment in which crisis-driven work becomes the norm (Webb and Bywaters‚ 2018; Hood et al</w:t>
      </w:r>
      <w:r w:rsidRPr="00746FE4">
        <w:rPr>
          <w:rFonts w:ascii="MS Gothic" w:eastAsia="MS Gothic" w:hAnsi="MS Gothic" w:cs="MS Gothic" w:hint="eastAsia"/>
          <w:sz w:val="22"/>
          <w:szCs w:val="22"/>
        </w:rPr>
        <w:t>․</w:t>
      </w:r>
      <w:r w:rsidRPr="00746FE4">
        <w:rPr>
          <w:rFonts w:ascii="Arial" w:hAnsi="Arial" w:cs="Arial"/>
          <w:sz w:val="22"/>
          <w:szCs w:val="22"/>
        </w:rPr>
        <w:t>‚ 2020</w:t>
      </w:r>
      <w:r>
        <w:rPr>
          <w:rFonts w:ascii="Arial" w:hAnsi="Arial" w:cs="Arial"/>
          <w:sz w:val="22"/>
          <w:szCs w:val="22"/>
        </w:rPr>
        <w:t>),</w:t>
      </w:r>
      <w:r w:rsidRPr="00746FE4">
        <w:rPr>
          <w:rFonts w:ascii="Arial" w:hAnsi="Arial" w:cs="Arial"/>
          <w:sz w:val="22"/>
          <w:szCs w:val="22"/>
        </w:rPr>
        <w:t xml:space="preserve"> weakening the ethos behind Early Help and placing added pressure on statutory services</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There is also the issue of information availability</w:t>
      </w:r>
      <w:r w:rsidRPr="00746FE4">
        <w:rPr>
          <w:rFonts w:ascii="MS Gothic" w:eastAsia="MS Gothic" w:hAnsi="MS Gothic" w:cs="MS Gothic" w:hint="eastAsia"/>
          <w:sz w:val="22"/>
          <w:szCs w:val="22"/>
        </w:rPr>
        <w:t>․</w:t>
      </w:r>
      <w:r w:rsidRPr="00746FE4">
        <w:rPr>
          <w:rFonts w:ascii="Arial" w:hAnsi="Arial" w:cs="Arial"/>
          <w:sz w:val="22"/>
          <w:szCs w:val="22"/>
        </w:rPr>
        <w:t xml:space="preserve"> Services may be there but remain inaccessible to families who simply cannot navigate their way through the system</w:t>
      </w:r>
      <w:r>
        <w:rPr>
          <w:rFonts w:ascii="MS Gothic" w:eastAsia="MS Gothic" w:hAnsi="MS Gothic" w:cs="MS Gothic"/>
          <w:sz w:val="22"/>
          <w:szCs w:val="22"/>
        </w:rPr>
        <w:t xml:space="preserve">. </w:t>
      </w:r>
      <w:r w:rsidRPr="00746FE4">
        <w:rPr>
          <w:rFonts w:ascii="Arial" w:hAnsi="Arial" w:cs="Arial"/>
          <w:sz w:val="22"/>
          <w:szCs w:val="22"/>
        </w:rPr>
        <w:t>Local authority websites therefore play a critical role in implementing Early Help</w:t>
      </w:r>
      <w:r w:rsidRPr="00746FE4">
        <w:rPr>
          <w:rFonts w:ascii="MS Gothic" w:eastAsia="MS Gothic" w:hAnsi="MS Gothic" w:cs="MS Gothic" w:hint="eastAsia"/>
          <w:sz w:val="22"/>
          <w:szCs w:val="22"/>
        </w:rPr>
        <w:t>․</w:t>
      </w:r>
      <w:r w:rsidRPr="00746FE4">
        <w:rPr>
          <w:rFonts w:ascii="Arial" w:hAnsi="Arial" w:cs="Arial"/>
          <w:sz w:val="22"/>
          <w:szCs w:val="22"/>
        </w:rPr>
        <w:t xml:space="preserve"> Access and usability issues may mean that families who might benefit from services cannot find what is available to them</w:t>
      </w:r>
      <w:r w:rsidRPr="00746FE4">
        <w:rPr>
          <w:rFonts w:ascii="MS Gothic" w:eastAsia="MS Gothic" w:hAnsi="MS Gothic" w:cs="MS Gothic" w:hint="eastAsia"/>
          <w:sz w:val="22"/>
          <w:szCs w:val="22"/>
        </w:rPr>
        <w:t>․</w:t>
      </w:r>
      <w:r w:rsidRPr="00746FE4">
        <w:rPr>
          <w:rFonts w:ascii="Arial" w:hAnsi="Arial" w:cs="Arial"/>
          <w:sz w:val="22"/>
          <w:szCs w:val="22"/>
        </w:rPr>
        <w:t xml:space="preserve"> This speaks to a tension between aspiration around policy and access to services</w:t>
      </w:r>
      <w:r w:rsidRPr="00746FE4">
        <w:rPr>
          <w:rFonts w:ascii="MS Gothic" w:eastAsia="MS Gothic" w:hAnsi="MS Gothic" w:cs="MS Gothic" w:hint="eastAsia"/>
          <w:sz w:val="22"/>
          <w:szCs w:val="22"/>
        </w:rPr>
        <w:t>․</w:t>
      </w:r>
    </w:p>
    <w:p w14:paraId="37025DA4" w14:textId="77777777" w:rsidR="00746FE4" w:rsidRPr="00746FE4" w:rsidRDefault="00746FE4" w:rsidP="00746FE4">
      <w:pPr>
        <w:spacing w:line="360" w:lineRule="auto"/>
        <w:jc w:val="both"/>
        <w:rPr>
          <w:rFonts w:ascii="Arial" w:hAnsi="Arial" w:cs="Arial"/>
          <w:sz w:val="22"/>
          <w:szCs w:val="22"/>
        </w:rPr>
      </w:pPr>
    </w:p>
    <w:p w14:paraId="70CF1CA4"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Multi-agency delivery of early help</w:t>
      </w:r>
    </w:p>
    <w:p w14:paraId="548AA508" w14:textId="579F10A5"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Multi-agency working is a core part of Early Help</w:t>
      </w:r>
      <w:r w:rsidRPr="00746FE4">
        <w:rPr>
          <w:rFonts w:ascii="MS Gothic" w:eastAsia="MS Gothic" w:hAnsi="MS Gothic" w:cs="MS Gothic" w:hint="eastAsia"/>
          <w:sz w:val="22"/>
          <w:szCs w:val="22"/>
        </w:rPr>
        <w:t>․</w:t>
      </w:r>
      <w:r w:rsidRPr="00746FE4">
        <w:rPr>
          <w:rFonts w:ascii="Arial" w:hAnsi="Arial" w:cs="Arial"/>
          <w:sz w:val="22"/>
          <w:szCs w:val="22"/>
        </w:rPr>
        <w:t xml:space="preserve"> Families' needs can be complex and multi-faceted‚ and professionals from a range of disciplines‚ including social care‚ health‚ education and the voluntary sector‚ work together to provide well-coordinated and holistic support for families (HM Government‚ 2023b</w:t>
      </w:r>
      <w:r>
        <w:rPr>
          <w:rFonts w:ascii="Arial" w:hAnsi="Arial" w:cs="Arial"/>
          <w:sz w:val="22"/>
          <w:szCs w:val="22"/>
        </w:rPr>
        <w:t>).</w:t>
      </w:r>
      <w:r w:rsidRPr="00746FE4">
        <w:rPr>
          <w:rFonts w:ascii="Arial" w:hAnsi="Arial" w:cs="Arial"/>
          <w:sz w:val="22"/>
          <w:szCs w:val="22"/>
        </w:rPr>
        <w:t xml:space="preserve"> Statutory guidance Working Together to Safeguard Children (2023) stresses the importance of shared responsibility and effective communication between agencies when safeguarding children</w:t>
      </w:r>
      <w:r w:rsidRPr="00746FE4">
        <w:rPr>
          <w:rFonts w:ascii="MS Gothic" w:eastAsia="MS Gothic" w:hAnsi="MS Gothic" w:cs="MS Gothic" w:hint="eastAsia"/>
          <w:sz w:val="22"/>
          <w:szCs w:val="22"/>
        </w:rPr>
        <w:t>․</w:t>
      </w:r>
    </w:p>
    <w:p w14:paraId="65E9FBA5" w14:textId="2E113C1F"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There is a strong theoretical basis for multi-agency working‚ and it has been shown to have a role in achieving better outcomes through integrated service delivery</w:t>
      </w:r>
      <w:r w:rsidRPr="00746FE4">
        <w:rPr>
          <w:rFonts w:ascii="MS Gothic" w:eastAsia="MS Gothic" w:hAnsi="MS Gothic" w:cs="MS Gothic" w:hint="eastAsia"/>
          <w:sz w:val="22"/>
          <w:szCs w:val="22"/>
        </w:rPr>
        <w:t>․</w:t>
      </w:r>
      <w:r w:rsidRPr="00746FE4">
        <w:rPr>
          <w:rFonts w:ascii="Arial" w:hAnsi="Arial" w:cs="Arial"/>
          <w:sz w:val="22"/>
          <w:szCs w:val="22"/>
        </w:rPr>
        <w:t xml:space="preserve"> Evidence suggests that multi-agency working has a role to play in early identification of need‚ the prevention of duplication‚ and in providing more holistic support for families (Atkinson et al</w:t>
      </w:r>
      <w:r w:rsidRPr="00746FE4">
        <w:rPr>
          <w:rFonts w:ascii="MS Gothic" w:eastAsia="MS Gothic" w:hAnsi="MS Gothic" w:cs="MS Gothic" w:hint="eastAsia"/>
          <w:sz w:val="22"/>
          <w:szCs w:val="22"/>
        </w:rPr>
        <w:t>․</w:t>
      </w:r>
      <w:r w:rsidRPr="00746FE4">
        <w:rPr>
          <w:rFonts w:ascii="Arial" w:hAnsi="Arial" w:cs="Arial"/>
          <w:sz w:val="22"/>
          <w:szCs w:val="22"/>
        </w:rPr>
        <w:t>‚ 2007; Sloper‚ 2004</w:t>
      </w:r>
      <w:r>
        <w:rPr>
          <w:rFonts w:ascii="Arial" w:hAnsi="Arial" w:cs="Arial"/>
          <w:sz w:val="22"/>
          <w:szCs w:val="22"/>
        </w:rPr>
        <w:t>).</w:t>
      </w:r>
      <w:r w:rsidRPr="00746FE4">
        <w:rPr>
          <w:rFonts w:ascii="Arial" w:hAnsi="Arial" w:cs="Arial"/>
          <w:sz w:val="22"/>
          <w:szCs w:val="22"/>
        </w:rPr>
        <w:t xml:space="preserve"> For </w:t>
      </w:r>
      <w:r w:rsidRPr="00746FE4">
        <w:rPr>
          <w:rFonts w:ascii="Arial" w:hAnsi="Arial" w:cs="Arial"/>
          <w:sz w:val="22"/>
          <w:szCs w:val="22"/>
        </w:rPr>
        <w:t>example,</w:t>
      </w:r>
      <w:r w:rsidRPr="00746FE4">
        <w:rPr>
          <w:rFonts w:ascii="Arial" w:hAnsi="Arial" w:cs="Arial"/>
          <w:sz w:val="22"/>
          <w:szCs w:val="22"/>
        </w:rPr>
        <w:t xml:space="preserve"> the development of Family Hubs in England has led to the co-location of several services in a shared location (Department for Education‚ 2022</w:t>
      </w:r>
      <w:r>
        <w:rPr>
          <w:rFonts w:ascii="Arial" w:hAnsi="Arial" w:cs="Arial"/>
          <w:sz w:val="22"/>
          <w:szCs w:val="22"/>
        </w:rPr>
        <w:t>).</w:t>
      </w:r>
    </w:p>
    <w:p w14:paraId="17B035E7" w14:textId="2EA1BE15"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Multi-agency working can sometimes be weakened by structural and organisational factors such as poor communication systems‚ lack of clarity about roles across organizations‚ and lack of clarity around shared working processes for different professionals (Munro‚ 2011; Horwath and Morrison‚ 2011</w:t>
      </w:r>
      <w:r>
        <w:rPr>
          <w:rFonts w:ascii="Arial" w:hAnsi="Arial" w:cs="Arial"/>
          <w:sz w:val="22"/>
          <w:szCs w:val="22"/>
        </w:rPr>
        <w:t>).</w:t>
      </w:r>
      <w:r w:rsidRPr="00746FE4">
        <w:rPr>
          <w:rFonts w:ascii="Arial" w:hAnsi="Arial" w:cs="Arial"/>
          <w:sz w:val="22"/>
          <w:szCs w:val="22"/>
        </w:rPr>
        <w:t xml:space="preserve"> These barriers may result in a fractured service provision‚ which may impact the effectiveness of Early Help</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However‚ whether the benefits of multi-agency working can be fully realised may depend on the accessibility of information about local services to families</w:t>
      </w:r>
      <w:r w:rsidRPr="00746FE4">
        <w:rPr>
          <w:rFonts w:ascii="MS Gothic" w:eastAsia="MS Gothic" w:hAnsi="MS Gothic" w:cs="MS Gothic" w:hint="eastAsia"/>
          <w:sz w:val="22"/>
          <w:szCs w:val="22"/>
        </w:rPr>
        <w:t>․</w:t>
      </w:r>
      <w:r w:rsidRPr="00746FE4">
        <w:rPr>
          <w:rFonts w:ascii="Arial" w:hAnsi="Arial" w:cs="Arial"/>
          <w:sz w:val="22"/>
          <w:szCs w:val="22"/>
        </w:rPr>
        <w:t xml:space="preserve"> If local authority websites‚ for instance‚ do not adequately provide information about the range of services available‚ as well as how they may be accessed‚ the benefits may not be fully realised</w:t>
      </w:r>
      <w:r w:rsidRPr="00746FE4">
        <w:rPr>
          <w:rFonts w:ascii="MS Gothic" w:eastAsia="MS Gothic" w:hAnsi="MS Gothic" w:cs="MS Gothic" w:hint="eastAsia"/>
          <w:sz w:val="22"/>
          <w:szCs w:val="22"/>
        </w:rPr>
        <w:t>․</w:t>
      </w:r>
      <w:r w:rsidRPr="00746FE4">
        <w:rPr>
          <w:rFonts w:ascii="Arial" w:hAnsi="Arial" w:cs="Arial"/>
          <w:sz w:val="22"/>
          <w:szCs w:val="22"/>
        </w:rPr>
        <w:t xml:space="preserve"> It follows‚ therefore‚ that the most effective means of multi-</w:t>
      </w:r>
      <w:r w:rsidRPr="00746FE4">
        <w:rPr>
          <w:rFonts w:ascii="Arial" w:hAnsi="Arial" w:cs="Arial"/>
          <w:sz w:val="22"/>
          <w:szCs w:val="22"/>
        </w:rPr>
        <w:lastRenderedPageBreak/>
        <w:t>agency working is through digital communication; a key point of interface between complex systems and the families they serve</w:t>
      </w:r>
      <w:r w:rsidRPr="00746FE4">
        <w:rPr>
          <w:rFonts w:ascii="MS Gothic" w:eastAsia="MS Gothic" w:hAnsi="MS Gothic" w:cs="MS Gothic" w:hint="eastAsia"/>
          <w:sz w:val="22"/>
          <w:szCs w:val="22"/>
        </w:rPr>
        <w:t>․</w:t>
      </w:r>
    </w:p>
    <w:p w14:paraId="5E10A2A7" w14:textId="77777777" w:rsidR="00746FE4" w:rsidRPr="00746FE4" w:rsidRDefault="00746FE4" w:rsidP="00746FE4">
      <w:pPr>
        <w:spacing w:line="360" w:lineRule="auto"/>
        <w:jc w:val="both"/>
        <w:rPr>
          <w:rFonts w:ascii="Arial" w:hAnsi="Arial" w:cs="Arial"/>
          <w:sz w:val="22"/>
          <w:szCs w:val="22"/>
        </w:rPr>
      </w:pPr>
    </w:p>
    <w:p w14:paraId="3F3CC24D"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Assessing Three Local Authority Websites</w:t>
      </w:r>
    </w:p>
    <w:p w14:paraId="18F6D174"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Leicestershire County Council</w:t>
      </w:r>
    </w:p>
    <w:p w14:paraId="2C39053A" w14:textId="24356373"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Leicestershire County Council publishes the Early Help offer for Leicestershire on the web pages on its website</w:t>
      </w:r>
      <w:r w:rsidRPr="00746FE4">
        <w:rPr>
          <w:rFonts w:ascii="MS Gothic" w:eastAsia="MS Gothic" w:hAnsi="MS Gothic" w:cs="MS Gothic" w:hint="eastAsia"/>
          <w:sz w:val="22"/>
          <w:szCs w:val="22"/>
        </w:rPr>
        <w:t>․</w:t>
      </w:r>
      <w:r w:rsidRPr="00746FE4">
        <w:rPr>
          <w:rFonts w:ascii="Arial" w:hAnsi="Arial" w:cs="Arial"/>
          <w:sz w:val="22"/>
          <w:szCs w:val="22"/>
        </w:rPr>
        <w:t xml:space="preserve"> The pages of the Early Help offer provide information about Leicestershire "Family Help" and "Early Help" services‚ covering who is eligible‚ how to refer and what services are available‚ including parenting courses‚ youth services and targeted services</w:t>
      </w:r>
      <w:r w:rsidRPr="00746FE4">
        <w:rPr>
          <w:rFonts w:ascii="MS Gothic" w:eastAsia="MS Gothic" w:hAnsi="MS Gothic" w:cs="MS Gothic" w:hint="eastAsia"/>
          <w:sz w:val="22"/>
          <w:szCs w:val="22"/>
        </w:rPr>
        <w:t>․</w:t>
      </w:r>
      <w:r w:rsidRPr="00746FE4">
        <w:rPr>
          <w:rFonts w:ascii="Arial" w:hAnsi="Arial" w:cs="Arial"/>
          <w:sz w:val="22"/>
          <w:szCs w:val="22"/>
        </w:rPr>
        <w:t xml:space="preserve"> This level of detail is commensurate with statutory requirements for transparency and accountability in relation to the provision of services (Department for Education‚ 2023a</w:t>
      </w:r>
      <w:r>
        <w:rPr>
          <w:rFonts w:ascii="Arial" w:hAnsi="Arial" w:cs="Arial"/>
          <w:sz w:val="22"/>
          <w:szCs w:val="22"/>
        </w:rPr>
        <w:t xml:space="preserve">). </w:t>
      </w:r>
      <w:r w:rsidRPr="00746FE4">
        <w:rPr>
          <w:rFonts w:ascii="Arial" w:hAnsi="Arial" w:cs="Arial"/>
          <w:sz w:val="22"/>
          <w:szCs w:val="22"/>
        </w:rPr>
        <w:t>A strength of the Leicestershire website is the presence of clear referral pathways to different levels of a multi-agency offer for both professional and direct self-referrals</w:t>
      </w:r>
      <w:r w:rsidRPr="00746FE4">
        <w:rPr>
          <w:rFonts w:ascii="MS Gothic" w:eastAsia="MS Gothic" w:hAnsi="MS Gothic" w:cs="MS Gothic" w:hint="eastAsia"/>
          <w:sz w:val="22"/>
          <w:szCs w:val="22"/>
        </w:rPr>
        <w:t>․</w:t>
      </w:r>
      <w:r w:rsidRPr="00746FE4">
        <w:rPr>
          <w:rFonts w:ascii="Arial" w:hAnsi="Arial" w:cs="Arial"/>
          <w:sz w:val="22"/>
          <w:szCs w:val="22"/>
        </w:rPr>
        <w:t xml:space="preserve"> This is important‚ as easy referral is a key component of good Early Help (Local Government Association‚ 2022</w:t>
      </w:r>
      <w:r>
        <w:rPr>
          <w:rFonts w:ascii="Arial" w:hAnsi="Arial" w:cs="Arial"/>
          <w:sz w:val="22"/>
          <w:szCs w:val="22"/>
        </w:rPr>
        <w:t>).</w:t>
      </w:r>
      <w:r w:rsidRPr="00746FE4">
        <w:rPr>
          <w:rFonts w:ascii="Arial" w:hAnsi="Arial" w:cs="Arial"/>
          <w:sz w:val="22"/>
          <w:szCs w:val="22"/>
        </w:rPr>
        <w:t xml:space="preserve"> Structured guidance also indicates the intent to help both professionals and families navigate a system of services</w:t>
      </w:r>
      <w:r w:rsidRPr="00746FE4">
        <w:rPr>
          <w:rFonts w:ascii="MS Gothic" w:eastAsia="MS Gothic" w:hAnsi="MS Gothic" w:cs="MS Gothic" w:hint="eastAsia"/>
          <w:sz w:val="22"/>
          <w:szCs w:val="22"/>
        </w:rPr>
        <w:t>․</w:t>
      </w:r>
    </w:p>
    <w:p w14:paraId="317345A1" w14:textId="239FBAFB"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However,</w:t>
      </w:r>
      <w:r w:rsidRPr="00746FE4">
        <w:rPr>
          <w:rFonts w:ascii="Arial" w:hAnsi="Arial" w:cs="Arial"/>
          <w:sz w:val="22"/>
          <w:szCs w:val="22"/>
        </w:rPr>
        <w:t xml:space="preserve"> a potential downside of such comprehensiveness is that it could be overwhelming for some users‚ particularly those in crisis looking for accessible and digestible information‚ as academic research shows that in contexts of stress or crisis there is a decrease in the ability to process messages that are not simple (Morris et al</w:t>
      </w:r>
      <w:r w:rsidRPr="00746FE4">
        <w:rPr>
          <w:rFonts w:ascii="MS Gothic" w:eastAsia="MS Gothic" w:hAnsi="MS Gothic" w:cs="MS Gothic" w:hint="eastAsia"/>
          <w:sz w:val="22"/>
          <w:szCs w:val="22"/>
        </w:rPr>
        <w:t>․</w:t>
      </w:r>
      <w:r w:rsidRPr="00746FE4">
        <w:rPr>
          <w:rFonts w:ascii="Arial" w:hAnsi="Arial" w:cs="Arial"/>
          <w:sz w:val="22"/>
          <w:szCs w:val="22"/>
        </w:rPr>
        <w:t>‚ 2018</w:t>
      </w:r>
      <w:r>
        <w:rPr>
          <w:rFonts w:ascii="Arial" w:hAnsi="Arial" w:cs="Arial"/>
          <w:sz w:val="22"/>
          <w:szCs w:val="22"/>
        </w:rPr>
        <w:t>).</w:t>
      </w:r>
      <w:r w:rsidRPr="00746FE4">
        <w:rPr>
          <w:rFonts w:ascii="Arial" w:hAnsi="Arial" w:cs="Arial"/>
          <w:sz w:val="22"/>
          <w:szCs w:val="22"/>
        </w:rPr>
        <w:t xml:space="preserve"> </w:t>
      </w:r>
      <w:r w:rsidRPr="00746FE4">
        <w:rPr>
          <w:rFonts w:ascii="Arial" w:hAnsi="Arial" w:cs="Arial"/>
          <w:sz w:val="22"/>
          <w:szCs w:val="22"/>
        </w:rPr>
        <w:t>Therefore,</w:t>
      </w:r>
      <w:r w:rsidRPr="00746FE4">
        <w:rPr>
          <w:rFonts w:ascii="Arial" w:hAnsi="Arial" w:cs="Arial"/>
          <w:sz w:val="22"/>
          <w:szCs w:val="22"/>
        </w:rPr>
        <w:t xml:space="preserve"> the Leicestershire website‚ though helpful and informative‚ may not be the most suited for its target users (families in need</w:t>
      </w:r>
      <w:r>
        <w:rPr>
          <w:rFonts w:ascii="Arial" w:hAnsi="Arial" w:cs="Arial"/>
          <w:sz w:val="22"/>
          <w:szCs w:val="22"/>
        </w:rPr>
        <w:t xml:space="preserve">). </w:t>
      </w:r>
      <w:r w:rsidRPr="00746FE4">
        <w:rPr>
          <w:rFonts w:ascii="Arial" w:hAnsi="Arial" w:cs="Arial"/>
          <w:sz w:val="22"/>
          <w:szCs w:val="22"/>
        </w:rPr>
        <w:t>Further‚ because the interface is built around text‚ it may not be as accessible for users with lower literacy skills or users that do not have English as their first language</w:t>
      </w:r>
      <w:r w:rsidRPr="00746FE4">
        <w:rPr>
          <w:rFonts w:ascii="MS Gothic" w:eastAsia="MS Gothic" w:hAnsi="MS Gothic" w:cs="MS Gothic" w:hint="eastAsia"/>
          <w:sz w:val="22"/>
          <w:szCs w:val="22"/>
        </w:rPr>
        <w:t>․</w:t>
      </w:r>
      <w:r w:rsidRPr="00746FE4">
        <w:rPr>
          <w:rFonts w:ascii="Arial" w:hAnsi="Arial" w:cs="Arial"/>
          <w:sz w:val="22"/>
          <w:szCs w:val="22"/>
        </w:rPr>
        <w:t xml:space="preserve"> Simply put‚ while Leicestershire is clear and well organised‚ it is not user-centred or inclusive in its design</w:t>
      </w:r>
      <w:r w:rsidRPr="00746FE4">
        <w:rPr>
          <w:rFonts w:ascii="MS Gothic" w:eastAsia="MS Gothic" w:hAnsi="MS Gothic" w:cs="MS Gothic" w:hint="eastAsia"/>
          <w:sz w:val="22"/>
          <w:szCs w:val="22"/>
        </w:rPr>
        <w:t>․</w:t>
      </w:r>
    </w:p>
    <w:p w14:paraId="2E42EF01" w14:textId="77777777" w:rsidR="00746FE4" w:rsidRPr="00746FE4" w:rsidRDefault="00746FE4" w:rsidP="00746FE4">
      <w:pPr>
        <w:spacing w:line="360" w:lineRule="auto"/>
        <w:jc w:val="both"/>
        <w:rPr>
          <w:rFonts w:ascii="Arial" w:hAnsi="Arial" w:cs="Arial"/>
          <w:sz w:val="22"/>
          <w:szCs w:val="22"/>
        </w:rPr>
      </w:pPr>
    </w:p>
    <w:p w14:paraId="58D7D812"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Norfolk County Council</w:t>
      </w:r>
    </w:p>
    <w:p w14:paraId="05E3A799" w14:textId="24884D45"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Norfolk County Council adopts a high-level theoretical approach to Early Help which places the responsibility for identifying and responding to emerging needs across all services</w:t>
      </w:r>
      <w:r w:rsidRPr="00746FE4">
        <w:rPr>
          <w:rFonts w:ascii="MS Gothic" w:eastAsia="MS Gothic" w:hAnsi="MS Gothic" w:cs="MS Gothic" w:hint="eastAsia"/>
          <w:sz w:val="22"/>
          <w:szCs w:val="22"/>
        </w:rPr>
        <w:t>․</w:t>
      </w:r>
      <w:r w:rsidRPr="00746FE4">
        <w:rPr>
          <w:rFonts w:ascii="Arial" w:hAnsi="Arial" w:cs="Arial"/>
          <w:sz w:val="22"/>
          <w:szCs w:val="22"/>
        </w:rPr>
        <w:t xml:space="preserve"> The website adopts a strong theoretical approach to early help as a universal preventative system that is embedded across a range of agencies</w:t>
      </w:r>
      <w:r w:rsidRPr="00746FE4">
        <w:rPr>
          <w:rFonts w:ascii="MS Gothic" w:eastAsia="MS Gothic" w:hAnsi="MS Gothic" w:cs="MS Gothic" w:hint="eastAsia"/>
          <w:sz w:val="22"/>
          <w:szCs w:val="22"/>
        </w:rPr>
        <w:t>․</w:t>
      </w:r>
      <w:r w:rsidRPr="00746FE4">
        <w:rPr>
          <w:rFonts w:ascii="Arial" w:hAnsi="Arial" w:cs="Arial"/>
          <w:sz w:val="22"/>
          <w:szCs w:val="22"/>
        </w:rPr>
        <w:t xml:space="preserve"> This mirrors national policy frameworks that promote family support through integrated and collaborative approaches (HM Government‚ 2023b</w:t>
      </w:r>
      <w:r>
        <w:rPr>
          <w:rFonts w:ascii="Arial" w:hAnsi="Arial" w:cs="Arial"/>
          <w:sz w:val="22"/>
          <w:szCs w:val="22"/>
        </w:rPr>
        <w:t xml:space="preserve">). </w:t>
      </w:r>
      <w:r w:rsidRPr="00746FE4">
        <w:rPr>
          <w:rFonts w:ascii="Arial" w:hAnsi="Arial" w:cs="Arial"/>
          <w:sz w:val="22"/>
          <w:szCs w:val="22"/>
        </w:rPr>
        <w:t xml:space="preserve">The broadness of the Norfolk website‚ in considering the needs of families across a </w:t>
      </w:r>
      <w:r w:rsidRPr="00746FE4">
        <w:rPr>
          <w:rFonts w:ascii="Arial" w:hAnsi="Arial" w:cs="Arial"/>
          <w:sz w:val="22"/>
          <w:szCs w:val="22"/>
        </w:rPr>
        <w:lastRenderedPageBreak/>
        <w:t>range of issues‚ such as mental health‚ housing issues and financial difficulties reflects the perception of the complex realities of family life</w:t>
      </w:r>
      <w:r w:rsidRPr="00746FE4">
        <w:rPr>
          <w:rFonts w:ascii="MS Gothic" w:eastAsia="MS Gothic" w:hAnsi="MS Gothic" w:cs="MS Gothic" w:hint="eastAsia"/>
          <w:sz w:val="22"/>
          <w:szCs w:val="22"/>
        </w:rPr>
        <w:t>․</w:t>
      </w:r>
      <w:r w:rsidRPr="00746FE4">
        <w:rPr>
          <w:rFonts w:ascii="Arial" w:hAnsi="Arial" w:cs="Arial"/>
          <w:sz w:val="22"/>
          <w:szCs w:val="22"/>
        </w:rPr>
        <w:t xml:space="preserve"> Such perspectives are consistent with ecological models of child development that stress the interaction of child‚ family and environmental factors (Bronfenbrenner‚ 1979</w:t>
      </w:r>
      <w:r>
        <w:rPr>
          <w:rFonts w:ascii="Arial" w:hAnsi="Arial" w:cs="Arial"/>
          <w:sz w:val="22"/>
          <w:szCs w:val="22"/>
        </w:rPr>
        <w:t>).</w:t>
      </w:r>
    </w:p>
    <w:p w14:paraId="1C207CD9" w14:textId="3F4A8D67" w:rsidR="00746FE4" w:rsidRDefault="00746FE4" w:rsidP="00746FE4">
      <w:pPr>
        <w:spacing w:line="360" w:lineRule="auto"/>
        <w:jc w:val="both"/>
        <w:rPr>
          <w:rFonts w:ascii="MS Gothic" w:eastAsia="MS Gothic" w:hAnsi="MS Gothic" w:cs="MS Gothic"/>
          <w:sz w:val="22"/>
          <w:szCs w:val="22"/>
        </w:rPr>
      </w:pPr>
      <w:r w:rsidRPr="00746FE4">
        <w:rPr>
          <w:rFonts w:ascii="Arial" w:hAnsi="Arial" w:cs="Arial"/>
          <w:sz w:val="22"/>
          <w:szCs w:val="22"/>
        </w:rPr>
        <w:t>Despite its various strengths‚ the site might be less accessible for the general population‚ as it sometimes presents information in a more specialist manner</w:t>
      </w:r>
      <w:r w:rsidRPr="00746FE4">
        <w:rPr>
          <w:rFonts w:ascii="MS Gothic" w:eastAsia="MS Gothic" w:hAnsi="MS Gothic" w:cs="MS Gothic" w:hint="eastAsia"/>
          <w:sz w:val="22"/>
          <w:szCs w:val="22"/>
        </w:rPr>
        <w:t>․</w:t>
      </w:r>
      <w:r w:rsidRPr="00746FE4">
        <w:rPr>
          <w:rFonts w:ascii="Arial" w:hAnsi="Arial" w:cs="Arial"/>
          <w:sz w:val="22"/>
          <w:szCs w:val="22"/>
        </w:rPr>
        <w:t xml:space="preserve"> For instance‚ in relation to public services‚ the use of policy language‚ as well as a lack of clear 'entry points' to a particular service‚ could act as barriers for a person seeking immediate assistance in a crisis situation</w:t>
      </w:r>
      <w:r w:rsidRPr="00746FE4">
        <w:rPr>
          <w:rFonts w:ascii="MS Gothic" w:eastAsia="MS Gothic" w:hAnsi="MS Gothic" w:cs="MS Gothic" w:hint="eastAsia"/>
          <w:sz w:val="22"/>
          <w:szCs w:val="22"/>
        </w:rPr>
        <w:t>․</w:t>
      </w:r>
      <w:r w:rsidRPr="00746FE4">
        <w:rPr>
          <w:rFonts w:ascii="Arial" w:hAnsi="Arial" w:cs="Arial"/>
          <w:sz w:val="22"/>
          <w:szCs w:val="22"/>
        </w:rPr>
        <w:t xml:space="preserve"> This phenomenon can also be found within other public services (Featherstone et al</w:t>
      </w:r>
      <w:r w:rsidRPr="00746FE4">
        <w:rPr>
          <w:rFonts w:ascii="MS Gothic" w:eastAsia="MS Gothic" w:hAnsi="MS Gothic" w:cs="MS Gothic" w:hint="eastAsia"/>
          <w:sz w:val="22"/>
          <w:szCs w:val="22"/>
        </w:rPr>
        <w:t>․</w:t>
      </w:r>
      <w:r w:rsidRPr="00746FE4">
        <w:rPr>
          <w:rFonts w:ascii="Arial" w:hAnsi="Arial" w:cs="Arial"/>
          <w:sz w:val="22"/>
          <w:szCs w:val="22"/>
        </w:rPr>
        <w:t>‚ 2022</w:t>
      </w:r>
      <w:r>
        <w:rPr>
          <w:rFonts w:ascii="Arial" w:hAnsi="Arial" w:cs="Arial"/>
          <w:sz w:val="22"/>
          <w:szCs w:val="22"/>
        </w:rPr>
        <w:t xml:space="preserve">). </w:t>
      </w:r>
      <w:r w:rsidRPr="00746FE4">
        <w:rPr>
          <w:rFonts w:ascii="Arial" w:hAnsi="Arial" w:cs="Arial"/>
          <w:sz w:val="22"/>
          <w:szCs w:val="22"/>
        </w:rPr>
        <w:t>Users of the Norfolk website may not find the information they are looking for‚ as they may have to click through several pages</w:t>
      </w:r>
      <w:r w:rsidRPr="00746FE4">
        <w:rPr>
          <w:rFonts w:ascii="MS Gothic" w:eastAsia="MS Gothic" w:hAnsi="MS Gothic" w:cs="MS Gothic" w:hint="eastAsia"/>
          <w:sz w:val="22"/>
          <w:szCs w:val="22"/>
        </w:rPr>
        <w:t>․</w:t>
      </w:r>
      <w:r w:rsidRPr="00746FE4">
        <w:rPr>
          <w:rFonts w:ascii="Arial" w:hAnsi="Arial" w:cs="Arial"/>
          <w:sz w:val="22"/>
          <w:szCs w:val="22"/>
        </w:rPr>
        <w:t xml:space="preserve"> Research in user behaviour suggests that users disengage when the information is not easy to find after a small number of clicks (Cabinet Office‚ 2018</w:t>
      </w:r>
      <w:r>
        <w:rPr>
          <w:rFonts w:ascii="Arial" w:hAnsi="Arial" w:cs="Arial"/>
          <w:sz w:val="22"/>
          <w:szCs w:val="22"/>
        </w:rPr>
        <w:t>).</w:t>
      </w:r>
      <w:r w:rsidRPr="00746FE4">
        <w:rPr>
          <w:rFonts w:ascii="Arial" w:hAnsi="Arial" w:cs="Arial"/>
          <w:sz w:val="22"/>
          <w:szCs w:val="22"/>
        </w:rPr>
        <w:t xml:space="preserve"> Norfolk is thus weaker operationally speaking‚ despite being strong conceptually</w:t>
      </w:r>
      <w:r>
        <w:rPr>
          <w:rFonts w:ascii="MS Gothic" w:eastAsia="MS Gothic" w:hAnsi="MS Gothic" w:cs="MS Gothic"/>
          <w:sz w:val="22"/>
          <w:szCs w:val="22"/>
        </w:rPr>
        <w:t xml:space="preserve">. </w:t>
      </w:r>
    </w:p>
    <w:p w14:paraId="169E2699" w14:textId="77777777" w:rsidR="00746FE4" w:rsidRPr="00746FE4" w:rsidRDefault="00746FE4" w:rsidP="00746FE4">
      <w:pPr>
        <w:spacing w:line="360" w:lineRule="auto"/>
        <w:jc w:val="both"/>
        <w:rPr>
          <w:rFonts w:ascii="Arial" w:hAnsi="Arial" w:cs="Arial"/>
          <w:sz w:val="22"/>
          <w:szCs w:val="22"/>
        </w:rPr>
      </w:pPr>
    </w:p>
    <w:p w14:paraId="256252C5"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Leeds City Council</w:t>
      </w:r>
    </w:p>
    <w:p w14:paraId="617156CC" w14:textId="5B161B63"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A more joined up presentation of Early Help can be found on the Leeds City Council website which shows how the city council uses the "Right Conversation‚ Right People‚ Right Time" 3 part framework</w:t>
      </w:r>
      <w:r w:rsidRPr="00746FE4">
        <w:rPr>
          <w:rFonts w:ascii="MS Gothic" w:eastAsia="MS Gothic" w:hAnsi="MS Gothic" w:cs="MS Gothic" w:hint="eastAsia"/>
          <w:sz w:val="22"/>
          <w:szCs w:val="22"/>
        </w:rPr>
        <w:t>․</w:t>
      </w:r>
      <w:r w:rsidRPr="00746FE4">
        <w:rPr>
          <w:rFonts w:ascii="Arial" w:hAnsi="Arial" w:cs="Arial"/>
          <w:sz w:val="22"/>
          <w:szCs w:val="22"/>
        </w:rPr>
        <w:t xml:space="preserve"> This framework is presented in a model that outlines how families can receive help‚ including Family Hubs and multi-agency teams</w:t>
      </w:r>
      <w:r w:rsidRPr="00746FE4">
        <w:rPr>
          <w:rFonts w:ascii="MS Gothic" w:eastAsia="MS Gothic" w:hAnsi="MS Gothic" w:cs="MS Gothic" w:hint="eastAsia"/>
          <w:sz w:val="22"/>
          <w:szCs w:val="22"/>
        </w:rPr>
        <w:t>․</w:t>
      </w:r>
      <w:r w:rsidRPr="00746FE4">
        <w:rPr>
          <w:rFonts w:ascii="Arial" w:hAnsi="Arial" w:cs="Arial"/>
          <w:sz w:val="22"/>
          <w:szCs w:val="22"/>
        </w:rPr>
        <w:t xml:space="preserve"> This can be seen in a practice example of Early Help‚ with policy translated into accessible pathways (Department for Education‚ 2022</w:t>
      </w:r>
      <w:r>
        <w:rPr>
          <w:rFonts w:ascii="Arial" w:hAnsi="Arial" w:cs="Arial"/>
          <w:sz w:val="22"/>
          <w:szCs w:val="22"/>
        </w:rPr>
        <w:t xml:space="preserve">). </w:t>
      </w:r>
      <w:r w:rsidRPr="00746FE4">
        <w:rPr>
          <w:rFonts w:ascii="Arial" w:hAnsi="Arial" w:cs="Arial"/>
          <w:sz w:val="22"/>
          <w:szCs w:val="22"/>
        </w:rPr>
        <w:t>A strong feature of the Leeds website is its clear and logical presentation of text and useful subdivisions to help individuals to understand what services might be the most suitable for them</w:t>
      </w:r>
      <w:r w:rsidRPr="00746FE4">
        <w:rPr>
          <w:rFonts w:ascii="MS Gothic" w:eastAsia="MS Gothic" w:hAnsi="MS Gothic" w:cs="MS Gothic" w:hint="eastAsia"/>
          <w:sz w:val="22"/>
          <w:szCs w:val="22"/>
        </w:rPr>
        <w:t>․</w:t>
      </w:r>
      <w:r w:rsidRPr="00746FE4">
        <w:rPr>
          <w:rFonts w:ascii="Arial" w:hAnsi="Arial" w:cs="Arial"/>
          <w:sz w:val="22"/>
          <w:szCs w:val="22"/>
        </w:rPr>
        <w:t xml:space="preserve"> This approach not only is consistent with best practice principles for digital design (Cabinet Office‚ 2018) but also helps close the divide between complex service configurations and user understanding</w:t>
      </w:r>
      <w:r w:rsidRPr="00746FE4">
        <w:rPr>
          <w:rFonts w:ascii="MS Gothic" w:eastAsia="MS Gothic" w:hAnsi="MS Gothic" w:cs="MS Gothic" w:hint="eastAsia"/>
          <w:sz w:val="22"/>
          <w:szCs w:val="22"/>
        </w:rPr>
        <w:t>․</w:t>
      </w:r>
    </w:p>
    <w:p w14:paraId="3549A716" w14:textId="379B6401"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Leeds also has more services working in a multi-agency way published on its website‚ and the services work together to a much greater degree to present the Early Help system in a more coherent and transparent manner to families‚ which is very important for engaging with the system</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The Leeds website‚ like that of many other local authorities‚ is nevertheless based on a certain level of pre-existing knowledge and digital skills</w:t>
      </w:r>
      <w:r w:rsidRPr="00746FE4">
        <w:rPr>
          <w:rFonts w:ascii="MS Gothic" w:eastAsia="MS Gothic" w:hAnsi="MS Gothic" w:cs="MS Gothic" w:hint="eastAsia"/>
          <w:sz w:val="22"/>
          <w:szCs w:val="22"/>
        </w:rPr>
        <w:t>․</w:t>
      </w:r>
      <w:r w:rsidRPr="00746FE4">
        <w:rPr>
          <w:rFonts w:ascii="Arial" w:hAnsi="Arial" w:cs="Arial"/>
          <w:sz w:val="22"/>
          <w:szCs w:val="22"/>
        </w:rPr>
        <w:t xml:space="preserve"> Although relatively easy to navigate‚ the interface could be improved to better accommodate experience levels lower than those usually expected for an online government service</w:t>
      </w:r>
      <w:r w:rsidRPr="00746FE4">
        <w:rPr>
          <w:rFonts w:ascii="MS Gothic" w:eastAsia="MS Gothic" w:hAnsi="MS Gothic" w:cs="MS Gothic" w:hint="eastAsia"/>
          <w:sz w:val="22"/>
          <w:szCs w:val="22"/>
        </w:rPr>
        <w:t>․</w:t>
      </w:r>
      <w:r w:rsidRPr="00746FE4">
        <w:rPr>
          <w:rFonts w:ascii="Arial" w:hAnsi="Arial" w:cs="Arial"/>
          <w:sz w:val="22"/>
          <w:szCs w:val="22"/>
        </w:rPr>
        <w:t xml:space="preserve"> Notably‚ multimedia and multilingual </w:t>
      </w:r>
      <w:r w:rsidRPr="00746FE4">
        <w:rPr>
          <w:rFonts w:ascii="Arial" w:hAnsi="Arial" w:cs="Arial"/>
          <w:sz w:val="22"/>
          <w:szCs w:val="22"/>
        </w:rPr>
        <w:lastRenderedPageBreak/>
        <w:t>features could be expanded</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Of these‚ Leeds seems the best-proportioned for clarity‚ form‚ and practical access</w:t>
      </w:r>
      <w:r w:rsidRPr="00746FE4">
        <w:rPr>
          <w:rFonts w:ascii="MS Gothic" w:eastAsia="MS Gothic" w:hAnsi="MS Gothic" w:cs="MS Gothic" w:hint="eastAsia"/>
          <w:sz w:val="22"/>
          <w:szCs w:val="22"/>
        </w:rPr>
        <w:t>․</w:t>
      </w:r>
    </w:p>
    <w:p w14:paraId="659BC1C5" w14:textId="77777777" w:rsidR="00746FE4" w:rsidRPr="00746FE4" w:rsidRDefault="00746FE4" w:rsidP="00746FE4">
      <w:pPr>
        <w:spacing w:line="360" w:lineRule="auto"/>
        <w:jc w:val="both"/>
        <w:rPr>
          <w:rFonts w:ascii="Arial" w:hAnsi="Arial" w:cs="Arial"/>
          <w:sz w:val="22"/>
          <w:szCs w:val="22"/>
        </w:rPr>
      </w:pPr>
    </w:p>
    <w:p w14:paraId="2365870C"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Comparative Analysis</w:t>
      </w:r>
    </w:p>
    <w:p w14:paraId="1202BF02" w14:textId="2571C867"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In contrast‚ the Leicestershire‚ Norfolk and Leeds local authority websites exhibit considerable variation in their presentation of Early Help services to families‚ with the Leeds City Council website representing the most effective site due to its ordered format‚ logical structure and adherence to key user-centred design principles</w:t>
      </w:r>
      <w:r w:rsidRPr="00746FE4">
        <w:rPr>
          <w:rFonts w:ascii="MS Gothic" w:eastAsia="MS Gothic" w:hAnsi="MS Gothic" w:cs="MS Gothic" w:hint="eastAsia"/>
          <w:sz w:val="22"/>
          <w:szCs w:val="22"/>
        </w:rPr>
        <w:t>․</w:t>
      </w:r>
      <w:r w:rsidRPr="00746FE4">
        <w:rPr>
          <w:rFonts w:ascii="Arial" w:hAnsi="Arial" w:cs="Arial"/>
          <w:sz w:val="22"/>
          <w:szCs w:val="22"/>
        </w:rPr>
        <w:t xml:space="preserve"> Its ability to translate complex systems into accessible information shows a greater integration of policy and practice</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While Leicestershire County Council provides large amounts of information for parents‚ like many local authorities‚ the sheer volume of information can be hard to digest in an emergency‚ and the predominance of text on many sites makes it difficult to navigate</w:t>
      </w:r>
      <w:r w:rsidRPr="00746FE4">
        <w:rPr>
          <w:rFonts w:ascii="MS Gothic" w:eastAsia="MS Gothic" w:hAnsi="MS Gothic" w:cs="MS Gothic" w:hint="eastAsia"/>
          <w:sz w:val="22"/>
          <w:szCs w:val="22"/>
        </w:rPr>
        <w:t>․</w:t>
      </w:r>
      <w:r w:rsidRPr="00746FE4">
        <w:rPr>
          <w:rFonts w:ascii="Arial" w:hAnsi="Arial" w:cs="Arial"/>
          <w:sz w:val="22"/>
          <w:szCs w:val="22"/>
        </w:rPr>
        <w:t xml:space="preserve"> This shows that being thorough is not enough; the information must be presented in an easily digestible format</w:t>
      </w:r>
      <w:r w:rsidRPr="00746FE4">
        <w:rPr>
          <w:rFonts w:ascii="MS Gothic" w:eastAsia="MS Gothic" w:hAnsi="MS Gothic" w:cs="MS Gothic" w:hint="eastAsia"/>
          <w:sz w:val="22"/>
          <w:szCs w:val="22"/>
        </w:rPr>
        <w:t>․</w:t>
      </w:r>
    </w:p>
    <w:p w14:paraId="49159E00" w14:textId="645B2085"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Norfolk County Council has a good understanding of the notion of multi-agency accountability and whole-family approach‚ but this is not readily accessible</w:t>
      </w:r>
      <w:r w:rsidRPr="00746FE4">
        <w:rPr>
          <w:rFonts w:ascii="MS Gothic" w:eastAsia="MS Gothic" w:hAnsi="MS Gothic" w:cs="MS Gothic" w:hint="eastAsia"/>
          <w:sz w:val="22"/>
          <w:szCs w:val="22"/>
        </w:rPr>
        <w:t>․</w:t>
      </w:r>
      <w:r w:rsidRPr="00746FE4">
        <w:rPr>
          <w:rFonts w:ascii="Arial" w:hAnsi="Arial" w:cs="Arial"/>
          <w:sz w:val="22"/>
          <w:szCs w:val="22"/>
        </w:rPr>
        <w:t xml:space="preserve"> The principles are good‚ but there are no clear points of access or clear systems to help families navigate</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However,</w:t>
      </w:r>
      <w:r w:rsidRPr="00746FE4">
        <w:rPr>
          <w:rFonts w:ascii="Arial" w:hAnsi="Arial" w:cs="Arial"/>
          <w:sz w:val="22"/>
          <w:szCs w:val="22"/>
        </w:rPr>
        <w:t xml:space="preserve"> a shared disadvantage of all three websites is that they assume a degree of digital literacy among users‚ and those belonging to lower socio-economic groups may be less likely to have access to digital technology‚ or the skills and knowledge to use such tools (Ofcom‚ 2023</w:t>
      </w:r>
      <w:r>
        <w:rPr>
          <w:rFonts w:ascii="Arial" w:hAnsi="Arial" w:cs="Arial"/>
          <w:sz w:val="22"/>
          <w:szCs w:val="22"/>
        </w:rPr>
        <w:t>).</w:t>
      </w:r>
      <w:r w:rsidRPr="00746FE4">
        <w:rPr>
          <w:rFonts w:ascii="Arial" w:hAnsi="Arial" w:cs="Arial"/>
          <w:sz w:val="22"/>
          <w:szCs w:val="22"/>
        </w:rPr>
        <w:t xml:space="preserve"> As a result‚ these differences in digital communication may exacerbate disparities in accessing support</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Overall‚ findings suggest that effective Early Help signposting is not only a matter of services being available‚ but also of information being clear and accessible</w:t>
      </w:r>
      <w:r w:rsidRPr="00746FE4">
        <w:rPr>
          <w:rFonts w:ascii="MS Gothic" w:eastAsia="MS Gothic" w:hAnsi="MS Gothic" w:cs="MS Gothic" w:hint="eastAsia"/>
          <w:sz w:val="22"/>
          <w:szCs w:val="22"/>
        </w:rPr>
        <w:t>․</w:t>
      </w:r>
    </w:p>
    <w:p w14:paraId="5D5B4455" w14:textId="77777777" w:rsidR="00746FE4" w:rsidRPr="00746FE4" w:rsidRDefault="00746FE4" w:rsidP="00746FE4">
      <w:pPr>
        <w:spacing w:line="360" w:lineRule="auto"/>
        <w:jc w:val="both"/>
        <w:rPr>
          <w:rFonts w:ascii="Arial" w:hAnsi="Arial" w:cs="Arial"/>
          <w:sz w:val="22"/>
          <w:szCs w:val="22"/>
        </w:rPr>
      </w:pPr>
    </w:p>
    <w:p w14:paraId="11596505" w14:textId="77777777" w:rsidR="00746FE4" w:rsidRPr="00746FE4" w:rsidRDefault="00746FE4" w:rsidP="00746FE4">
      <w:pPr>
        <w:spacing w:after="0" w:line="360" w:lineRule="auto"/>
        <w:jc w:val="both"/>
        <w:rPr>
          <w:rFonts w:ascii="Arial" w:hAnsi="Arial" w:cs="Arial"/>
          <w:b/>
          <w:bCs/>
        </w:rPr>
      </w:pPr>
      <w:r w:rsidRPr="00746FE4">
        <w:rPr>
          <w:rFonts w:ascii="Arial" w:hAnsi="Arial" w:cs="Arial"/>
          <w:b/>
          <w:bCs/>
        </w:rPr>
        <w:t>Conclusion and Recommendations</w:t>
      </w:r>
    </w:p>
    <w:p w14:paraId="6AED3EF7" w14:textId="316624E3"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t>This report has focused on the presentation of Early Help by the websites of the local authorities of Leicestershire‚ Norfolk and Leeds</w:t>
      </w:r>
      <w:r w:rsidRPr="00746FE4">
        <w:rPr>
          <w:rFonts w:ascii="MS Gothic" w:eastAsia="MS Gothic" w:hAnsi="MS Gothic" w:cs="MS Gothic" w:hint="eastAsia"/>
          <w:sz w:val="22"/>
          <w:szCs w:val="22"/>
        </w:rPr>
        <w:t>․</w:t>
      </w:r>
      <w:r w:rsidRPr="00746FE4">
        <w:rPr>
          <w:rFonts w:ascii="Arial" w:hAnsi="Arial" w:cs="Arial"/>
          <w:sz w:val="22"/>
          <w:szCs w:val="22"/>
        </w:rPr>
        <w:t xml:space="preserve"> These websites all show a commitment to providing family support‚ however their accessibility and effectiveness varies considerably</w:t>
      </w:r>
      <w:r>
        <w:rPr>
          <w:rFonts w:ascii="MS Gothic" w:eastAsia="MS Gothic" w:hAnsi="MS Gothic" w:cs="MS Gothic"/>
          <w:sz w:val="22"/>
          <w:szCs w:val="22"/>
        </w:rPr>
        <w:t xml:space="preserve">. </w:t>
      </w:r>
      <w:r w:rsidRPr="00746FE4">
        <w:rPr>
          <w:rFonts w:ascii="Arial" w:hAnsi="Arial" w:cs="Arial"/>
          <w:sz w:val="22"/>
          <w:szCs w:val="22"/>
        </w:rPr>
        <w:t>Among the case study authorities‚ Leeds City Council was recognised as the strongest communicator of Early Help</w:t>
      </w:r>
      <w:r w:rsidRPr="00746FE4">
        <w:rPr>
          <w:rFonts w:ascii="MS Gothic" w:eastAsia="MS Gothic" w:hAnsi="MS Gothic" w:cs="MS Gothic" w:hint="eastAsia"/>
          <w:sz w:val="22"/>
          <w:szCs w:val="22"/>
        </w:rPr>
        <w:t>․</w:t>
      </w:r>
      <w:r w:rsidRPr="00746FE4">
        <w:rPr>
          <w:rFonts w:ascii="Arial" w:hAnsi="Arial" w:cs="Arial"/>
          <w:sz w:val="22"/>
          <w:szCs w:val="22"/>
        </w:rPr>
        <w:t xml:space="preserve"> Leicestershire's approach was detailed and thorough but not very user friendly‚ while Norfolk's was conceptually good‚ but not particularly strong on navigation or usability</w:t>
      </w:r>
      <w:r w:rsidRPr="00746FE4">
        <w:rPr>
          <w:rFonts w:ascii="MS Gothic" w:eastAsia="MS Gothic" w:hAnsi="MS Gothic" w:cs="MS Gothic" w:hint="eastAsia"/>
          <w:sz w:val="22"/>
          <w:szCs w:val="22"/>
        </w:rPr>
        <w:t>․</w:t>
      </w:r>
    </w:p>
    <w:p w14:paraId="0338EFB0" w14:textId="1C77F81F" w:rsidR="00746FE4" w:rsidRPr="00746FE4" w:rsidRDefault="00746FE4" w:rsidP="00746FE4">
      <w:pPr>
        <w:spacing w:line="360" w:lineRule="auto"/>
        <w:jc w:val="both"/>
        <w:rPr>
          <w:rFonts w:ascii="Arial" w:hAnsi="Arial" w:cs="Arial"/>
          <w:sz w:val="22"/>
          <w:szCs w:val="22"/>
        </w:rPr>
      </w:pPr>
      <w:r w:rsidRPr="00746FE4">
        <w:rPr>
          <w:rFonts w:ascii="Arial" w:hAnsi="Arial" w:cs="Arial"/>
          <w:sz w:val="22"/>
          <w:szCs w:val="22"/>
        </w:rPr>
        <w:lastRenderedPageBreak/>
        <w:t>However,</w:t>
      </w:r>
      <w:r w:rsidRPr="00746FE4">
        <w:rPr>
          <w:rFonts w:ascii="Arial" w:hAnsi="Arial" w:cs="Arial"/>
          <w:sz w:val="22"/>
          <w:szCs w:val="22"/>
        </w:rPr>
        <w:t xml:space="preserve"> these findings identify a fundamental weakness in the Early Help response</w:t>
      </w:r>
      <w:r w:rsidRPr="00746FE4">
        <w:rPr>
          <w:rFonts w:ascii="MS Gothic" w:eastAsia="MS Gothic" w:hAnsi="MS Gothic" w:cs="MS Gothic" w:hint="eastAsia"/>
          <w:sz w:val="22"/>
          <w:szCs w:val="22"/>
        </w:rPr>
        <w:t>․</w:t>
      </w:r>
      <w:r w:rsidRPr="00746FE4">
        <w:rPr>
          <w:rFonts w:ascii="Arial" w:hAnsi="Arial" w:cs="Arial"/>
          <w:sz w:val="22"/>
          <w:szCs w:val="22"/>
        </w:rPr>
        <w:t xml:space="preserve"> Having the offer of services is not enough; information and help must also be accessible to families</w:t>
      </w:r>
      <w:r w:rsidRPr="00746FE4">
        <w:rPr>
          <w:rFonts w:ascii="MS Gothic" w:eastAsia="MS Gothic" w:hAnsi="MS Gothic" w:cs="MS Gothic" w:hint="eastAsia"/>
          <w:sz w:val="22"/>
          <w:szCs w:val="22"/>
        </w:rPr>
        <w:t>․</w:t>
      </w:r>
      <w:r w:rsidRPr="00746FE4">
        <w:rPr>
          <w:rFonts w:ascii="Arial" w:hAnsi="Arial" w:cs="Arial"/>
          <w:sz w:val="22"/>
          <w:szCs w:val="22"/>
        </w:rPr>
        <w:t xml:space="preserve"> Without this a key objective of the Early Help strategy‚ to be preventative‚ is weakened</w:t>
      </w:r>
      <w:r w:rsidRPr="00746FE4">
        <w:rPr>
          <w:rFonts w:ascii="MS Gothic" w:eastAsia="MS Gothic" w:hAnsi="MS Gothic" w:cs="MS Gothic" w:hint="eastAsia"/>
          <w:sz w:val="22"/>
          <w:szCs w:val="22"/>
        </w:rPr>
        <w:t>․</w:t>
      </w:r>
      <w:r>
        <w:rPr>
          <w:rFonts w:ascii="Arial" w:hAnsi="Arial" w:cs="Arial"/>
          <w:sz w:val="22"/>
          <w:szCs w:val="22"/>
        </w:rPr>
        <w:t xml:space="preserve"> </w:t>
      </w:r>
      <w:r w:rsidRPr="00746FE4">
        <w:rPr>
          <w:rFonts w:ascii="Arial" w:hAnsi="Arial" w:cs="Arial"/>
          <w:sz w:val="22"/>
          <w:szCs w:val="22"/>
        </w:rPr>
        <w:t>Local authorities should consider previous recommendations in relation to accessibility‚ including using simple language and signposting‚ designing for inclusivity through diagrams and multilingual information and tackling digital exclusion when ensuring fair access to support</w:t>
      </w:r>
      <w:r>
        <w:rPr>
          <w:rFonts w:ascii="MS Gothic" w:eastAsia="MS Gothic" w:hAnsi="MS Gothic" w:cs="MS Gothic"/>
          <w:sz w:val="22"/>
          <w:szCs w:val="22"/>
        </w:rPr>
        <w:t xml:space="preserve">. </w:t>
      </w:r>
      <w:r w:rsidRPr="00746FE4">
        <w:rPr>
          <w:rFonts w:ascii="Arial" w:hAnsi="Arial" w:cs="Arial"/>
          <w:sz w:val="22"/>
          <w:szCs w:val="22"/>
        </w:rPr>
        <w:t>Therefore‚ improving digital signposting is critical if Early Help is to play the role expected of it in the safeguarding system</w:t>
      </w:r>
      <w:r w:rsidRPr="00746FE4">
        <w:rPr>
          <w:rFonts w:ascii="MS Gothic" w:eastAsia="MS Gothic" w:hAnsi="MS Gothic" w:cs="MS Gothic" w:hint="eastAsia"/>
          <w:sz w:val="22"/>
          <w:szCs w:val="22"/>
        </w:rPr>
        <w:t>․</w:t>
      </w:r>
    </w:p>
    <w:p w14:paraId="161C7EB7" w14:textId="77777777" w:rsidR="00746FE4" w:rsidRDefault="00746FE4" w:rsidP="00746FE4">
      <w:pPr>
        <w:spacing w:line="360" w:lineRule="auto"/>
        <w:jc w:val="both"/>
        <w:rPr>
          <w:rFonts w:ascii="MS Gothic" w:eastAsia="MS Gothic" w:hAnsi="MS Gothic" w:cs="MS Gothic"/>
          <w:sz w:val="22"/>
          <w:szCs w:val="22"/>
        </w:rPr>
      </w:pPr>
    </w:p>
    <w:p w14:paraId="55C0AE4B" w14:textId="77777777" w:rsidR="00746FE4" w:rsidRPr="00746FE4" w:rsidRDefault="00746FE4" w:rsidP="00746FE4">
      <w:pPr>
        <w:spacing w:line="360" w:lineRule="auto"/>
        <w:jc w:val="both"/>
        <w:rPr>
          <w:rFonts w:ascii="Arial" w:hAnsi="Arial" w:cs="Arial"/>
          <w:sz w:val="22"/>
          <w:szCs w:val="22"/>
        </w:rPr>
      </w:pPr>
    </w:p>
    <w:p w14:paraId="793CE3E8" w14:textId="77777777" w:rsidR="00746FE4" w:rsidRDefault="00746FE4" w:rsidP="001563F8">
      <w:pPr>
        <w:spacing w:line="360" w:lineRule="auto"/>
        <w:rPr>
          <w:rFonts w:ascii="Segoe UI Emoji" w:hAnsi="Segoe UI Emoji" w:cs="Segoe UI Emoji"/>
          <w:b/>
          <w:bCs/>
          <w:sz w:val="22"/>
          <w:szCs w:val="22"/>
        </w:rPr>
      </w:pPr>
    </w:p>
    <w:p w14:paraId="1033E10C" w14:textId="77777777" w:rsidR="00746FE4" w:rsidRDefault="00746FE4" w:rsidP="001563F8">
      <w:pPr>
        <w:spacing w:line="360" w:lineRule="auto"/>
        <w:rPr>
          <w:rFonts w:ascii="Segoe UI Emoji" w:hAnsi="Segoe UI Emoji" w:cs="Segoe UI Emoji"/>
          <w:b/>
          <w:bCs/>
          <w:sz w:val="22"/>
          <w:szCs w:val="22"/>
        </w:rPr>
      </w:pPr>
    </w:p>
    <w:p w14:paraId="7AFE5118" w14:textId="77777777" w:rsidR="00746FE4" w:rsidRDefault="00746FE4" w:rsidP="001563F8">
      <w:pPr>
        <w:spacing w:line="360" w:lineRule="auto"/>
        <w:rPr>
          <w:rFonts w:ascii="Segoe UI Emoji" w:hAnsi="Segoe UI Emoji" w:cs="Segoe UI Emoji"/>
          <w:b/>
          <w:bCs/>
          <w:sz w:val="22"/>
          <w:szCs w:val="22"/>
        </w:rPr>
      </w:pPr>
    </w:p>
    <w:p w14:paraId="25B88925" w14:textId="77777777" w:rsidR="00746FE4" w:rsidRDefault="00746FE4" w:rsidP="001563F8">
      <w:pPr>
        <w:spacing w:line="360" w:lineRule="auto"/>
        <w:rPr>
          <w:rFonts w:ascii="Segoe UI Emoji" w:hAnsi="Segoe UI Emoji" w:cs="Segoe UI Emoji"/>
          <w:b/>
          <w:bCs/>
          <w:sz w:val="22"/>
          <w:szCs w:val="22"/>
        </w:rPr>
      </w:pPr>
    </w:p>
    <w:p w14:paraId="3CCD0957" w14:textId="77777777" w:rsidR="00746FE4" w:rsidRDefault="00746FE4" w:rsidP="001563F8">
      <w:pPr>
        <w:spacing w:line="360" w:lineRule="auto"/>
        <w:rPr>
          <w:rFonts w:ascii="Segoe UI Emoji" w:hAnsi="Segoe UI Emoji" w:cs="Segoe UI Emoji"/>
          <w:b/>
          <w:bCs/>
          <w:sz w:val="22"/>
          <w:szCs w:val="22"/>
        </w:rPr>
      </w:pPr>
    </w:p>
    <w:p w14:paraId="1C406CF6" w14:textId="77777777" w:rsidR="00746FE4" w:rsidRDefault="00746FE4" w:rsidP="001563F8">
      <w:pPr>
        <w:spacing w:line="360" w:lineRule="auto"/>
        <w:rPr>
          <w:rFonts w:ascii="Segoe UI Emoji" w:hAnsi="Segoe UI Emoji" w:cs="Segoe UI Emoji"/>
          <w:b/>
          <w:bCs/>
          <w:sz w:val="22"/>
          <w:szCs w:val="22"/>
        </w:rPr>
      </w:pPr>
    </w:p>
    <w:p w14:paraId="2E7CB6FD" w14:textId="77777777" w:rsidR="00746FE4" w:rsidRDefault="00746FE4" w:rsidP="001563F8">
      <w:pPr>
        <w:spacing w:line="360" w:lineRule="auto"/>
        <w:rPr>
          <w:rFonts w:ascii="Segoe UI Emoji" w:hAnsi="Segoe UI Emoji" w:cs="Segoe UI Emoji"/>
          <w:b/>
          <w:bCs/>
          <w:sz w:val="22"/>
          <w:szCs w:val="22"/>
        </w:rPr>
      </w:pPr>
    </w:p>
    <w:p w14:paraId="60E99F06" w14:textId="77777777" w:rsidR="00746FE4" w:rsidRDefault="00746FE4" w:rsidP="001563F8">
      <w:pPr>
        <w:spacing w:line="360" w:lineRule="auto"/>
        <w:rPr>
          <w:rFonts w:ascii="Segoe UI Emoji" w:hAnsi="Segoe UI Emoji" w:cs="Segoe UI Emoji"/>
          <w:b/>
          <w:bCs/>
          <w:sz w:val="22"/>
          <w:szCs w:val="22"/>
        </w:rPr>
      </w:pPr>
    </w:p>
    <w:p w14:paraId="30F1FF30" w14:textId="77777777" w:rsidR="00746FE4" w:rsidRDefault="00746FE4" w:rsidP="001563F8">
      <w:pPr>
        <w:spacing w:line="360" w:lineRule="auto"/>
        <w:rPr>
          <w:rFonts w:ascii="Segoe UI Emoji" w:hAnsi="Segoe UI Emoji" w:cs="Segoe UI Emoji"/>
          <w:b/>
          <w:bCs/>
          <w:sz w:val="22"/>
          <w:szCs w:val="22"/>
        </w:rPr>
      </w:pPr>
    </w:p>
    <w:p w14:paraId="4300AE92" w14:textId="77777777" w:rsidR="00746FE4" w:rsidRDefault="00746FE4" w:rsidP="001563F8">
      <w:pPr>
        <w:spacing w:line="360" w:lineRule="auto"/>
        <w:rPr>
          <w:rFonts w:ascii="Segoe UI Emoji" w:hAnsi="Segoe UI Emoji" w:cs="Segoe UI Emoji"/>
          <w:b/>
          <w:bCs/>
          <w:sz w:val="22"/>
          <w:szCs w:val="22"/>
        </w:rPr>
      </w:pPr>
    </w:p>
    <w:p w14:paraId="09E89620" w14:textId="77777777" w:rsidR="00746FE4" w:rsidRDefault="00746FE4" w:rsidP="001563F8">
      <w:pPr>
        <w:spacing w:line="360" w:lineRule="auto"/>
        <w:rPr>
          <w:rFonts w:ascii="Segoe UI Emoji" w:hAnsi="Segoe UI Emoji" w:cs="Segoe UI Emoji"/>
          <w:b/>
          <w:bCs/>
          <w:sz w:val="22"/>
          <w:szCs w:val="22"/>
        </w:rPr>
      </w:pPr>
    </w:p>
    <w:p w14:paraId="70B02AFA" w14:textId="77777777" w:rsidR="00746FE4" w:rsidRDefault="00746FE4" w:rsidP="001563F8">
      <w:pPr>
        <w:spacing w:line="360" w:lineRule="auto"/>
        <w:rPr>
          <w:rFonts w:ascii="Segoe UI Emoji" w:hAnsi="Segoe UI Emoji" w:cs="Segoe UI Emoji"/>
          <w:b/>
          <w:bCs/>
          <w:sz w:val="22"/>
          <w:szCs w:val="22"/>
        </w:rPr>
      </w:pPr>
    </w:p>
    <w:p w14:paraId="59712C26" w14:textId="77777777" w:rsidR="00746FE4" w:rsidRDefault="00746FE4" w:rsidP="001563F8">
      <w:pPr>
        <w:spacing w:line="360" w:lineRule="auto"/>
        <w:rPr>
          <w:rFonts w:ascii="Segoe UI Emoji" w:hAnsi="Segoe UI Emoji" w:cs="Segoe UI Emoji"/>
          <w:b/>
          <w:bCs/>
          <w:sz w:val="22"/>
          <w:szCs w:val="22"/>
        </w:rPr>
      </w:pPr>
    </w:p>
    <w:p w14:paraId="4FE0D3D3" w14:textId="77777777" w:rsidR="00746FE4" w:rsidRDefault="00746FE4" w:rsidP="001563F8">
      <w:pPr>
        <w:spacing w:line="360" w:lineRule="auto"/>
        <w:rPr>
          <w:rFonts w:ascii="Segoe UI Emoji" w:hAnsi="Segoe UI Emoji" w:cs="Segoe UI Emoji"/>
          <w:b/>
          <w:bCs/>
          <w:sz w:val="22"/>
          <w:szCs w:val="22"/>
        </w:rPr>
      </w:pPr>
    </w:p>
    <w:p w14:paraId="34EB105E" w14:textId="77777777" w:rsidR="00746FE4" w:rsidRDefault="00746FE4" w:rsidP="001563F8">
      <w:pPr>
        <w:spacing w:line="360" w:lineRule="auto"/>
        <w:rPr>
          <w:rFonts w:ascii="Segoe UI Emoji" w:hAnsi="Segoe UI Emoji" w:cs="Segoe UI Emoji"/>
          <w:b/>
          <w:bCs/>
          <w:sz w:val="22"/>
          <w:szCs w:val="22"/>
        </w:rPr>
      </w:pPr>
    </w:p>
    <w:p w14:paraId="7A7EE275" w14:textId="77777777" w:rsidR="00746FE4" w:rsidRDefault="00746FE4" w:rsidP="001563F8">
      <w:pPr>
        <w:spacing w:line="360" w:lineRule="auto"/>
        <w:rPr>
          <w:rFonts w:ascii="Segoe UI Emoji" w:hAnsi="Segoe UI Emoji" w:cs="Segoe UI Emoji"/>
          <w:b/>
          <w:bCs/>
          <w:sz w:val="22"/>
          <w:szCs w:val="22"/>
        </w:rPr>
      </w:pPr>
    </w:p>
    <w:p w14:paraId="60CDD5E0" w14:textId="38DFBDBE" w:rsidR="001563F8" w:rsidRPr="001563F8" w:rsidRDefault="00746FE4" w:rsidP="00746FE4">
      <w:pPr>
        <w:spacing w:after="0" w:line="360" w:lineRule="auto"/>
        <w:rPr>
          <w:rFonts w:ascii="Arial" w:hAnsi="Arial" w:cs="Arial"/>
          <w:b/>
          <w:bCs/>
        </w:rPr>
      </w:pPr>
      <w:r w:rsidRPr="00746FE4">
        <w:rPr>
          <w:rFonts w:ascii="Arial" w:hAnsi="Arial" w:cs="Arial"/>
          <w:b/>
          <w:bCs/>
        </w:rPr>
        <w:lastRenderedPageBreak/>
        <w:t>References</w:t>
      </w:r>
    </w:p>
    <w:p w14:paraId="359DEAC7"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Allen, G. (2011) </w:t>
      </w:r>
      <w:r w:rsidRPr="00746FE4">
        <w:rPr>
          <w:rFonts w:ascii="Arial" w:hAnsi="Arial" w:cs="Arial"/>
          <w:i/>
          <w:iCs/>
          <w:sz w:val="22"/>
          <w:szCs w:val="22"/>
        </w:rPr>
        <w:t>Early Intervention: Smart Investment, Massive Savings</w:t>
      </w:r>
      <w:r w:rsidRPr="00746FE4">
        <w:rPr>
          <w:rFonts w:ascii="Arial" w:hAnsi="Arial" w:cs="Arial"/>
          <w:sz w:val="22"/>
          <w:szCs w:val="22"/>
        </w:rPr>
        <w:t>. London: HM Government.</w:t>
      </w:r>
    </w:p>
    <w:p w14:paraId="0644B614"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Atkinson, M., Jones, M. and Lamont, E. (2007) </w:t>
      </w:r>
      <w:r w:rsidRPr="00746FE4">
        <w:rPr>
          <w:rFonts w:ascii="Arial" w:hAnsi="Arial" w:cs="Arial"/>
          <w:i/>
          <w:iCs/>
          <w:sz w:val="22"/>
          <w:szCs w:val="22"/>
        </w:rPr>
        <w:t>Multi-agency working and its implications</w:t>
      </w:r>
      <w:r w:rsidRPr="00746FE4">
        <w:rPr>
          <w:rFonts w:ascii="Arial" w:hAnsi="Arial" w:cs="Arial"/>
          <w:sz w:val="22"/>
          <w:szCs w:val="22"/>
        </w:rPr>
        <w:t>. Slough: NFER.</w:t>
      </w:r>
    </w:p>
    <w:p w14:paraId="1509D251"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Bronfenbrenner, U. (1979) </w:t>
      </w:r>
      <w:r w:rsidRPr="00746FE4">
        <w:rPr>
          <w:rFonts w:ascii="Arial" w:hAnsi="Arial" w:cs="Arial"/>
          <w:i/>
          <w:iCs/>
          <w:sz w:val="22"/>
          <w:szCs w:val="22"/>
        </w:rPr>
        <w:t>The Ecology of Human Development</w:t>
      </w:r>
      <w:r w:rsidRPr="00746FE4">
        <w:rPr>
          <w:rFonts w:ascii="Arial" w:hAnsi="Arial" w:cs="Arial"/>
          <w:sz w:val="22"/>
          <w:szCs w:val="22"/>
        </w:rPr>
        <w:t>. Cambridge, MA: Harvard University Press.</w:t>
      </w:r>
    </w:p>
    <w:p w14:paraId="34D637FB"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Bywaters, P., Brady, G., Sparks, T. and Bos, E. (2016) ‘Inequalities in English child protection practice’, </w:t>
      </w:r>
      <w:r w:rsidRPr="00746FE4">
        <w:rPr>
          <w:rFonts w:ascii="Arial" w:hAnsi="Arial" w:cs="Arial"/>
          <w:i/>
          <w:iCs/>
          <w:sz w:val="22"/>
          <w:szCs w:val="22"/>
        </w:rPr>
        <w:t>British Journal of Social Work</w:t>
      </w:r>
      <w:r w:rsidRPr="00746FE4">
        <w:rPr>
          <w:rFonts w:ascii="Arial" w:hAnsi="Arial" w:cs="Arial"/>
          <w:sz w:val="22"/>
          <w:szCs w:val="22"/>
        </w:rPr>
        <w:t>, 46(5), pp. 1306–1323.</w:t>
      </w:r>
    </w:p>
    <w:p w14:paraId="192E67C3"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Cabinet Office (2018) </w:t>
      </w:r>
      <w:r w:rsidRPr="00746FE4">
        <w:rPr>
          <w:rFonts w:ascii="Arial" w:hAnsi="Arial" w:cs="Arial"/>
          <w:i/>
          <w:iCs/>
          <w:sz w:val="22"/>
          <w:szCs w:val="22"/>
        </w:rPr>
        <w:t>Government Digital Service Standard</w:t>
      </w:r>
      <w:r w:rsidRPr="00746FE4">
        <w:rPr>
          <w:rFonts w:ascii="Arial" w:hAnsi="Arial" w:cs="Arial"/>
          <w:sz w:val="22"/>
          <w:szCs w:val="22"/>
        </w:rPr>
        <w:t>. London: UK Government.</w:t>
      </w:r>
    </w:p>
    <w:p w14:paraId="244F5392"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Carpenter, J., Webb, C., Bostock, L. and Coomber, C. (2019) ‘Supervision in social work’, </w:t>
      </w:r>
      <w:r w:rsidRPr="00746FE4">
        <w:rPr>
          <w:rFonts w:ascii="Arial" w:hAnsi="Arial" w:cs="Arial"/>
          <w:i/>
          <w:iCs/>
          <w:sz w:val="22"/>
          <w:szCs w:val="22"/>
        </w:rPr>
        <w:t>British Journal of Social Work</w:t>
      </w:r>
      <w:r w:rsidRPr="00746FE4">
        <w:rPr>
          <w:rFonts w:ascii="Arial" w:hAnsi="Arial" w:cs="Arial"/>
          <w:sz w:val="22"/>
          <w:szCs w:val="22"/>
        </w:rPr>
        <w:t>, 49(5), pp. 1221–1239.</w:t>
      </w:r>
    </w:p>
    <w:p w14:paraId="1245D691"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Children’s Commissioner (2023) </w:t>
      </w:r>
      <w:r w:rsidRPr="00746FE4">
        <w:rPr>
          <w:rFonts w:ascii="Arial" w:hAnsi="Arial" w:cs="Arial"/>
          <w:i/>
          <w:iCs/>
          <w:sz w:val="22"/>
          <w:szCs w:val="22"/>
        </w:rPr>
        <w:t>Family support and safeguarding</w:t>
      </w:r>
      <w:r w:rsidRPr="00746FE4">
        <w:rPr>
          <w:rFonts w:ascii="Arial" w:hAnsi="Arial" w:cs="Arial"/>
          <w:sz w:val="22"/>
          <w:szCs w:val="22"/>
        </w:rPr>
        <w:t>. London: Children’s Commissioner for England.</w:t>
      </w:r>
    </w:p>
    <w:p w14:paraId="1C4539F1"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Department for Education (2022) </w:t>
      </w:r>
      <w:r w:rsidRPr="00746FE4">
        <w:rPr>
          <w:rFonts w:ascii="Arial" w:hAnsi="Arial" w:cs="Arial"/>
          <w:i/>
          <w:iCs/>
          <w:sz w:val="22"/>
          <w:szCs w:val="22"/>
        </w:rPr>
        <w:t>Family Hubs and Start for Life programme</w:t>
      </w:r>
      <w:r w:rsidRPr="00746FE4">
        <w:rPr>
          <w:rFonts w:ascii="Arial" w:hAnsi="Arial" w:cs="Arial"/>
          <w:sz w:val="22"/>
          <w:szCs w:val="22"/>
        </w:rPr>
        <w:t>. London: Department for Education.</w:t>
      </w:r>
    </w:p>
    <w:p w14:paraId="26CC8E0C"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Department for Education (2023a) </w:t>
      </w:r>
      <w:r w:rsidRPr="00746FE4">
        <w:rPr>
          <w:rFonts w:ascii="Arial" w:hAnsi="Arial" w:cs="Arial"/>
          <w:i/>
          <w:iCs/>
          <w:sz w:val="22"/>
          <w:szCs w:val="22"/>
        </w:rPr>
        <w:t>Early Help System Guide</w:t>
      </w:r>
      <w:r w:rsidRPr="00746FE4">
        <w:rPr>
          <w:rFonts w:ascii="Arial" w:hAnsi="Arial" w:cs="Arial"/>
          <w:sz w:val="22"/>
          <w:szCs w:val="22"/>
        </w:rPr>
        <w:t>. London: HM Government.</w:t>
      </w:r>
    </w:p>
    <w:p w14:paraId="10721E61"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Department for Education (2023b) </w:t>
      </w:r>
      <w:r w:rsidRPr="00746FE4">
        <w:rPr>
          <w:rFonts w:ascii="Arial" w:hAnsi="Arial" w:cs="Arial"/>
          <w:i/>
          <w:iCs/>
          <w:sz w:val="22"/>
          <w:szCs w:val="22"/>
        </w:rPr>
        <w:t>Working Together to Safeguard Children</w:t>
      </w:r>
      <w:r w:rsidRPr="00746FE4">
        <w:rPr>
          <w:rFonts w:ascii="Arial" w:hAnsi="Arial" w:cs="Arial"/>
          <w:sz w:val="22"/>
          <w:szCs w:val="22"/>
        </w:rPr>
        <w:t>. London: HM Government.</w:t>
      </w:r>
    </w:p>
    <w:p w14:paraId="050435AD"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Early Intervention Foundation (2020) </w:t>
      </w:r>
      <w:r w:rsidRPr="00746FE4">
        <w:rPr>
          <w:rFonts w:ascii="Arial" w:hAnsi="Arial" w:cs="Arial"/>
          <w:i/>
          <w:iCs/>
          <w:sz w:val="22"/>
          <w:szCs w:val="22"/>
        </w:rPr>
        <w:t>Guidebook of Early Intervention</w:t>
      </w:r>
      <w:r w:rsidRPr="00746FE4">
        <w:rPr>
          <w:rFonts w:ascii="Arial" w:hAnsi="Arial" w:cs="Arial"/>
          <w:sz w:val="22"/>
          <w:szCs w:val="22"/>
        </w:rPr>
        <w:t>. London: EIF.</w:t>
      </w:r>
    </w:p>
    <w:p w14:paraId="0D8BD770"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Featherstone, B., Gupta, A. and Morris, K. (2022) </w:t>
      </w:r>
      <w:r w:rsidRPr="00746FE4">
        <w:rPr>
          <w:rFonts w:ascii="Arial" w:hAnsi="Arial" w:cs="Arial"/>
          <w:i/>
          <w:iCs/>
          <w:sz w:val="22"/>
          <w:szCs w:val="22"/>
        </w:rPr>
        <w:t>Protecting Children: A Social Model</w:t>
      </w:r>
      <w:r w:rsidRPr="00746FE4">
        <w:rPr>
          <w:rFonts w:ascii="Arial" w:hAnsi="Arial" w:cs="Arial"/>
          <w:sz w:val="22"/>
          <w:szCs w:val="22"/>
        </w:rPr>
        <w:t>. Bristol: Policy Press.</w:t>
      </w:r>
    </w:p>
    <w:p w14:paraId="48D48FE5"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Frost, N. and Robinson, M. (2007) ‘Joining up children’s services’, </w:t>
      </w:r>
      <w:r w:rsidRPr="00746FE4">
        <w:rPr>
          <w:rFonts w:ascii="Arial" w:hAnsi="Arial" w:cs="Arial"/>
          <w:i/>
          <w:iCs/>
          <w:sz w:val="22"/>
          <w:szCs w:val="22"/>
        </w:rPr>
        <w:t>Child Abuse Review</w:t>
      </w:r>
      <w:r w:rsidRPr="00746FE4">
        <w:rPr>
          <w:rFonts w:ascii="Arial" w:hAnsi="Arial" w:cs="Arial"/>
          <w:sz w:val="22"/>
          <w:szCs w:val="22"/>
        </w:rPr>
        <w:t>, 16(6), pp. 429–443.</w:t>
      </w:r>
    </w:p>
    <w:p w14:paraId="1DA1247A"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HM Government (2023a) </w:t>
      </w:r>
      <w:r w:rsidRPr="00746FE4">
        <w:rPr>
          <w:rFonts w:ascii="Arial" w:hAnsi="Arial" w:cs="Arial"/>
          <w:i/>
          <w:iCs/>
          <w:sz w:val="22"/>
          <w:szCs w:val="22"/>
        </w:rPr>
        <w:t>Early Help System Guide</w:t>
      </w:r>
      <w:r w:rsidRPr="00746FE4">
        <w:rPr>
          <w:rFonts w:ascii="Arial" w:hAnsi="Arial" w:cs="Arial"/>
          <w:sz w:val="22"/>
          <w:szCs w:val="22"/>
        </w:rPr>
        <w:t>. London: HM Government.</w:t>
      </w:r>
    </w:p>
    <w:p w14:paraId="4A011F75"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HM Government (2023b) </w:t>
      </w:r>
      <w:r w:rsidRPr="00746FE4">
        <w:rPr>
          <w:rFonts w:ascii="Arial" w:hAnsi="Arial" w:cs="Arial"/>
          <w:i/>
          <w:iCs/>
          <w:sz w:val="22"/>
          <w:szCs w:val="22"/>
        </w:rPr>
        <w:t>Working Together to Safeguard Children</w:t>
      </w:r>
      <w:r w:rsidRPr="00746FE4">
        <w:rPr>
          <w:rFonts w:ascii="Arial" w:hAnsi="Arial" w:cs="Arial"/>
          <w:sz w:val="22"/>
          <w:szCs w:val="22"/>
        </w:rPr>
        <w:t>. London: HM Government.</w:t>
      </w:r>
    </w:p>
    <w:p w14:paraId="28209BC1"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lastRenderedPageBreak/>
        <w:t xml:space="preserve">Hood, R., Goldacre, A., Grant, R. and Jones, R. (2020) ‘Demand in child protection’, </w:t>
      </w:r>
      <w:r w:rsidRPr="00746FE4">
        <w:rPr>
          <w:rFonts w:ascii="Arial" w:hAnsi="Arial" w:cs="Arial"/>
          <w:i/>
          <w:iCs/>
          <w:sz w:val="22"/>
          <w:szCs w:val="22"/>
        </w:rPr>
        <w:t>British Journal of Social Work</w:t>
      </w:r>
      <w:r w:rsidRPr="00746FE4">
        <w:rPr>
          <w:rFonts w:ascii="Arial" w:hAnsi="Arial" w:cs="Arial"/>
          <w:sz w:val="22"/>
          <w:szCs w:val="22"/>
        </w:rPr>
        <w:t>, 50(4), pp. 1235–1253.</w:t>
      </w:r>
    </w:p>
    <w:p w14:paraId="06040333"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Horwath, J. and Morrison, T. (2011) ‘Collaboration and integration’, </w:t>
      </w:r>
      <w:r w:rsidRPr="00746FE4">
        <w:rPr>
          <w:rFonts w:ascii="Arial" w:hAnsi="Arial" w:cs="Arial"/>
          <w:i/>
          <w:iCs/>
          <w:sz w:val="22"/>
          <w:szCs w:val="22"/>
        </w:rPr>
        <w:t>British Journal of Social Work</w:t>
      </w:r>
      <w:r w:rsidRPr="00746FE4">
        <w:rPr>
          <w:rFonts w:ascii="Arial" w:hAnsi="Arial" w:cs="Arial"/>
          <w:sz w:val="22"/>
          <w:szCs w:val="22"/>
        </w:rPr>
        <w:t>, 41(1), pp. 55–74.</w:t>
      </w:r>
    </w:p>
    <w:p w14:paraId="62FB64F6"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Hughes, K., Bellis, M.A., Hardcastle, K.A., Sethi, D., Butchart, A., </w:t>
      </w:r>
      <w:proofErr w:type="spellStart"/>
      <w:r w:rsidRPr="00746FE4">
        <w:rPr>
          <w:rFonts w:ascii="Arial" w:hAnsi="Arial" w:cs="Arial"/>
          <w:sz w:val="22"/>
          <w:szCs w:val="22"/>
        </w:rPr>
        <w:t>Mikton</w:t>
      </w:r>
      <w:proofErr w:type="spellEnd"/>
      <w:r w:rsidRPr="00746FE4">
        <w:rPr>
          <w:rFonts w:ascii="Arial" w:hAnsi="Arial" w:cs="Arial"/>
          <w:sz w:val="22"/>
          <w:szCs w:val="22"/>
        </w:rPr>
        <w:t xml:space="preserve">, C., Jones, L. and Dunne, M.P. (2017) ‘Impact of ACEs’, </w:t>
      </w:r>
      <w:r w:rsidRPr="00746FE4">
        <w:rPr>
          <w:rFonts w:ascii="Arial" w:hAnsi="Arial" w:cs="Arial"/>
          <w:i/>
          <w:iCs/>
          <w:sz w:val="22"/>
          <w:szCs w:val="22"/>
        </w:rPr>
        <w:t>The Lancet Public Health</w:t>
      </w:r>
      <w:r w:rsidRPr="00746FE4">
        <w:rPr>
          <w:rFonts w:ascii="Arial" w:hAnsi="Arial" w:cs="Arial"/>
          <w:sz w:val="22"/>
          <w:szCs w:val="22"/>
        </w:rPr>
        <w:t>, 2(8), pp. e356–e366.</w:t>
      </w:r>
    </w:p>
    <w:p w14:paraId="615D1C5D"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Local Government Association (2022) </w:t>
      </w:r>
      <w:r w:rsidRPr="00746FE4">
        <w:rPr>
          <w:rFonts w:ascii="Arial" w:hAnsi="Arial" w:cs="Arial"/>
          <w:i/>
          <w:iCs/>
          <w:sz w:val="22"/>
          <w:szCs w:val="22"/>
        </w:rPr>
        <w:t>Early Help resource pack</w:t>
      </w:r>
      <w:r w:rsidRPr="00746FE4">
        <w:rPr>
          <w:rFonts w:ascii="Arial" w:hAnsi="Arial" w:cs="Arial"/>
          <w:sz w:val="22"/>
          <w:szCs w:val="22"/>
        </w:rPr>
        <w:t>. London: LGA.</w:t>
      </w:r>
    </w:p>
    <w:p w14:paraId="4C16044F"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Morris, K., Mason, W., Bywaters, P. and Featherstone, B. (2018) ‘Social work and poverty’, </w:t>
      </w:r>
      <w:r w:rsidRPr="00746FE4">
        <w:rPr>
          <w:rFonts w:ascii="Arial" w:hAnsi="Arial" w:cs="Arial"/>
          <w:i/>
          <w:iCs/>
          <w:sz w:val="22"/>
          <w:szCs w:val="22"/>
        </w:rPr>
        <w:t>Child &amp; Family Social Work</w:t>
      </w:r>
      <w:r w:rsidRPr="00746FE4">
        <w:rPr>
          <w:rFonts w:ascii="Arial" w:hAnsi="Arial" w:cs="Arial"/>
          <w:sz w:val="22"/>
          <w:szCs w:val="22"/>
        </w:rPr>
        <w:t>, 23(3), pp. 364–372.</w:t>
      </w:r>
    </w:p>
    <w:p w14:paraId="03B03374"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Munro, E. (2011) </w:t>
      </w:r>
      <w:r w:rsidRPr="00746FE4">
        <w:rPr>
          <w:rFonts w:ascii="Arial" w:hAnsi="Arial" w:cs="Arial"/>
          <w:i/>
          <w:iCs/>
          <w:sz w:val="22"/>
          <w:szCs w:val="22"/>
        </w:rPr>
        <w:t>The Munro Review of Child Protection</w:t>
      </w:r>
      <w:r w:rsidRPr="00746FE4">
        <w:rPr>
          <w:rFonts w:ascii="Arial" w:hAnsi="Arial" w:cs="Arial"/>
          <w:sz w:val="22"/>
          <w:szCs w:val="22"/>
        </w:rPr>
        <w:t>. London: Department for Education.</w:t>
      </w:r>
    </w:p>
    <w:p w14:paraId="19B29A12"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NSPCC (2022) </w:t>
      </w:r>
      <w:r w:rsidRPr="00746FE4">
        <w:rPr>
          <w:rFonts w:ascii="Arial" w:hAnsi="Arial" w:cs="Arial"/>
          <w:i/>
          <w:iCs/>
          <w:sz w:val="22"/>
          <w:szCs w:val="22"/>
        </w:rPr>
        <w:t>Early intervention services</w:t>
      </w:r>
      <w:r w:rsidRPr="00746FE4">
        <w:rPr>
          <w:rFonts w:ascii="Arial" w:hAnsi="Arial" w:cs="Arial"/>
          <w:sz w:val="22"/>
          <w:szCs w:val="22"/>
        </w:rPr>
        <w:t xml:space="preserve">. Available at: </w:t>
      </w:r>
      <w:hyperlink r:id="rId5" w:tgtFrame="_new" w:history="1">
        <w:r w:rsidRPr="00746FE4">
          <w:rPr>
            <w:rStyle w:val="Hyperlink"/>
            <w:rFonts w:ascii="Arial" w:hAnsi="Arial" w:cs="Arial"/>
            <w:sz w:val="22"/>
            <w:szCs w:val="22"/>
          </w:rPr>
          <w:t>https://www.nspcc.org.uk</w:t>
        </w:r>
      </w:hyperlink>
      <w:r w:rsidRPr="00746FE4">
        <w:rPr>
          <w:rFonts w:ascii="Arial" w:hAnsi="Arial" w:cs="Arial"/>
          <w:sz w:val="22"/>
          <w:szCs w:val="22"/>
        </w:rPr>
        <w:t xml:space="preserve"> (Accessed: 29 March 2026).</w:t>
      </w:r>
    </w:p>
    <w:p w14:paraId="73CD6F77"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Ofcom (2023) </w:t>
      </w:r>
      <w:r w:rsidRPr="00746FE4">
        <w:rPr>
          <w:rFonts w:ascii="Arial" w:hAnsi="Arial" w:cs="Arial"/>
          <w:i/>
          <w:iCs/>
          <w:sz w:val="22"/>
          <w:szCs w:val="22"/>
        </w:rPr>
        <w:t>Online Nation Report</w:t>
      </w:r>
      <w:r w:rsidRPr="00746FE4">
        <w:rPr>
          <w:rFonts w:ascii="Arial" w:hAnsi="Arial" w:cs="Arial"/>
          <w:sz w:val="22"/>
          <w:szCs w:val="22"/>
        </w:rPr>
        <w:t>. London: Ofcom.</w:t>
      </w:r>
    </w:p>
    <w:p w14:paraId="2B3A1AA6"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Office for National Statistics (2023) </w:t>
      </w:r>
      <w:r w:rsidRPr="00746FE4">
        <w:rPr>
          <w:rFonts w:ascii="Arial" w:hAnsi="Arial" w:cs="Arial"/>
          <w:i/>
          <w:iCs/>
          <w:sz w:val="22"/>
          <w:szCs w:val="22"/>
        </w:rPr>
        <w:t>Families and households in the UK</w:t>
      </w:r>
      <w:r w:rsidRPr="00746FE4">
        <w:rPr>
          <w:rFonts w:ascii="Arial" w:hAnsi="Arial" w:cs="Arial"/>
          <w:sz w:val="22"/>
          <w:szCs w:val="22"/>
        </w:rPr>
        <w:t>. London: ONS.</w:t>
      </w:r>
    </w:p>
    <w:p w14:paraId="6F1D13DD"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Ofsted (2022) </w:t>
      </w:r>
      <w:r w:rsidRPr="00746FE4">
        <w:rPr>
          <w:rFonts w:ascii="Arial" w:hAnsi="Arial" w:cs="Arial"/>
          <w:i/>
          <w:iCs/>
          <w:sz w:val="22"/>
          <w:szCs w:val="22"/>
        </w:rPr>
        <w:t>Children’s social care review</w:t>
      </w:r>
      <w:r w:rsidRPr="00746FE4">
        <w:rPr>
          <w:rFonts w:ascii="Arial" w:hAnsi="Arial" w:cs="Arial"/>
          <w:sz w:val="22"/>
          <w:szCs w:val="22"/>
        </w:rPr>
        <w:t>. London: Ofsted.</w:t>
      </w:r>
    </w:p>
    <w:p w14:paraId="49900304"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Public Health England (2019) </w:t>
      </w:r>
      <w:r w:rsidRPr="00746FE4">
        <w:rPr>
          <w:rFonts w:ascii="Arial" w:hAnsi="Arial" w:cs="Arial"/>
          <w:i/>
          <w:iCs/>
          <w:sz w:val="22"/>
          <w:szCs w:val="22"/>
        </w:rPr>
        <w:t>ACEs and health outcomes</w:t>
      </w:r>
      <w:r w:rsidRPr="00746FE4">
        <w:rPr>
          <w:rFonts w:ascii="Arial" w:hAnsi="Arial" w:cs="Arial"/>
          <w:sz w:val="22"/>
          <w:szCs w:val="22"/>
        </w:rPr>
        <w:t>. London: PHE.</w:t>
      </w:r>
    </w:p>
    <w:p w14:paraId="34D08280"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Sloper, P. (2004) ‘Facilitators and barriers to multi-agency working’, </w:t>
      </w:r>
      <w:r w:rsidRPr="00746FE4">
        <w:rPr>
          <w:rFonts w:ascii="Arial" w:hAnsi="Arial" w:cs="Arial"/>
          <w:i/>
          <w:iCs/>
          <w:sz w:val="22"/>
          <w:szCs w:val="22"/>
        </w:rPr>
        <w:t>Child: Care, Health and Development</w:t>
      </w:r>
      <w:r w:rsidRPr="00746FE4">
        <w:rPr>
          <w:rFonts w:ascii="Arial" w:hAnsi="Arial" w:cs="Arial"/>
          <w:sz w:val="22"/>
          <w:szCs w:val="22"/>
        </w:rPr>
        <w:t>, 30(6), pp. 571–580.</w:t>
      </w:r>
    </w:p>
    <w:p w14:paraId="3E2B3E5E"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UNICEF (2021) </w:t>
      </w:r>
      <w:r w:rsidRPr="00746FE4">
        <w:rPr>
          <w:rFonts w:ascii="Arial" w:hAnsi="Arial" w:cs="Arial"/>
          <w:i/>
          <w:iCs/>
          <w:sz w:val="22"/>
          <w:szCs w:val="22"/>
        </w:rPr>
        <w:t>Child wellbeing report</w:t>
      </w:r>
      <w:r w:rsidRPr="00746FE4">
        <w:rPr>
          <w:rFonts w:ascii="Arial" w:hAnsi="Arial" w:cs="Arial"/>
          <w:sz w:val="22"/>
          <w:szCs w:val="22"/>
        </w:rPr>
        <w:t>. New York: UNICEF.</w:t>
      </w:r>
    </w:p>
    <w:p w14:paraId="1C047C22" w14:textId="77777777" w:rsidR="00746FE4" w:rsidRPr="00746FE4" w:rsidRDefault="00746FE4" w:rsidP="00746FE4">
      <w:pPr>
        <w:spacing w:before="240" w:line="360" w:lineRule="auto"/>
        <w:jc w:val="both"/>
        <w:rPr>
          <w:rFonts w:ascii="Arial" w:hAnsi="Arial" w:cs="Arial"/>
          <w:sz w:val="22"/>
          <w:szCs w:val="22"/>
        </w:rPr>
      </w:pPr>
      <w:r w:rsidRPr="00746FE4">
        <w:rPr>
          <w:rFonts w:ascii="Arial" w:hAnsi="Arial" w:cs="Arial"/>
          <w:sz w:val="22"/>
          <w:szCs w:val="22"/>
        </w:rPr>
        <w:t xml:space="preserve">Webb, C.J.R. and Bywaters, P. (2018) ‘Austerity and children’s services’, </w:t>
      </w:r>
      <w:r w:rsidRPr="00746FE4">
        <w:rPr>
          <w:rFonts w:ascii="Arial" w:hAnsi="Arial" w:cs="Arial"/>
          <w:i/>
          <w:iCs/>
          <w:sz w:val="22"/>
          <w:szCs w:val="22"/>
        </w:rPr>
        <w:t>British Journal of Social Work</w:t>
      </w:r>
      <w:r w:rsidRPr="00746FE4">
        <w:rPr>
          <w:rFonts w:ascii="Arial" w:hAnsi="Arial" w:cs="Arial"/>
          <w:sz w:val="22"/>
          <w:szCs w:val="22"/>
        </w:rPr>
        <w:t>, 48(6), pp. 1724–1742.</w:t>
      </w:r>
    </w:p>
    <w:p w14:paraId="76EE9368" w14:textId="77777777" w:rsidR="006D2B72" w:rsidRPr="00746FE4" w:rsidRDefault="006D2B72" w:rsidP="00746FE4">
      <w:pPr>
        <w:spacing w:before="240" w:line="360" w:lineRule="auto"/>
        <w:jc w:val="both"/>
        <w:rPr>
          <w:rFonts w:ascii="Arial" w:hAnsi="Arial" w:cs="Arial"/>
          <w:sz w:val="22"/>
          <w:szCs w:val="22"/>
        </w:rPr>
      </w:pPr>
    </w:p>
    <w:p w14:paraId="3999FE1C" w14:textId="77777777" w:rsidR="006D2B72" w:rsidRDefault="006D2B72" w:rsidP="00746FE4">
      <w:pPr>
        <w:spacing w:before="240" w:line="360" w:lineRule="auto"/>
        <w:jc w:val="both"/>
        <w:rPr>
          <w:rFonts w:ascii="Arial" w:hAnsi="Arial" w:cs="Arial"/>
          <w:b/>
          <w:bCs/>
          <w:sz w:val="22"/>
          <w:szCs w:val="22"/>
        </w:rPr>
      </w:pPr>
    </w:p>
    <w:p w14:paraId="63B63F6D" w14:textId="77777777" w:rsidR="006D2B72" w:rsidRDefault="006D2B72" w:rsidP="006D2B72">
      <w:pPr>
        <w:spacing w:line="360" w:lineRule="auto"/>
        <w:rPr>
          <w:rFonts w:ascii="Arial" w:hAnsi="Arial" w:cs="Arial"/>
          <w:b/>
          <w:bCs/>
          <w:sz w:val="22"/>
          <w:szCs w:val="22"/>
        </w:rPr>
      </w:pPr>
    </w:p>
    <w:p w14:paraId="61AC2ED5" w14:textId="77777777" w:rsidR="006D2B72" w:rsidRDefault="006D2B72" w:rsidP="006D2B72">
      <w:pPr>
        <w:spacing w:line="360" w:lineRule="auto"/>
        <w:rPr>
          <w:rFonts w:ascii="Arial" w:hAnsi="Arial" w:cs="Arial"/>
          <w:b/>
          <w:bCs/>
          <w:sz w:val="22"/>
          <w:szCs w:val="22"/>
        </w:rPr>
      </w:pPr>
    </w:p>
    <w:p w14:paraId="71C2C07A" w14:textId="77777777" w:rsidR="00E51ABF" w:rsidRDefault="00E51ABF"/>
    <w:sectPr w:rsidR="00E51ABF" w:rsidSect="006D2B72">
      <w:headerReference w:type="default" r:id="rId6"/>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739870"/>
      <w:docPartObj>
        <w:docPartGallery w:val="Page Numbers (Bottom of Page)"/>
        <w:docPartUnique/>
      </w:docPartObj>
    </w:sdtPr>
    <w:sdtEndPr>
      <w:rPr>
        <w:noProof/>
      </w:rPr>
    </w:sdtEndPr>
    <w:sdtContent>
      <w:p w14:paraId="2E821CF9" w14:textId="77777777" w:rsidR="006D2B72" w:rsidRDefault="006D2B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E564C" w14:textId="77777777" w:rsidR="006D2B72" w:rsidRDefault="006D2B72">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8543C" w14:textId="77777777" w:rsidR="006D2B72" w:rsidRDefault="006D2B72">
    <w:pPr>
      <w:pStyle w:val="Header"/>
    </w:pPr>
    <w:r>
      <w:rPr>
        <w:noProof/>
      </w:rPr>
      <w:drawing>
        <wp:anchor distT="0" distB="0" distL="114300" distR="114300" simplePos="0" relativeHeight="251659264" behindDoc="0" locked="0" layoutInCell="1" allowOverlap="1" wp14:anchorId="40B0CE67" wp14:editId="59EB2F4A">
          <wp:simplePos x="0" y="0"/>
          <wp:positionH relativeFrom="column">
            <wp:posOffset>4793014</wp:posOffset>
          </wp:positionH>
          <wp:positionV relativeFrom="paragraph">
            <wp:posOffset>-93980</wp:posOffset>
          </wp:positionV>
          <wp:extent cx="1385570" cy="558165"/>
          <wp:effectExtent l="0" t="0" r="5080" b="0"/>
          <wp:wrapSquare wrapText="bothSides"/>
          <wp:docPr id="1968798069" name="Picture 19687980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385570" cy="55816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23092"/>
    <w:multiLevelType w:val="multilevel"/>
    <w:tmpl w:val="FB9C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09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72"/>
    <w:rsid w:val="001563F8"/>
    <w:rsid w:val="00233328"/>
    <w:rsid w:val="00331CB3"/>
    <w:rsid w:val="004E7710"/>
    <w:rsid w:val="006D2B72"/>
    <w:rsid w:val="00730FAE"/>
    <w:rsid w:val="00746FE4"/>
    <w:rsid w:val="00D1744E"/>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138A"/>
  <w15:chartTrackingRefBased/>
  <w15:docId w15:val="{09B80F4E-2E29-4BAF-AF2C-7AB70ED42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72"/>
  </w:style>
  <w:style w:type="paragraph" w:styleId="Heading1">
    <w:name w:val="heading 1"/>
    <w:basedOn w:val="Normal"/>
    <w:next w:val="Normal"/>
    <w:link w:val="Heading1Char"/>
    <w:uiPriority w:val="9"/>
    <w:qFormat/>
    <w:rsid w:val="006D2B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2B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2B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2B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2B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2B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B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B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B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B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2B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2B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2B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2B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2B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B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B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B72"/>
    <w:rPr>
      <w:rFonts w:eastAsiaTheme="majorEastAsia" w:cstheme="majorBidi"/>
      <w:color w:val="272727" w:themeColor="text1" w:themeTint="D8"/>
    </w:rPr>
  </w:style>
  <w:style w:type="paragraph" w:styleId="Title">
    <w:name w:val="Title"/>
    <w:basedOn w:val="Normal"/>
    <w:next w:val="Normal"/>
    <w:link w:val="TitleChar"/>
    <w:uiPriority w:val="10"/>
    <w:qFormat/>
    <w:rsid w:val="006D2B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B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B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B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B72"/>
    <w:pPr>
      <w:spacing w:before="160"/>
      <w:jc w:val="center"/>
    </w:pPr>
    <w:rPr>
      <w:i/>
      <w:iCs/>
      <w:color w:val="404040" w:themeColor="text1" w:themeTint="BF"/>
    </w:rPr>
  </w:style>
  <w:style w:type="character" w:customStyle="1" w:styleId="QuoteChar">
    <w:name w:val="Quote Char"/>
    <w:basedOn w:val="DefaultParagraphFont"/>
    <w:link w:val="Quote"/>
    <w:uiPriority w:val="29"/>
    <w:rsid w:val="006D2B72"/>
    <w:rPr>
      <w:i/>
      <w:iCs/>
      <w:color w:val="404040" w:themeColor="text1" w:themeTint="BF"/>
    </w:rPr>
  </w:style>
  <w:style w:type="paragraph" w:styleId="ListParagraph">
    <w:name w:val="List Paragraph"/>
    <w:basedOn w:val="Normal"/>
    <w:uiPriority w:val="34"/>
    <w:qFormat/>
    <w:rsid w:val="006D2B72"/>
    <w:pPr>
      <w:ind w:left="720"/>
      <w:contextualSpacing/>
    </w:pPr>
  </w:style>
  <w:style w:type="character" w:styleId="IntenseEmphasis">
    <w:name w:val="Intense Emphasis"/>
    <w:basedOn w:val="DefaultParagraphFont"/>
    <w:uiPriority w:val="21"/>
    <w:qFormat/>
    <w:rsid w:val="006D2B72"/>
    <w:rPr>
      <w:i/>
      <w:iCs/>
      <w:color w:val="2F5496" w:themeColor="accent1" w:themeShade="BF"/>
    </w:rPr>
  </w:style>
  <w:style w:type="paragraph" w:styleId="IntenseQuote">
    <w:name w:val="Intense Quote"/>
    <w:basedOn w:val="Normal"/>
    <w:next w:val="Normal"/>
    <w:link w:val="IntenseQuoteChar"/>
    <w:uiPriority w:val="30"/>
    <w:qFormat/>
    <w:rsid w:val="006D2B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2B72"/>
    <w:rPr>
      <w:i/>
      <w:iCs/>
      <w:color w:val="2F5496" w:themeColor="accent1" w:themeShade="BF"/>
    </w:rPr>
  </w:style>
  <w:style w:type="character" w:styleId="IntenseReference">
    <w:name w:val="Intense Reference"/>
    <w:basedOn w:val="DefaultParagraphFont"/>
    <w:uiPriority w:val="32"/>
    <w:qFormat/>
    <w:rsid w:val="006D2B72"/>
    <w:rPr>
      <w:b/>
      <w:bCs/>
      <w:smallCaps/>
      <w:color w:val="2F5496" w:themeColor="accent1" w:themeShade="BF"/>
      <w:spacing w:val="5"/>
    </w:rPr>
  </w:style>
  <w:style w:type="paragraph" w:styleId="Footer">
    <w:name w:val="footer"/>
    <w:basedOn w:val="Normal"/>
    <w:link w:val="FooterChar"/>
    <w:uiPriority w:val="99"/>
    <w:unhideWhenUsed/>
    <w:rsid w:val="006D2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B72"/>
  </w:style>
  <w:style w:type="paragraph" w:styleId="Header">
    <w:name w:val="header"/>
    <w:basedOn w:val="Normal"/>
    <w:link w:val="HeaderChar"/>
    <w:uiPriority w:val="99"/>
    <w:unhideWhenUsed/>
    <w:rsid w:val="006D2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B72"/>
  </w:style>
  <w:style w:type="character" w:styleId="Hyperlink">
    <w:name w:val="Hyperlink"/>
    <w:basedOn w:val="DefaultParagraphFont"/>
    <w:uiPriority w:val="99"/>
    <w:unhideWhenUsed/>
    <w:rsid w:val="001563F8"/>
    <w:rPr>
      <w:color w:val="0563C1" w:themeColor="hyperlink"/>
      <w:u w:val="single"/>
    </w:rPr>
  </w:style>
  <w:style w:type="character" w:styleId="UnresolvedMention">
    <w:name w:val="Unresolved Mention"/>
    <w:basedOn w:val="DefaultParagraphFont"/>
    <w:uiPriority w:val="99"/>
    <w:semiHidden/>
    <w:unhideWhenUsed/>
    <w:rsid w:val="00156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hyperlink" Target="https://www.nspcc.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2534</Words>
  <Characters>14445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2026-03-29T12:34:00Z</dcterms:created>
  <dcterms:modified xsi:type="dcterms:W3CDTF">2026-03-29T13:27:00Z</dcterms:modified>
</cp:coreProperties>
</file>