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E9E29" w14:textId="77777777" w:rsidR="0075519E" w:rsidRPr="003620FC" w:rsidRDefault="0075519E" w:rsidP="003620FC">
      <w:pPr>
        <w:spacing w:line="360" w:lineRule="auto"/>
        <w:jc w:val="center"/>
        <w:rPr>
          <w:rFonts w:ascii="Arial" w:hAnsi="Arial" w:cs="Arial"/>
          <w:color w:val="000000" w:themeColor="text1"/>
          <w:sz w:val="36"/>
          <w:szCs w:val="36"/>
        </w:rPr>
      </w:pPr>
    </w:p>
    <w:p w14:paraId="60A88184" w14:textId="73FFABDE" w:rsidR="0075519E" w:rsidRPr="003620FC" w:rsidRDefault="0075519E" w:rsidP="003620FC">
      <w:pPr>
        <w:spacing w:line="240" w:lineRule="auto"/>
        <w:jc w:val="center"/>
        <w:rPr>
          <w:rFonts w:ascii="Arial" w:hAnsi="Arial" w:cs="Arial"/>
          <w:b/>
          <w:bCs/>
          <w:color w:val="000000" w:themeColor="text1"/>
          <w:sz w:val="22"/>
          <w:szCs w:val="22"/>
        </w:rPr>
      </w:pPr>
      <w:r w:rsidRPr="003620FC">
        <w:rPr>
          <w:rFonts w:ascii="Arial" w:hAnsi="Arial" w:cs="Arial"/>
          <w:b/>
          <w:bCs/>
          <w:color w:val="000000" w:themeColor="text1"/>
          <w:sz w:val="22"/>
          <w:szCs w:val="22"/>
        </w:rPr>
        <w:t>Managing People in Organisations</w:t>
      </w:r>
    </w:p>
    <w:p w14:paraId="3AC14F1B" w14:textId="3D1582A5" w:rsidR="0075519E" w:rsidRPr="003620FC" w:rsidRDefault="0075519E" w:rsidP="003620FC">
      <w:pPr>
        <w:spacing w:line="240" w:lineRule="auto"/>
        <w:jc w:val="center"/>
        <w:rPr>
          <w:rFonts w:ascii="Arial" w:hAnsi="Arial" w:cs="Arial"/>
          <w:color w:val="000000" w:themeColor="text1"/>
          <w:sz w:val="22"/>
          <w:szCs w:val="22"/>
        </w:rPr>
      </w:pPr>
      <w:r w:rsidRPr="003620FC">
        <w:rPr>
          <w:rFonts w:ascii="Arial" w:hAnsi="Arial" w:cs="Arial"/>
          <w:color w:val="000000" w:themeColor="text1"/>
          <w:sz w:val="22"/>
          <w:szCs w:val="22"/>
        </w:rPr>
        <w:t>Module Lead - Helen Evans</w:t>
      </w:r>
    </w:p>
    <w:p w14:paraId="3C442B45" w14:textId="750E3509" w:rsidR="0075519E" w:rsidRPr="003620FC" w:rsidRDefault="0075519E" w:rsidP="003620FC">
      <w:pPr>
        <w:spacing w:line="240" w:lineRule="auto"/>
        <w:jc w:val="center"/>
        <w:rPr>
          <w:rFonts w:ascii="Arial" w:hAnsi="Arial" w:cs="Arial"/>
          <w:color w:val="000000" w:themeColor="text1"/>
          <w:sz w:val="22"/>
          <w:szCs w:val="22"/>
        </w:rPr>
      </w:pPr>
      <w:r w:rsidRPr="003620FC">
        <w:rPr>
          <w:rFonts w:ascii="Arial" w:hAnsi="Arial" w:cs="Arial"/>
          <w:color w:val="000000" w:themeColor="text1"/>
          <w:sz w:val="22"/>
          <w:szCs w:val="22"/>
        </w:rPr>
        <w:t>Module Code - BMMB7025D</w:t>
      </w:r>
    </w:p>
    <w:p w14:paraId="717170EC" w14:textId="0578E0C5" w:rsidR="00D45D5F" w:rsidRPr="003620FC" w:rsidRDefault="00D45D5F" w:rsidP="003620FC">
      <w:pPr>
        <w:spacing w:line="360" w:lineRule="auto"/>
        <w:jc w:val="center"/>
        <w:rPr>
          <w:rFonts w:ascii="Arial" w:hAnsi="Arial" w:cs="Arial"/>
          <w:color w:val="000000" w:themeColor="text1"/>
          <w:sz w:val="40"/>
          <w:szCs w:val="40"/>
        </w:rPr>
      </w:pPr>
    </w:p>
    <w:p w14:paraId="75B23BBC" w14:textId="77777777" w:rsidR="0075519E" w:rsidRPr="003620FC" w:rsidRDefault="0075519E" w:rsidP="003620FC">
      <w:pPr>
        <w:spacing w:line="360" w:lineRule="auto"/>
        <w:rPr>
          <w:rFonts w:ascii="Arial" w:hAnsi="Arial" w:cs="Arial"/>
          <w:color w:val="000000" w:themeColor="text1"/>
          <w:sz w:val="40"/>
          <w:szCs w:val="40"/>
        </w:rPr>
      </w:pPr>
    </w:p>
    <w:p w14:paraId="7C79660B" w14:textId="77777777" w:rsidR="00731E12" w:rsidRPr="003620FC" w:rsidRDefault="00731E12" w:rsidP="003620FC">
      <w:pPr>
        <w:spacing w:line="360" w:lineRule="auto"/>
        <w:rPr>
          <w:rFonts w:ascii="Arial" w:hAnsi="Arial" w:cs="Arial"/>
          <w:b/>
          <w:bCs/>
          <w:color w:val="000000" w:themeColor="text1"/>
          <w:sz w:val="40"/>
          <w:szCs w:val="40"/>
        </w:rPr>
      </w:pPr>
    </w:p>
    <w:p w14:paraId="6260C3B9" w14:textId="77777777" w:rsidR="00CF6313" w:rsidRDefault="00C37F29" w:rsidP="00CF6313">
      <w:pPr>
        <w:spacing w:line="360" w:lineRule="auto"/>
        <w:jc w:val="center"/>
        <w:rPr>
          <w:rFonts w:ascii="Arial" w:hAnsi="Arial" w:cs="Arial"/>
          <w:b/>
          <w:bCs/>
          <w:color w:val="000000" w:themeColor="text1"/>
          <w:sz w:val="40"/>
          <w:szCs w:val="40"/>
        </w:rPr>
      </w:pPr>
      <w:r w:rsidRPr="003620FC">
        <w:rPr>
          <w:rFonts w:ascii="Arial" w:hAnsi="Arial" w:cs="Arial"/>
          <w:b/>
          <w:bCs/>
          <w:color w:val="000000" w:themeColor="text1"/>
          <w:sz w:val="40"/>
          <w:szCs w:val="40"/>
        </w:rPr>
        <w:t>HR Technology Investment Report</w:t>
      </w:r>
      <w:r w:rsidR="00CF6313">
        <w:rPr>
          <w:rFonts w:ascii="Arial" w:hAnsi="Arial" w:cs="Arial"/>
          <w:b/>
          <w:bCs/>
          <w:color w:val="000000" w:themeColor="text1"/>
          <w:sz w:val="40"/>
          <w:szCs w:val="40"/>
        </w:rPr>
        <w:t>:</w:t>
      </w:r>
    </w:p>
    <w:p w14:paraId="13FF5A66" w14:textId="20C43FDE" w:rsidR="00D45D5F" w:rsidRPr="00CF6313" w:rsidRDefault="00C37F29" w:rsidP="00CF6313">
      <w:pPr>
        <w:spacing w:line="360" w:lineRule="auto"/>
        <w:jc w:val="center"/>
        <w:rPr>
          <w:rFonts w:ascii="Arial" w:hAnsi="Arial" w:cs="Arial"/>
          <w:b/>
          <w:bCs/>
          <w:color w:val="000000" w:themeColor="text1"/>
          <w:sz w:val="40"/>
          <w:szCs w:val="40"/>
        </w:rPr>
      </w:pPr>
      <w:r w:rsidRPr="00CF6313">
        <w:rPr>
          <w:rFonts w:ascii="Arial" w:hAnsi="Arial" w:cs="Arial"/>
          <w:color w:val="000000" w:themeColor="text1"/>
          <w:sz w:val="40"/>
          <w:szCs w:val="40"/>
        </w:rPr>
        <w:t>Employee Engagement and Retention in a UK Retail Distribution Centre</w:t>
      </w:r>
    </w:p>
    <w:p w14:paraId="4E63E22B" w14:textId="77777777" w:rsidR="00D45D5F" w:rsidRPr="003620FC" w:rsidRDefault="00D45D5F" w:rsidP="003620FC">
      <w:pPr>
        <w:spacing w:line="360" w:lineRule="auto"/>
        <w:rPr>
          <w:rFonts w:ascii="Arial" w:hAnsi="Arial" w:cs="Arial"/>
          <w:color w:val="000000" w:themeColor="text1"/>
          <w:sz w:val="40"/>
          <w:szCs w:val="40"/>
        </w:rPr>
      </w:pPr>
    </w:p>
    <w:p w14:paraId="5B3EE358" w14:textId="77777777" w:rsidR="0075519E" w:rsidRPr="003620FC" w:rsidRDefault="0075519E" w:rsidP="003620FC">
      <w:pPr>
        <w:spacing w:line="360" w:lineRule="auto"/>
        <w:rPr>
          <w:rFonts w:ascii="Arial" w:hAnsi="Arial" w:cs="Arial"/>
          <w:color w:val="000000" w:themeColor="text1"/>
          <w:sz w:val="36"/>
          <w:szCs w:val="36"/>
        </w:rPr>
      </w:pPr>
    </w:p>
    <w:p w14:paraId="41EDFFDA" w14:textId="77777777" w:rsidR="0075519E" w:rsidRPr="003620FC" w:rsidRDefault="0075519E" w:rsidP="003620FC">
      <w:pPr>
        <w:spacing w:line="360" w:lineRule="auto"/>
        <w:jc w:val="center"/>
        <w:rPr>
          <w:rFonts w:ascii="Arial" w:hAnsi="Arial" w:cs="Arial"/>
          <w:color w:val="000000" w:themeColor="text1"/>
          <w:sz w:val="36"/>
          <w:szCs w:val="36"/>
        </w:rPr>
      </w:pPr>
    </w:p>
    <w:p w14:paraId="517E392B" w14:textId="77777777" w:rsidR="00D45D5F" w:rsidRPr="003620FC" w:rsidRDefault="00D45D5F" w:rsidP="003620FC">
      <w:pPr>
        <w:spacing w:line="360" w:lineRule="auto"/>
        <w:jc w:val="center"/>
        <w:rPr>
          <w:rFonts w:ascii="Arial" w:hAnsi="Arial" w:cs="Arial"/>
          <w:color w:val="000000" w:themeColor="text1"/>
          <w:sz w:val="22"/>
          <w:szCs w:val="22"/>
        </w:rPr>
      </w:pPr>
    </w:p>
    <w:p w14:paraId="7263F538" w14:textId="77777777" w:rsidR="00D45D5F" w:rsidRPr="003620FC" w:rsidRDefault="00D45D5F" w:rsidP="003620FC">
      <w:pPr>
        <w:spacing w:line="360" w:lineRule="auto"/>
        <w:jc w:val="center"/>
        <w:rPr>
          <w:rFonts w:ascii="Arial" w:hAnsi="Arial" w:cs="Arial"/>
          <w:color w:val="000000" w:themeColor="text1"/>
          <w:sz w:val="22"/>
          <w:szCs w:val="22"/>
        </w:rPr>
      </w:pPr>
    </w:p>
    <w:p w14:paraId="7FC353EF" w14:textId="77777777" w:rsidR="00D45D5F" w:rsidRPr="003620FC" w:rsidRDefault="00D45D5F" w:rsidP="003620FC">
      <w:pPr>
        <w:spacing w:line="240" w:lineRule="auto"/>
        <w:jc w:val="center"/>
        <w:rPr>
          <w:rFonts w:ascii="Arial" w:hAnsi="Arial" w:cs="Arial"/>
          <w:color w:val="000000" w:themeColor="text1"/>
          <w:sz w:val="22"/>
          <w:szCs w:val="22"/>
        </w:rPr>
      </w:pPr>
      <w:r w:rsidRPr="003620FC">
        <w:rPr>
          <w:rFonts w:ascii="Arial" w:hAnsi="Arial" w:cs="Arial"/>
          <w:color w:val="000000" w:themeColor="text1"/>
          <w:sz w:val="22"/>
          <w:szCs w:val="22"/>
        </w:rPr>
        <w:t>Student Details</w:t>
      </w:r>
    </w:p>
    <w:p w14:paraId="0377FBED" w14:textId="77777777" w:rsidR="00D45D5F" w:rsidRPr="003620FC" w:rsidRDefault="00D45D5F" w:rsidP="003620FC">
      <w:pPr>
        <w:spacing w:line="240" w:lineRule="auto"/>
        <w:jc w:val="center"/>
        <w:rPr>
          <w:rFonts w:ascii="Arial" w:hAnsi="Arial" w:cs="Arial"/>
          <w:color w:val="000000" w:themeColor="text1"/>
          <w:sz w:val="22"/>
          <w:szCs w:val="22"/>
        </w:rPr>
      </w:pPr>
      <w:r w:rsidRPr="003620FC">
        <w:rPr>
          <w:rFonts w:ascii="Arial" w:hAnsi="Arial" w:cs="Arial"/>
          <w:color w:val="000000" w:themeColor="text1"/>
          <w:sz w:val="22"/>
          <w:szCs w:val="22"/>
        </w:rPr>
        <w:t>Liliana-Melania Gaina</w:t>
      </w:r>
    </w:p>
    <w:p w14:paraId="07EDD65A" w14:textId="10E8821F" w:rsidR="00C33209" w:rsidRPr="003620FC" w:rsidRDefault="00D45D5F" w:rsidP="003620FC">
      <w:pPr>
        <w:spacing w:line="240" w:lineRule="auto"/>
        <w:jc w:val="center"/>
        <w:rPr>
          <w:rFonts w:ascii="Arial" w:hAnsi="Arial" w:cs="Arial"/>
          <w:color w:val="000000" w:themeColor="text1"/>
          <w:sz w:val="22"/>
          <w:szCs w:val="22"/>
        </w:rPr>
      </w:pPr>
      <w:r w:rsidRPr="003620FC">
        <w:rPr>
          <w:rFonts w:ascii="Arial" w:hAnsi="Arial" w:cs="Arial"/>
          <w:color w:val="000000" w:themeColor="text1"/>
          <w:sz w:val="22"/>
          <w:szCs w:val="22"/>
        </w:rPr>
        <w:t>Number: 2508297</w:t>
      </w:r>
    </w:p>
    <w:p w14:paraId="38C69192" w14:textId="144A00AC" w:rsidR="00E75805" w:rsidRPr="003620FC" w:rsidRDefault="00E75805" w:rsidP="003620FC">
      <w:pPr>
        <w:spacing w:line="360" w:lineRule="auto"/>
        <w:jc w:val="center"/>
        <w:rPr>
          <w:rFonts w:ascii="Arial" w:hAnsi="Arial" w:cs="Arial"/>
          <w:color w:val="000000" w:themeColor="text1"/>
        </w:rPr>
      </w:pPr>
    </w:p>
    <w:p w14:paraId="7F525D42" w14:textId="77777777" w:rsidR="00BC7015" w:rsidRPr="003620FC" w:rsidRDefault="00BC7015" w:rsidP="003620FC">
      <w:pPr>
        <w:pStyle w:val="Heading2"/>
        <w:spacing w:line="360" w:lineRule="auto"/>
        <w:rPr>
          <w:rFonts w:ascii="Arial" w:hAnsi="Arial" w:cs="Arial"/>
          <w:color w:val="000000" w:themeColor="text1"/>
        </w:rPr>
      </w:pPr>
    </w:p>
    <w:sdt>
      <w:sdtPr>
        <w:rPr>
          <w:rFonts w:ascii="Arial" w:eastAsiaTheme="minorHAnsi" w:hAnsi="Arial" w:cs="Arial"/>
          <w:b w:val="0"/>
          <w:bCs w:val="0"/>
          <w:color w:val="000000" w:themeColor="text1"/>
          <w:kern w:val="2"/>
          <w:sz w:val="24"/>
          <w:szCs w:val="24"/>
          <w:lang w:val="en-CZ"/>
          <w14:ligatures w14:val="standardContextual"/>
        </w:rPr>
        <w:id w:val="37176751"/>
        <w:docPartObj>
          <w:docPartGallery w:val="Table of Contents"/>
          <w:docPartUnique/>
        </w:docPartObj>
      </w:sdtPr>
      <w:sdtEndPr>
        <w:rPr>
          <w:noProof/>
        </w:rPr>
      </w:sdtEndPr>
      <w:sdtContent>
        <w:p w14:paraId="69DB1FC1" w14:textId="00FA7CE1" w:rsidR="00BC7015" w:rsidRPr="0064394D" w:rsidRDefault="00BC7015" w:rsidP="003620FC">
          <w:pPr>
            <w:pStyle w:val="TOCHeading"/>
            <w:spacing w:line="360" w:lineRule="auto"/>
            <w:rPr>
              <w:rFonts w:ascii="Arial" w:hAnsi="Arial" w:cs="Arial"/>
              <w:color w:val="000000" w:themeColor="text1"/>
              <w:sz w:val="32"/>
              <w:szCs w:val="32"/>
            </w:rPr>
          </w:pPr>
          <w:r w:rsidRPr="0064394D">
            <w:rPr>
              <w:rFonts w:ascii="Arial" w:hAnsi="Arial" w:cs="Arial"/>
              <w:color w:val="000000" w:themeColor="text1"/>
              <w:sz w:val="32"/>
              <w:szCs w:val="32"/>
            </w:rPr>
            <w:t>Table of Contents</w:t>
          </w:r>
        </w:p>
        <w:p w14:paraId="20A7909E" w14:textId="3B26D32D" w:rsidR="0028288E" w:rsidRDefault="00BC7015">
          <w:pPr>
            <w:pStyle w:val="TOC1"/>
            <w:tabs>
              <w:tab w:val="right" w:leader="dot" w:pos="9350"/>
            </w:tabs>
            <w:rPr>
              <w:rFonts w:eastAsiaTheme="minorEastAsia"/>
              <w:b w:val="0"/>
              <w:bCs w:val="0"/>
              <w:i w:val="0"/>
              <w:iCs w:val="0"/>
              <w:noProof/>
            </w:rPr>
          </w:pPr>
          <w:r w:rsidRPr="003620FC">
            <w:rPr>
              <w:rFonts w:ascii="Arial" w:hAnsi="Arial" w:cs="Arial"/>
              <w:b w:val="0"/>
              <w:bCs w:val="0"/>
              <w:i w:val="0"/>
              <w:iCs w:val="0"/>
              <w:color w:val="000000" w:themeColor="text1"/>
            </w:rPr>
            <w:fldChar w:fldCharType="begin"/>
          </w:r>
          <w:r w:rsidRPr="003620FC">
            <w:rPr>
              <w:rFonts w:ascii="Arial" w:hAnsi="Arial" w:cs="Arial"/>
              <w:b w:val="0"/>
              <w:bCs w:val="0"/>
              <w:i w:val="0"/>
              <w:iCs w:val="0"/>
              <w:color w:val="000000" w:themeColor="text1"/>
            </w:rPr>
            <w:instrText xml:space="preserve"> TOC \o "1-3" \h \z \u </w:instrText>
          </w:r>
          <w:r w:rsidRPr="003620FC">
            <w:rPr>
              <w:rFonts w:ascii="Arial" w:hAnsi="Arial" w:cs="Arial"/>
              <w:b w:val="0"/>
              <w:bCs w:val="0"/>
              <w:i w:val="0"/>
              <w:iCs w:val="0"/>
              <w:color w:val="000000" w:themeColor="text1"/>
            </w:rPr>
            <w:fldChar w:fldCharType="separate"/>
          </w:r>
          <w:hyperlink w:anchor="_Toc227354536" w:history="1">
            <w:r w:rsidR="0028288E" w:rsidRPr="000C3400">
              <w:rPr>
                <w:rStyle w:val="Hyperlink"/>
                <w:rFonts w:ascii="Arial" w:hAnsi="Arial" w:cs="Arial"/>
                <w:noProof/>
              </w:rPr>
              <w:t>Executive Summary</w:t>
            </w:r>
            <w:r w:rsidR="0028288E">
              <w:rPr>
                <w:noProof/>
                <w:webHidden/>
              </w:rPr>
              <w:tab/>
            </w:r>
            <w:r w:rsidR="0028288E">
              <w:rPr>
                <w:noProof/>
                <w:webHidden/>
              </w:rPr>
              <w:fldChar w:fldCharType="begin"/>
            </w:r>
            <w:r w:rsidR="0028288E">
              <w:rPr>
                <w:noProof/>
                <w:webHidden/>
              </w:rPr>
              <w:instrText xml:space="preserve"> PAGEREF _Toc227354536 \h </w:instrText>
            </w:r>
            <w:r w:rsidR="0028288E">
              <w:rPr>
                <w:noProof/>
                <w:webHidden/>
              </w:rPr>
            </w:r>
            <w:r w:rsidR="0028288E">
              <w:rPr>
                <w:noProof/>
                <w:webHidden/>
              </w:rPr>
              <w:fldChar w:fldCharType="separate"/>
            </w:r>
            <w:r w:rsidR="0028288E">
              <w:rPr>
                <w:noProof/>
                <w:webHidden/>
              </w:rPr>
              <w:t>3</w:t>
            </w:r>
            <w:r w:rsidR="0028288E">
              <w:rPr>
                <w:noProof/>
                <w:webHidden/>
              </w:rPr>
              <w:fldChar w:fldCharType="end"/>
            </w:r>
          </w:hyperlink>
        </w:p>
        <w:p w14:paraId="5763BFDC" w14:textId="6038FACD" w:rsidR="0028288E" w:rsidRDefault="0028288E">
          <w:pPr>
            <w:pStyle w:val="TOC1"/>
            <w:tabs>
              <w:tab w:val="right" w:leader="dot" w:pos="9350"/>
            </w:tabs>
            <w:rPr>
              <w:rFonts w:eastAsiaTheme="minorEastAsia"/>
              <w:b w:val="0"/>
              <w:bCs w:val="0"/>
              <w:i w:val="0"/>
              <w:iCs w:val="0"/>
              <w:noProof/>
            </w:rPr>
          </w:pPr>
          <w:hyperlink w:anchor="_Toc227354537" w:history="1">
            <w:r w:rsidRPr="000C340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_Toc227354537 \h </w:instrText>
            </w:r>
            <w:r>
              <w:rPr>
                <w:noProof/>
                <w:webHidden/>
              </w:rPr>
            </w:r>
            <w:r>
              <w:rPr>
                <w:noProof/>
                <w:webHidden/>
              </w:rPr>
              <w:fldChar w:fldCharType="separate"/>
            </w:r>
            <w:r>
              <w:rPr>
                <w:noProof/>
                <w:webHidden/>
              </w:rPr>
              <w:t>4</w:t>
            </w:r>
            <w:r>
              <w:rPr>
                <w:noProof/>
                <w:webHidden/>
              </w:rPr>
              <w:fldChar w:fldCharType="end"/>
            </w:r>
          </w:hyperlink>
        </w:p>
        <w:p w14:paraId="28C4392F" w14:textId="15E9D719" w:rsidR="0028288E" w:rsidRDefault="0028288E">
          <w:pPr>
            <w:pStyle w:val="TOC1"/>
            <w:tabs>
              <w:tab w:val="right" w:leader="dot" w:pos="9350"/>
            </w:tabs>
            <w:rPr>
              <w:rFonts w:eastAsiaTheme="minorEastAsia"/>
              <w:b w:val="0"/>
              <w:bCs w:val="0"/>
              <w:i w:val="0"/>
              <w:iCs w:val="0"/>
              <w:noProof/>
            </w:rPr>
          </w:pPr>
          <w:hyperlink w:anchor="_Toc227354538" w:history="1">
            <w:r w:rsidRPr="000C3400">
              <w:rPr>
                <w:rStyle w:val="Hyperlink"/>
                <w:rFonts w:ascii="Arial" w:hAnsi="Arial" w:cs="Arial"/>
                <w:noProof/>
              </w:rPr>
              <w:t>Employee Engagement: Critical Analysis of Technology Solutions</w:t>
            </w:r>
            <w:r>
              <w:rPr>
                <w:noProof/>
                <w:webHidden/>
              </w:rPr>
              <w:tab/>
            </w:r>
            <w:r>
              <w:rPr>
                <w:noProof/>
                <w:webHidden/>
              </w:rPr>
              <w:fldChar w:fldCharType="begin"/>
            </w:r>
            <w:r>
              <w:rPr>
                <w:noProof/>
                <w:webHidden/>
              </w:rPr>
              <w:instrText xml:space="preserve"> PAGEREF _Toc227354538 \h </w:instrText>
            </w:r>
            <w:r>
              <w:rPr>
                <w:noProof/>
                <w:webHidden/>
              </w:rPr>
            </w:r>
            <w:r>
              <w:rPr>
                <w:noProof/>
                <w:webHidden/>
              </w:rPr>
              <w:fldChar w:fldCharType="separate"/>
            </w:r>
            <w:r>
              <w:rPr>
                <w:noProof/>
                <w:webHidden/>
              </w:rPr>
              <w:t>6</w:t>
            </w:r>
            <w:r>
              <w:rPr>
                <w:noProof/>
                <w:webHidden/>
              </w:rPr>
              <w:fldChar w:fldCharType="end"/>
            </w:r>
          </w:hyperlink>
        </w:p>
        <w:p w14:paraId="0AD286E3" w14:textId="2433E36A" w:rsidR="0028288E" w:rsidRDefault="0028288E">
          <w:pPr>
            <w:pStyle w:val="TOC2"/>
            <w:tabs>
              <w:tab w:val="right" w:leader="dot" w:pos="9350"/>
            </w:tabs>
            <w:rPr>
              <w:rFonts w:eastAsiaTheme="minorEastAsia"/>
              <w:b w:val="0"/>
              <w:bCs w:val="0"/>
              <w:noProof/>
              <w:sz w:val="24"/>
              <w:szCs w:val="24"/>
            </w:rPr>
          </w:pPr>
          <w:hyperlink w:anchor="_Toc227354539" w:history="1">
            <w:r w:rsidRPr="000C3400">
              <w:rPr>
                <w:rStyle w:val="Hyperlink"/>
                <w:rFonts w:ascii="Arial" w:hAnsi="Arial" w:cs="Arial"/>
                <w:noProof/>
              </w:rPr>
              <w:t>Nature of Engagement Challenges in Warehouse Environments</w:t>
            </w:r>
            <w:r>
              <w:rPr>
                <w:noProof/>
                <w:webHidden/>
              </w:rPr>
              <w:tab/>
            </w:r>
            <w:r>
              <w:rPr>
                <w:noProof/>
                <w:webHidden/>
              </w:rPr>
              <w:fldChar w:fldCharType="begin"/>
            </w:r>
            <w:r>
              <w:rPr>
                <w:noProof/>
                <w:webHidden/>
              </w:rPr>
              <w:instrText xml:space="preserve"> PAGEREF _Toc227354539 \h </w:instrText>
            </w:r>
            <w:r>
              <w:rPr>
                <w:noProof/>
                <w:webHidden/>
              </w:rPr>
            </w:r>
            <w:r>
              <w:rPr>
                <w:noProof/>
                <w:webHidden/>
              </w:rPr>
              <w:fldChar w:fldCharType="separate"/>
            </w:r>
            <w:r>
              <w:rPr>
                <w:noProof/>
                <w:webHidden/>
              </w:rPr>
              <w:t>6</w:t>
            </w:r>
            <w:r>
              <w:rPr>
                <w:noProof/>
                <w:webHidden/>
              </w:rPr>
              <w:fldChar w:fldCharType="end"/>
            </w:r>
          </w:hyperlink>
        </w:p>
        <w:p w14:paraId="498D5887" w14:textId="4D2918A5" w:rsidR="0028288E" w:rsidRDefault="0028288E">
          <w:pPr>
            <w:pStyle w:val="TOC2"/>
            <w:tabs>
              <w:tab w:val="right" w:leader="dot" w:pos="9350"/>
            </w:tabs>
            <w:rPr>
              <w:rFonts w:eastAsiaTheme="minorEastAsia"/>
              <w:b w:val="0"/>
              <w:bCs w:val="0"/>
              <w:noProof/>
              <w:sz w:val="24"/>
              <w:szCs w:val="24"/>
            </w:rPr>
          </w:pPr>
          <w:hyperlink w:anchor="_Toc227354540" w:history="1">
            <w:r w:rsidRPr="000C3400">
              <w:rPr>
                <w:rStyle w:val="Hyperlink"/>
                <w:rFonts w:ascii="Arial" w:hAnsi="Arial" w:cs="Arial"/>
                <w:noProof/>
              </w:rPr>
              <w:t>Evaluation of Engagement Technologies</w:t>
            </w:r>
            <w:r>
              <w:rPr>
                <w:noProof/>
                <w:webHidden/>
              </w:rPr>
              <w:tab/>
            </w:r>
            <w:r>
              <w:rPr>
                <w:noProof/>
                <w:webHidden/>
              </w:rPr>
              <w:fldChar w:fldCharType="begin"/>
            </w:r>
            <w:r>
              <w:rPr>
                <w:noProof/>
                <w:webHidden/>
              </w:rPr>
              <w:instrText xml:space="preserve"> PAGEREF _Toc227354540 \h </w:instrText>
            </w:r>
            <w:r>
              <w:rPr>
                <w:noProof/>
                <w:webHidden/>
              </w:rPr>
            </w:r>
            <w:r>
              <w:rPr>
                <w:noProof/>
                <w:webHidden/>
              </w:rPr>
              <w:fldChar w:fldCharType="separate"/>
            </w:r>
            <w:r>
              <w:rPr>
                <w:noProof/>
                <w:webHidden/>
              </w:rPr>
              <w:t>6</w:t>
            </w:r>
            <w:r>
              <w:rPr>
                <w:noProof/>
                <w:webHidden/>
              </w:rPr>
              <w:fldChar w:fldCharType="end"/>
            </w:r>
          </w:hyperlink>
        </w:p>
        <w:p w14:paraId="4E8A175F" w14:textId="62F1E30C" w:rsidR="0028288E" w:rsidRDefault="0028288E">
          <w:pPr>
            <w:pStyle w:val="TOC3"/>
            <w:tabs>
              <w:tab w:val="left" w:pos="960"/>
              <w:tab w:val="right" w:leader="dot" w:pos="9350"/>
            </w:tabs>
            <w:rPr>
              <w:rFonts w:eastAsiaTheme="minorEastAsia"/>
              <w:noProof/>
              <w:sz w:val="24"/>
              <w:szCs w:val="24"/>
            </w:rPr>
          </w:pPr>
          <w:hyperlink w:anchor="_Toc227354541" w:history="1">
            <w:r w:rsidRPr="000C3400">
              <w:rPr>
                <w:rStyle w:val="Hyperlink"/>
                <w:rFonts w:ascii="Arial" w:hAnsi="Arial" w:cs="Arial"/>
                <w:noProof/>
              </w:rPr>
              <w:t>1.</w:t>
            </w:r>
            <w:r>
              <w:rPr>
                <w:rFonts w:eastAsiaTheme="minorEastAsia"/>
                <w:noProof/>
                <w:sz w:val="24"/>
                <w:szCs w:val="24"/>
              </w:rPr>
              <w:tab/>
            </w:r>
            <w:r w:rsidRPr="000C3400">
              <w:rPr>
                <w:rStyle w:val="Hyperlink"/>
                <w:rFonts w:ascii="Arial" w:hAnsi="Arial" w:cs="Arial"/>
                <w:noProof/>
              </w:rPr>
              <w:t>Culture Amp</w:t>
            </w:r>
            <w:r>
              <w:rPr>
                <w:noProof/>
                <w:webHidden/>
              </w:rPr>
              <w:tab/>
            </w:r>
            <w:r>
              <w:rPr>
                <w:noProof/>
                <w:webHidden/>
              </w:rPr>
              <w:fldChar w:fldCharType="begin"/>
            </w:r>
            <w:r>
              <w:rPr>
                <w:noProof/>
                <w:webHidden/>
              </w:rPr>
              <w:instrText xml:space="preserve"> PAGEREF _Toc227354541 \h </w:instrText>
            </w:r>
            <w:r>
              <w:rPr>
                <w:noProof/>
                <w:webHidden/>
              </w:rPr>
            </w:r>
            <w:r>
              <w:rPr>
                <w:noProof/>
                <w:webHidden/>
              </w:rPr>
              <w:fldChar w:fldCharType="separate"/>
            </w:r>
            <w:r>
              <w:rPr>
                <w:noProof/>
                <w:webHidden/>
              </w:rPr>
              <w:t>6</w:t>
            </w:r>
            <w:r>
              <w:rPr>
                <w:noProof/>
                <w:webHidden/>
              </w:rPr>
              <w:fldChar w:fldCharType="end"/>
            </w:r>
          </w:hyperlink>
        </w:p>
        <w:p w14:paraId="22AF79AB" w14:textId="3EA6B287" w:rsidR="0028288E" w:rsidRDefault="0028288E">
          <w:pPr>
            <w:pStyle w:val="TOC3"/>
            <w:tabs>
              <w:tab w:val="left" w:pos="960"/>
              <w:tab w:val="right" w:leader="dot" w:pos="9350"/>
            </w:tabs>
            <w:rPr>
              <w:rFonts w:eastAsiaTheme="minorEastAsia"/>
              <w:noProof/>
              <w:sz w:val="24"/>
              <w:szCs w:val="24"/>
            </w:rPr>
          </w:pPr>
          <w:hyperlink w:anchor="_Toc227354542" w:history="1">
            <w:r w:rsidRPr="000C3400">
              <w:rPr>
                <w:rStyle w:val="Hyperlink"/>
                <w:rFonts w:ascii="Arial" w:hAnsi="Arial" w:cs="Arial"/>
                <w:noProof/>
              </w:rPr>
              <w:t>2.</w:t>
            </w:r>
            <w:r>
              <w:rPr>
                <w:rFonts w:eastAsiaTheme="minorEastAsia"/>
                <w:noProof/>
                <w:sz w:val="24"/>
                <w:szCs w:val="24"/>
              </w:rPr>
              <w:tab/>
            </w:r>
            <w:r w:rsidRPr="000C3400">
              <w:rPr>
                <w:rStyle w:val="Hyperlink"/>
                <w:rFonts w:ascii="Arial" w:hAnsi="Arial" w:cs="Arial"/>
                <w:noProof/>
              </w:rPr>
              <w:t>Workday Peakon Employee Voice</w:t>
            </w:r>
            <w:r>
              <w:rPr>
                <w:noProof/>
                <w:webHidden/>
              </w:rPr>
              <w:tab/>
            </w:r>
            <w:r>
              <w:rPr>
                <w:noProof/>
                <w:webHidden/>
              </w:rPr>
              <w:fldChar w:fldCharType="begin"/>
            </w:r>
            <w:r>
              <w:rPr>
                <w:noProof/>
                <w:webHidden/>
              </w:rPr>
              <w:instrText xml:space="preserve"> PAGEREF _Toc227354542 \h </w:instrText>
            </w:r>
            <w:r>
              <w:rPr>
                <w:noProof/>
                <w:webHidden/>
              </w:rPr>
            </w:r>
            <w:r>
              <w:rPr>
                <w:noProof/>
                <w:webHidden/>
              </w:rPr>
              <w:fldChar w:fldCharType="separate"/>
            </w:r>
            <w:r>
              <w:rPr>
                <w:noProof/>
                <w:webHidden/>
              </w:rPr>
              <w:t>7</w:t>
            </w:r>
            <w:r>
              <w:rPr>
                <w:noProof/>
                <w:webHidden/>
              </w:rPr>
              <w:fldChar w:fldCharType="end"/>
            </w:r>
          </w:hyperlink>
        </w:p>
        <w:p w14:paraId="40DB6D03" w14:textId="6C5D5977" w:rsidR="0028288E" w:rsidRDefault="0028288E">
          <w:pPr>
            <w:pStyle w:val="TOC3"/>
            <w:tabs>
              <w:tab w:val="left" w:pos="960"/>
              <w:tab w:val="right" w:leader="dot" w:pos="9350"/>
            </w:tabs>
            <w:rPr>
              <w:rFonts w:eastAsiaTheme="minorEastAsia"/>
              <w:noProof/>
              <w:sz w:val="24"/>
              <w:szCs w:val="24"/>
            </w:rPr>
          </w:pPr>
          <w:hyperlink w:anchor="_Toc227354543" w:history="1">
            <w:r w:rsidRPr="000C3400">
              <w:rPr>
                <w:rStyle w:val="Hyperlink"/>
                <w:rFonts w:ascii="Arial" w:hAnsi="Arial" w:cs="Arial"/>
                <w:noProof/>
              </w:rPr>
              <w:t>3.</w:t>
            </w:r>
            <w:r>
              <w:rPr>
                <w:rFonts w:eastAsiaTheme="minorEastAsia"/>
                <w:noProof/>
                <w:sz w:val="24"/>
                <w:szCs w:val="24"/>
              </w:rPr>
              <w:tab/>
            </w:r>
            <w:r w:rsidRPr="000C3400">
              <w:rPr>
                <w:rStyle w:val="Hyperlink"/>
                <w:rFonts w:ascii="Arial" w:hAnsi="Arial" w:cs="Arial"/>
                <w:noProof/>
              </w:rPr>
              <w:t>Critical Synthesis</w:t>
            </w:r>
            <w:r>
              <w:rPr>
                <w:noProof/>
                <w:webHidden/>
              </w:rPr>
              <w:tab/>
            </w:r>
            <w:r>
              <w:rPr>
                <w:noProof/>
                <w:webHidden/>
              </w:rPr>
              <w:fldChar w:fldCharType="begin"/>
            </w:r>
            <w:r>
              <w:rPr>
                <w:noProof/>
                <w:webHidden/>
              </w:rPr>
              <w:instrText xml:space="preserve"> PAGEREF _Toc227354543 \h </w:instrText>
            </w:r>
            <w:r>
              <w:rPr>
                <w:noProof/>
                <w:webHidden/>
              </w:rPr>
            </w:r>
            <w:r>
              <w:rPr>
                <w:noProof/>
                <w:webHidden/>
              </w:rPr>
              <w:fldChar w:fldCharType="separate"/>
            </w:r>
            <w:r>
              <w:rPr>
                <w:noProof/>
                <w:webHidden/>
              </w:rPr>
              <w:t>7</w:t>
            </w:r>
            <w:r>
              <w:rPr>
                <w:noProof/>
                <w:webHidden/>
              </w:rPr>
              <w:fldChar w:fldCharType="end"/>
            </w:r>
          </w:hyperlink>
        </w:p>
        <w:p w14:paraId="3CF1E867" w14:textId="6DD80E20" w:rsidR="0028288E" w:rsidRDefault="0028288E">
          <w:pPr>
            <w:pStyle w:val="TOC3"/>
            <w:tabs>
              <w:tab w:val="right" w:leader="dot" w:pos="9350"/>
            </w:tabs>
            <w:rPr>
              <w:rFonts w:eastAsiaTheme="minorEastAsia"/>
              <w:noProof/>
              <w:sz w:val="24"/>
              <w:szCs w:val="24"/>
            </w:rPr>
          </w:pPr>
          <w:hyperlink w:anchor="_Toc227354544" w:history="1">
            <w:r w:rsidRPr="000C3400">
              <w:rPr>
                <w:rStyle w:val="Hyperlink"/>
                <w:rFonts w:ascii="Arial" w:hAnsi="Arial" w:cs="Arial"/>
                <w:noProof/>
              </w:rPr>
              <w:t>Employee Retention: Critical Analysis of Technology Solutions</w:t>
            </w:r>
            <w:r>
              <w:rPr>
                <w:noProof/>
                <w:webHidden/>
              </w:rPr>
              <w:tab/>
            </w:r>
            <w:r>
              <w:rPr>
                <w:noProof/>
                <w:webHidden/>
              </w:rPr>
              <w:fldChar w:fldCharType="begin"/>
            </w:r>
            <w:r>
              <w:rPr>
                <w:noProof/>
                <w:webHidden/>
              </w:rPr>
              <w:instrText xml:space="preserve"> PAGEREF _Toc227354544 \h </w:instrText>
            </w:r>
            <w:r>
              <w:rPr>
                <w:noProof/>
                <w:webHidden/>
              </w:rPr>
            </w:r>
            <w:r>
              <w:rPr>
                <w:noProof/>
                <w:webHidden/>
              </w:rPr>
              <w:fldChar w:fldCharType="separate"/>
            </w:r>
            <w:r>
              <w:rPr>
                <w:noProof/>
                <w:webHidden/>
              </w:rPr>
              <w:t>8</w:t>
            </w:r>
            <w:r>
              <w:rPr>
                <w:noProof/>
                <w:webHidden/>
              </w:rPr>
              <w:fldChar w:fldCharType="end"/>
            </w:r>
          </w:hyperlink>
        </w:p>
        <w:p w14:paraId="276D88DE" w14:textId="42DBEBF2" w:rsidR="0028288E" w:rsidRDefault="0028288E">
          <w:pPr>
            <w:pStyle w:val="TOC2"/>
            <w:tabs>
              <w:tab w:val="right" w:leader="dot" w:pos="9350"/>
            </w:tabs>
            <w:rPr>
              <w:rFonts w:eastAsiaTheme="minorEastAsia"/>
              <w:b w:val="0"/>
              <w:bCs w:val="0"/>
              <w:noProof/>
              <w:sz w:val="24"/>
              <w:szCs w:val="24"/>
            </w:rPr>
          </w:pPr>
          <w:hyperlink w:anchor="_Toc227354545" w:history="1">
            <w:r w:rsidRPr="000C3400">
              <w:rPr>
                <w:rStyle w:val="Hyperlink"/>
                <w:rFonts w:ascii="Arial" w:hAnsi="Arial" w:cs="Arial"/>
                <w:noProof/>
              </w:rPr>
              <w:t>Nature of Retention Challenges</w:t>
            </w:r>
            <w:r>
              <w:rPr>
                <w:noProof/>
                <w:webHidden/>
              </w:rPr>
              <w:tab/>
            </w:r>
            <w:r>
              <w:rPr>
                <w:noProof/>
                <w:webHidden/>
              </w:rPr>
              <w:fldChar w:fldCharType="begin"/>
            </w:r>
            <w:r>
              <w:rPr>
                <w:noProof/>
                <w:webHidden/>
              </w:rPr>
              <w:instrText xml:space="preserve"> PAGEREF _Toc227354545 \h </w:instrText>
            </w:r>
            <w:r>
              <w:rPr>
                <w:noProof/>
                <w:webHidden/>
              </w:rPr>
            </w:r>
            <w:r>
              <w:rPr>
                <w:noProof/>
                <w:webHidden/>
              </w:rPr>
              <w:fldChar w:fldCharType="separate"/>
            </w:r>
            <w:r>
              <w:rPr>
                <w:noProof/>
                <w:webHidden/>
              </w:rPr>
              <w:t>8</w:t>
            </w:r>
            <w:r>
              <w:rPr>
                <w:noProof/>
                <w:webHidden/>
              </w:rPr>
              <w:fldChar w:fldCharType="end"/>
            </w:r>
          </w:hyperlink>
        </w:p>
        <w:p w14:paraId="30287122" w14:textId="74D8FC89" w:rsidR="0028288E" w:rsidRDefault="0028288E">
          <w:pPr>
            <w:pStyle w:val="TOC2"/>
            <w:tabs>
              <w:tab w:val="right" w:leader="dot" w:pos="9350"/>
            </w:tabs>
            <w:rPr>
              <w:rFonts w:eastAsiaTheme="minorEastAsia"/>
              <w:b w:val="0"/>
              <w:bCs w:val="0"/>
              <w:noProof/>
              <w:sz w:val="24"/>
              <w:szCs w:val="24"/>
            </w:rPr>
          </w:pPr>
          <w:hyperlink w:anchor="_Toc227354546" w:history="1">
            <w:r w:rsidRPr="000C3400">
              <w:rPr>
                <w:rStyle w:val="Hyperlink"/>
                <w:rFonts w:ascii="Arial" w:hAnsi="Arial" w:cs="Arial"/>
                <w:noProof/>
              </w:rPr>
              <w:t>Evaluation of Retention Technologies</w:t>
            </w:r>
            <w:r>
              <w:rPr>
                <w:noProof/>
                <w:webHidden/>
              </w:rPr>
              <w:tab/>
            </w:r>
            <w:r>
              <w:rPr>
                <w:noProof/>
                <w:webHidden/>
              </w:rPr>
              <w:fldChar w:fldCharType="begin"/>
            </w:r>
            <w:r>
              <w:rPr>
                <w:noProof/>
                <w:webHidden/>
              </w:rPr>
              <w:instrText xml:space="preserve"> PAGEREF _Toc227354546 \h </w:instrText>
            </w:r>
            <w:r>
              <w:rPr>
                <w:noProof/>
                <w:webHidden/>
              </w:rPr>
            </w:r>
            <w:r>
              <w:rPr>
                <w:noProof/>
                <w:webHidden/>
              </w:rPr>
              <w:fldChar w:fldCharType="separate"/>
            </w:r>
            <w:r>
              <w:rPr>
                <w:noProof/>
                <w:webHidden/>
              </w:rPr>
              <w:t>8</w:t>
            </w:r>
            <w:r>
              <w:rPr>
                <w:noProof/>
                <w:webHidden/>
              </w:rPr>
              <w:fldChar w:fldCharType="end"/>
            </w:r>
          </w:hyperlink>
        </w:p>
        <w:p w14:paraId="1A88FFF1" w14:textId="625305F7" w:rsidR="0028288E" w:rsidRDefault="0028288E">
          <w:pPr>
            <w:pStyle w:val="TOC3"/>
            <w:tabs>
              <w:tab w:val="left" w:pos="960"/>
              <w:tab w:val="right" w:leader="dot" w:pos="9350"/>
            </w:tabs>
            <w:rPr>
              <w:rFonts w:eastAsiaTheme="minorEastAsia"/>
              <w:noProof/>
              <w:sz w:val="24"/>
              <w:szCs w:val="24"/>
            </w:rPr>
          </w:pPr>
          <w:hyperlink w:anchor="_Toc227354547" w:history="1">
            <w:r w:rsidRPr="000C3400">
              <w:rPr>
                <w:rStyle w:val="Hyperlink"/>
                <w:rFonts w:ascii="Arial" w:hAnsi="Arial" w:cs="Arial"/>
                <w:noProof/>
              </w:rPr>
              <w:t>1.</w:t>
            </w:r>
            <w:r>
              <w:rPr>
                <w:rFonts w:eastAsiaTheme="minorEastAsia"/>
                <w:noProof/>
                <w:sz w:val="24"/>
                <w:szCs w:val="24"/>
              </w:rPr>
              <w:tab/>
            </w:r>
            <w:r w:rsidRPr="000C3400">
              <w:rPr>
                <w:rStyle w:val="Hyperlink"/>
                <w:rFonts w:ascii="Arial" w:hAnsi="Arial" w:cs="Arial"/>
                <w:noProof/>
              </w:rPr>
              <w:t>Workday Human Capital Management (HCM)</w:t>
            </w:r>
            <w:r>
              <w:rPr>
                <w:noProof/>
                <w:webHidden/>
              </w:rPr>
              <w:tab/>
            </w:r>
            <w:r>
              <w:rPr>
                <w:noProof/>
                <w:webHidden/>
              </w:rPr>
              <w:fldChar w:fldCharType="begin"/>
            </w:r>
            <w:r>
              <w:rPr>
                <w:noProof/>
                <w:webHidden/>
              </w:rPr>
              <w:instrText xml:space="preserve"> PAGEREF _Toc227354547 \h </w:instrText>
            </w:r>
            <w:r>
              <w:rPr>
                <w:noProof/>
                <w:webHidden/>
              </w:rPr>
            </w:r>
            <w:r>
              <w:rPr>
                <w:noProof/>
                <w:webHidden/>
              </w:rPr>
              <w:fldChar w:fldCharType="separate"/>
            </w:r>
            <w:r>
              <w:rPr>
                <w:noProof/>
                <w:webHidden/>
              </w:rPr>
              <w:t>8</w:t>
            </w:r>
            <w:r>
              <w:rPr>
                <w:noProof/>
                <w:webHidden/>
              </w:rPr>
              <w:fldChar w:fldCharType="end"/>
            </w:r>
          </w:hyperlink>
        </w:p>
        <w:p w14:paraId="14CF8B2F" w14:textId="215A4A40" w:rsidR="0028288E" w:rsidRDefault="0028288E">
          <w:pPr>
            <w:pStyle w:val="TOC3"/>
            <w:tabs>
              <w:tab w:val="left" w:pos="960"/>
              <w:tab w:val="right" w:leader="dot" w:pos="9350"/>
            </w:tabs>
            <w:rPr>
              <w:rFonts w:eastAsiaTheme="minorEastAsia"/>
              <w:noProof/>
              <w:sz w:val="24"/>
              <w:szCs w:val="24"/>
            </w:rPr>
          </w:pPr>
          <w:hyperlink w:anchor="_Toc227354548" w:history="1">
            <w:r w:rsidRPr="000C3400">
              <w:rPr>
                <w:rStyle w:val="Hyperlink"/>
                <w:rFonts w:ascii="Arial" w:hAnsi="Arial" w:cs="Arial"/>
                <w:noProof/>
              </w:rPr>
              <w:t>2.</w:t>
            </w:r>
            <w:r>
              <w:rPr>
                <w:rFonts w:eastAsiaTheme="minorEastAsia"/>
                <w:noProof/>
                <w:sz w:val="24"/>
                <w:szCs w:val="24"/>
              </w:rPr>
              <w:tab/>
            </w:r>
            <w:r w:rsidRPr="000C3400">
              <w:rPr>
                <w:rStyle w:val="Hyperlink"/>
                <w:rFonts w:ascii="Arial" w:hAnsi="Arial" w:cs="Arial"/>
                <w:noProof/>
              </w:rPr>
              <w:t>SAP SuccessFactors</w:t>
            </w:r>
            <w:r>
              <w:rPr>
                <w:noProof/>
                <w:webHidden/>
              </w:rPr>
              <w:tab/>
            </w:r>
            <w:r>
              <w:rPr>
                <w:noProof/>
                <w:webHidden/>
              </w:rPr>
              <w:fldChar w:fldCharType="begin"/>
            </w:r>
            <w:r>
              <w:rPr>
                <w:noProof/>
                <w:webHidden/>
              </w:rPr>
              <w:instrText xml:space="preserve"> PAGEREF _Toc227354548 \h </w:instrText>
            </w:r>
            <w:r>
              <w:rPr>
                <w:noProof/>
                <w:webHidden/>
              </w:rPr>
            </w:r>
            <w:r>
              <w:rPr>
                <w:noProof/>
                <w:webHidden/>
              </w:rPr>
              <w:fldChar w:fldCharType="separate"/>
            </w:r>
            <w:r>
              <w:rPr>
                <w:noProof/>
                <w:webHidden/>
              </w:rPr>
              <w:t>9</w:t>
            </w:r>
            <w:r>
              <w:rPr>
                <w:noProof/>
                <w:webHidden/>
              </w:rPr>
              <w:fldChar w:fldCharType="end"/>
            </w:r>
          </w:hyperlink>
        </w:p>
        <w:p w14:paraId="791B3A40" w14:textId="505C0663" w:rsidR="0028288E" w:rsidRDefault="0028288E">
          <w:pPr>
            <w:pStyle w:val="TOC3"/>
            <w:tabs>
              <w:tab w:val="left" w:pos="960"/>
              <w:tab w:val="right" w:leader="dot" w:pos="9350"/>
            </w:tabs>
            <w:rPr>
              <w:rFonts w:eastAsiaTheme="minorEastAsia"/>
              <w:noProof/>
              <w:sz w:val="24"/>
              <w:szCs w:val="24"/>
            </w:rPr>
          </w:pPr>
          <w:hyperlink w:anchor="_Toc227354549" w:history="1">
            <w:r w:rsidRPr="000C3400">
              <w:rPr>
                <w:rStyle w:val="Hyperlink"/>
                <w:rFonts w:ascii="Arial" w:hAnsi="Arial" w:cs="Arial"/>
                <w:noProof/>
              </w:rPr>
              <w:t>3.</w:t>
            </w:r>
            <w:r>
              <w:rPr>
                <w:rFonts w:eastAsiaTheme="minorEastAsia"/>
                <w:noProof/>
                <w:sz w:val="24"/>
                <w:szCs w:val="24"/>
              </w:rPr>
              <w:tab/>
            </w:r>
            <w:r w:rsidRPr="000C3400">
              <w:rPr>
                <w:rStyle w:val="Hyperlink"/>
                <w:rFonts w:ascii="Arial" w:hAnsi="Arial" w:cs="Arial"/>
                <w:noProof/>
              </w:rPr>
              <w:t>Critical Synthesis</w:t>
            </w:r>
            <w:r>
              <w:rPr>
                <w:noProof/>
                <w:webHidden/>
              </w:rPr>
              <w:tab/>
            </w:r>
            <w:r>
              <w:rPr>
                <w:noProof/>
                <w:webHidden/>
              </w:rPr>
              <w:fldChar w:fldCharType="begin"/>
            </w:r>
            <w:r>
              <w:rPr>
                <w:noProof/>
                <w:webHidden/>
              </w:rPr>
              <w:instrText xml:space="preserve"> PAGEREF _Toc227354549 \h </w:instrText>
            </w:r>
            <w:r>
              <w:rPr>
                <w:noProof/>
                <w:webHidden/>
              </w:rPr>
            </w:r>
            <w:r>
              <w:rPr>
                <w:noProof/>
                <w:webHidden/>
              </w:rPr>
              <w:fldChar w:fldCharType="separate"/>
            </w:r>
            <w:r>
              <w:rPr>
                <w:noProof/>
                <w:webHidden/>
              </w:rPr>
              <w:t>10</w:t>
            </w:r>
            <w:r>
              <w:rPr>
                <w:noProof/>
                <w:webHidden/>
              </w:rPr>
              <w:fldChar w:fldCharType="end"/>
            </w:r>
          </w:hyperlink>
        </w:p>
        <w:p w14:paraId="2496A196" w14:textId="149505FC" w:rsidR="0028288E" w:rsidRDefault="0028288E">
          <w:pPr>
            <w:pStyle w:val="TOC1"/>
            <w:tabs>
              <w:tab w:val="right" w:leader="dot" w:pos="9350"/>
            </w:tabs>
            <w:rPr>
              <w:rFonts w:eastAsiaTheme="minorEastAsia"/>
              <w:b w:val="0"/>
              <w:bCs w:val="0"/>
              <w:i w:val="0"/>
              <w:iCs w:val="0"/>
              <w:noProof/>
            </w:rPr>
          </w:pPr>
          <w:hyperlink w:anchor="_Toc227354550" w:history="1">
            <w:r w:rsidRPr="000C3400">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_Toc227354550 \h </w:instrText>
            </w:r>
            <w:r>
              <w:rPr>
                <w:noProof/>
                <w:webHidden/>
              </w:rPr>
            </w:r>
            <w:r>
              <w:rPr>
                <w:noProof/>
                <w:webHidden/>
              </w:rPr>
              <w:fldChar w:fldCharType="separate"/>
            </w:r>
            <w:r>
              <w:rPr>
                <w:noProof/>
                <w:webHidden/>
              </w:rPr>
              <w:t>10</w:t>
            </w:r>
            <w:r>
              <w:rPr>
                <w:noProof/>
                <w:webHidden/>
              </w:rPr>
              <w:fldChar w:fldCharType="end"/>
            </w:r>
          </w:hyperlink>
        </w:p>
        <w:p w14:paraId="41C1C68B" w14:textId="616BAF1C" w:rsidR="0028288E" w:rsidRDefault="0028288E">
          <w:pPr>
            <w:pStyle w:val="TOC1"/>
            <w:tabs>
              <w:tab w:val="right" w:leader="dot" w:pos="9350"/>
            </w:tabs>
            <w:rPr>
              <w:rFonts w:eastAsiaTheme="minorEastAsia"/>
              <w:b w:val="0"/>
              <w:bCs w:val="0"/>
              <w:i w:val="0"/>
              <w:iCs w:val="0"/>
              <w:noProof/>
            </w:rPr>
          </w:pPr>
          <w:hyperlink w:anchor="_Toc227354551" w:history="1">
            <w:r w:rsidRPr="000C3400">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_Toc227354551 \h </w:instrText>
            </w:r>
            <w:r>
              <w:rPr>
                <w:noProof/>
                <w:webHidden/>
              </w:rPr>
            </w:r>
            <w:r>
              <w:rPr>
                <w:noProof/>
                <w:webHidden/>
              </w:rPr>
              <w:fldChar w:fldCharType="separate"/>
            </w:r>
            <w:r>
              <w:rPr>
                <w:noProof/>
                <w:webHidden/>
              </w:rPr>
              <w:t>13</w:t>
            </w:r>
            <w:r>
              <w:rPr>
                <w:noProof/>
                <w:webHidden/>
              </w:rPr>
              <w:fldChar w:fldCharType="end"/>
            </w:r>
          </w:hyperlink>
        </w:p>
        <w:p w14:paraId="41EA8E2D" w14:textId="0A975BCB" w:rsidR="0028288E" w:rsidRDefault="0028288E">
          <w:pPr>
            <w:pStyle w:val="TOC1"/>
            <w:tabs>
              <w:tab w:val="right" w:leader="dot" w:pos="9350"/>
            </w:tabs>
            <w:rPr>
              <w:rFonts w:eastAsiaTheme="minorEastAsia"/>
              <w:b w:val="0"/>
              <w:bCs w:val="0"/>
              <w:i w:val="0"/>
              <w:iCs w:val="0"/>
              <w:noProof/>
            </w:rPr>
          </w:pPr>
          <w:hyperlink w:anchor="_Toc227354552" w:history="1">
            <w:r w:rsidRPr="000C3400">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_Toc227354552 \h </w:instrText>
            </w:r>
            <w:r>
              <w:rPr>
                <w:noProof/>
                <w:webHidden/>
              </w:rPr>
            </w:r>
            <w:r>
              <w:rPr>
                <w:noProof/>
                <w:webHidden/>
              </w:rPr>
              <w:fldChar w:fldCharType="separate"/>
            </w:r>
            <w:r>
              <w:rPr>
                <w:noProof/>
                <w:webHidden/>
              </w:rPr>
              <w:t>15</w:t>
            </w:r>
            <w:r>
              <w:rPr>
                <w:noProof/>
                <w:webHidden/>
              </w:rPr>
              <w:fldChar w:fldCharType="end"/>
            </w:r>
          </w:hyperlink>
        </w:p>
        <w:p w14:paraId="5E5D195B" w14:textId="5710F357" w:rsidR="0028288E" w:rsidRDefault="0028288E">
          <w:pPr>
            <w:pStyle w:val="TOC1"/>
            <w:tabs>
              <w:tab w:val="right" w:leader="dot" w:pos="9350"/>
            </w:tabs>
            <w:rPr>
              <w:rFonts w:eastAsiaTheme="minorEastAsia"/>
              <w:b w:val="0"/>
              <w:bCs w:val="0"/>
              <w:i w:val="0"/>
              <w:iCs w:val="0"/>
              <w:noProof/>
            </w:rPr>
          </w:pPr>
          <w:hyperlink w:anchor="_Toc227354553" w:history="1">
            <w:r w:rsidRPr="000C3400">
              <w:rPr>
                <w:rStyle w:val="Hyperlink"/>
                <w:rFonts w:ascii="Arial" w:hAnsi="Arial" w:cs="Arial"/>
                <w:noProof/>
              </w:rPr>
              <w:t>Appendix A: HR Technology Investment Appraisal Summary</w:t>
            </w:r>
            <w:r>
              <w:rPr>
                <w:noProof/>
                <w:webHidden/>
              </w:rPr>
              <w:tab/>
            </w:r>
            <w:r>
              <w:rPr>
                <w:noProof/>
                <w:webHidden/>
              </w:rPr>
              <w:fldChar w:fldCharType="begin"/>
            </w:r>
            <w:r>
              <w:rPr>
                <w:noProof/>
                <w:webHidden/>
              </w:rPr>
              <w:instrText xml:space="preserve"> PAGEREF _Toc227354553 \h </w:instrText>
            </w:r>
            <w:r>
              <w:rPr>
                <w:noProof/>
                <w:webHidden/>
              </w:rPr>
            </w:r>
            <w:r>
              <w:rPr>
                <w:noProof/>
                <w:webHidden/>
              </w:rPr>
              <w:fldChar w:fldCharType="separate"/>
            </w:r>
            <w:r>
              <w:rPr>
                <w:noProof/>
                <w:webHidden/>
              </w:rPr>
              <w:t>18</w:t>
            </w:r>
            <w:r>
              <w:rPr>
                <w:noProof/>
                <w:webHidden/>
              </w:rPr>
              <w:fldChar w:fldCharType="end"/>
            </w:r>
          </w:hyperlink>
        </w:p>
        <w:p w14:paraId="165E2F18" w14:textId="34A29D10" w:rsidR="00BC7015" w:rsidRPr="003620FC" w:rsidRDefault="00BC7015" w:rsidP="003620FC">
          <w:pPr>
            <w:spacing w:line="360" w:lineRule="auto"/>
            <w:rPr>
              <w:rFonts w:ascii="Arial" w:hAnsi="Arial" w:cs="Arial"/>
              <w:color w:val="000000" w:themeColor="text1"/>
            </w:rPr>
          </w:pPr>
          <w:r w:rsidRPr="003620FC">
            <w:rPr>
              <w:rFonts w:ascii="Arial" w:hAnsi="Arial" w:cs="Arial"/>
              <w:noProof/>
              <w:color w:val="000000" w:themeColor="text1"/>
              <w:sz w:val="22"/>
              <w:szCs w:val="22"/>
            </w:rPr>
            <w:fldChar w:fldCharType="end"/>
          </w:r>
        </w:p>
      </w:sdtContent>
    </w:sdt>
    <w:p w14:paraId="5DC246C8" w14:textId="77777777" w:rsidR="00BC7015" w:rsidRPr="003620FC" w:rsidRDefault="00BC7015" w:rsidP="003620FC">
      <w:pPr>
        <w:pStyle w:val="Heading2"/>
        <w:spacing w:line="360" w:lineRule="auto"/>
        <w:rPr>
          <w:rFonts w:ascii="Arial" w:hAnsi="Arial" w:cs="Arial"/>
          <w:color w:val="000000" w:themeColor="text1"/>
        </w:rPr>
      </w:pPr>
    </w:p>
    <w:p w14:paraId="124F73F5" w14:textId="77777777" w:rsidR="00BC7015" w:rsidRPr="003620FC" w:rsidRDefault="00BC7015" w:rsidP="003620FC">
      <w:pPr>
        <w:spacing w:line="360" w:lineRule="auto"/>
        <w:rPr>
          <w:rFonts w:ascii="Arial" w:hAnsi="Arial" w:cs="Arial"/>
          <w:color w:val="000000" w:themeColor="text1"/>
        </w:rPr>
      </w:pPr>
    </w:p>
    <w:p w14:paraId="68DC7C6F" w14:textId="77777777" w:rsidR="0075519E" w:rsidRPr="003620FC" w:rsidRDefault="0075519E" w:rsidP="003620FC">
      <w:pPr>
        <w:spacing w:line="360" w:lineRule="auto"/>
        <w:rPr>
          <w:rFonts w:ascii="Arial" w:hAnsi="Arial" w:cs="Arial"/>
          <w:color w:val="000000" w:themeColor="text1"/>
        </w:rPr>
      </w:pPr>
    </w:p>
    <w:p w14:paraId="77A0B07E" w14:textId="77777777" w:rsidR="0075519E" w:rsidRPr="00A61F12" w:rsidRDefault="0075519E" w:rsidP="003620FC">
      <w:pPr>
        <w:spacing w:line="360" w:lineRule="auto"/>
        <w:rPr>
          <w:rFonts w:ascii="Arial" w:hAnsi="Arial" w:cs="Arial"/>
          <w:color w:val="000000" w:themeColor="text1"/>
          <w:lang w:val="en-GB"/>
        </w:rPr>
      </w:pPr>
    </w:p>
    <w:p w14:paraId="6D43E011" w14:textId="77777777" w:rsidR="0075519E" w:rsidRPr="003620FC" w:rsidRDefault="0075519E" w:rsidP="003620FC">
      <w:pPr>
        <w:spacing w:line="360" w:lineRule="auto"/>
        <w:rPr>
          <w:rFonts w:ascii="Arial" w:hAnsi="Arial" w:cs="Arial"/>
          <w:color w:val="000000" w:themeColor="text1"/>
        </w:rPr>
      </w:pPr>
    </w:p>
    <w:p w14:paraId="2F8A1F05" w14:textId="168B379D" w:rsidR="00E75805" w:rsidRPr="003620FC" w:rsidRDefault="00E75805" w:rsidP="003620FC">
      <w:pPr>
        <w:pStyle w:val="Heading1"/>
        <w:spacing w:line="360" w:lineRule="auto"/>
        <w:rPr>
          <w:rFonts w:ascii="Arial" w:hAnsi="Arial" w:cs="Arial"/>
          <w:color w:val="000000" w:themeColor="text1"/>
          <w:sz w:val="32"/>
          <w:szCs w:val="32"/>
        </w:rPr>
      </w:pPr>
      <w:bookmarkStart w:id="0" w:name="_Toc227354536"/>
      <w:r w:rsidRPr="003620FC">
        <w:rPr>
          <w:rFonts w:ascii="Arial" w:hAnsi="Arial" w:cs="Arial"/>
          <w:color w:val="000000" w:themeColor="text1"/>
          <w:sz w:val="32"/>
          <w:szCs w:val="32"/>
        </w:rPr>
        <w:lastRenderedPageBreak/>
        <w:t>Executive Summary</w:t>
      </w:r>
      <w:bookmarkEnd w:id="0"/>
      <w:r w:rsidRPr="003620FC">
        <w:rPr>
          <w:rFonts w:ascii="Arial" w:hAnsi="Arial" w:cs="Arial"/>
          <w:color w:val="000000" w:themeColor="text1"/>
          <w:sz w:val="32"/>
          <w:szCs w:val="32"/>
        </w:rPr>
        <w:t xml:space="preserve"> </w:t>
      </w:r>
    </w:p>
    <w:p w14:paraId="27828D8A" w14:textId="77777777" w:rsidR="004D2ED3" w:rsidRPr="004D2ED3" w:rsidRDefault="004D2ED3" w:rsidP="004D2ED3">
      <w:pPr>
        <w:spacing w:after="0" w:line="360" w:lineRule="auto"/>
        <w:jc w:val="both"/>
        <w:rPr>
          <w:rFonts w:ascii="Arial" w:eastAsia="Times New Roman" w:hAnsi="Arial" w:cs="Arial"/>
          <w:color w:val="000000"/>
          <w:kern w:val="0"/>
          <w14:ligatures w14:val="none"/>
        </w:rPr>
      </w:pPr>
      <w:r w:rsidRPr="004D2ED3">
        <w:rPr>
          <w:rFonts w:ascii="Arial" w:eastAsia="Times New Roman" w:hAnsi="Arial" w:cs="Arial"/>
          <w:color w:val="000000"/>
          <w:kern w:val="0"/>
          <w14:ligatures w14:val="none"/>
        </w:rPr>
        <w:t>AI and data analytics are transforming HRM, especially in labour-intensive retail distribution.</w:t>
      </w:r>
    </w:p>
    <w:p w14:paraId="567C9F41" w14:textId="77777777" w:rsidR="004D2ED3" w:rsidRPr="004D2ED3" w:rsidRDefault="004D2ED3" w:rsidP="004D2ED3">
      <w:pPr>
        <w:spacing w:after="0" w:line="360" w:lineRule="auto"/>
        <w:jc w:val="both"/>
        <w:rPr>
          <w:rFonts w:ascii="Arial" w:eastAsia="Times New Roman" w:hAnsi="Arial" w:cs="Arial"/>
          <w:color w:val="000000"/>
          <w:kern w:val="0"/>
          <w14:ligatures w14:val="none"/>
        </w:rPr>
      </w:pPr>
      <w:r w:rsidRPr="004D2ED3">
        <w:rPr>
          <w:rFonts w:ascii="Arial" w:eastAsia="Times New Roman" w:hAnsi="Arial" w:cs="Arial"/>
          <w:color w:val="000000"/>
          <w:kern w:val="0"/>
          <w14:ligatures w14:val="none"/>
        </w:rPr>
        <w:t>This report examines the value of investing in HR technology for a UK retail distribution company with approximately 800–900 employees, with a focus on improving employee engagement and reducing staff turnover.</w:t>
      </w:r>
    </w:p>
    <w:p w14:paraId="05F65C54" w14:textId="77777777" w:rsidR="004D2ED3" w:rsidRPr="004D2ED3" w:rsidRDefault="004D2ED3" w:rsidP="004D2ED3">
      <w:pPr>
        <w:spacing w:after="0" w:line="360" w:lineRule="auto"/>
        <w:jc w:val="both"/>
        <w:rPr>
          <w:rFonts w:ascii="Arial" w:eastAsia="Times New Roman" w:hAnsi="Arial" w:cs="Arial"/>
          <w:color w:val="000000"/>
          <w:kern w:val="0"/>
          <w14:ligatures w14:val="none"/>
        </w:rPr>
      </w:pPr>
      <w:r w:rsidRPr="004D2ED3">
        <w:rPr>
          <w:rFonts w:ascii="Arial" w:eastAsia="Times New Roman" w:hAnsi="Arial" w:cs="Arial"/>
          <w:color w:val="000000"/>
          <w:kern w:val="0"/>
          <w14:ligatures w14:val="none"/>
        </w:rPr>
        <w:t>The analysis finds that AI-driven engagement tools allow for real-time feedback, fostering transparent communication between employees and management. Predictive analytics can identify potential turnover risks early, enabling HR teams to implement targeted retention strategies. These technologies contribute to higher employee satisfaction and improved organisational stability by enabling timely, data-based decisions.</w:t>
      </w:r>
    </w:p>
    <w:p w14:paraId="5740C294" w14:textId="77777777" w:rsidR="004D2ED3" w:rsidRPr="004D2ED3" w:rsidRDefault="004D2ED3" w:rsidP="004D2ED3">
      <w:pPr>
        <w:spacing w:after="0" w:line="360" w:lineRule="auto"/>
        <w:jc w:val="both"/>
        <w:rPr>
          <w:rFonts w:ascii="Arial" w:eastAsia="Times New Roman" w:hAnsi="Arial" w:cs="Arial"/>
          <w:color w:val="000000"/>
          <w:kern w:val="0"/>
          <w14:ligatures w14:val="none"/>
        </w:rPr>
      </w:pPr>
      <w:r w:rsidRPr="004D2ED3">
        <w:rPr>
          <w:rFonts w:ascii="Arial" w:eastAsia="Times New Roman" w:hAnsi="Arial" w:cs="Arial"/>
          <w:color w:val="000000"/>
          <w:kern w:val="0"/>
          <w14:ligatures w14:val="none"/>
        </w:rPr>
        <w:t>However, their adoption presents challenges, including data privacy concerns, potential bias, high implementation costs, and the risk of over-reliance on data-driven decision-making.</w:t>
      </w:r>
    </w:p>
    <w:p w14:paraId="42785657" w14:textId="3BD64D7B" w:rsidR="00F50F98" w:rsidRPr="004D2ED3" w:rsidRDefault="004D2ED3" w:rsidP="004D2ED3">
      <w:pPr>
        <w:spacing w:after="0" w:line="360" w:lineRule="auto"/>
        <w:jc w:val="both"/>
        <w:rPr>
          <w:rFonts w:ascii="Arial" w:eastAsia="Times New Roman" w:hAnsi="Arial" w:cs="Arial"/>
          <w:color w:val="000000"/>
          <w:kern w:val="0"/>
          <w14:ligatures w14:val="none"/>
        </w:rPr>
      </w:pPr>
      <w:r w:rsidRPr="004D2ED3">
        <w:rPr>
          <w:rFonts w:ascii="Arial" w:eastAsia="Times New Roman" w:hAnsi="Arial" w:cs="Arial"/>
          <w:color w:val="000000"/>
          <w:kern w:val="0"/>
          <w14:ligatures w14:val="none"/>
        </w:rPr>
        <w:t>The report strongly recommends implementing Culture Amp for employee engagement and Workday HCM for retention management. These platforms are essential for achieving a strategic, data-driven HRM approach and ensuring alignment with organisational objectives.</w:t>
      </w:r>
    </w:p>
    <w:p w14:paraId="1B45DFDB" w14:textId="77777777" w:rsidR="004D2ED3" w:rsidRDefault="004D2ED3" w:rsidP="00F50F98">
      <w:pPr>
        <w:pStyle w:val="Heading1"/>
        <w:spacing w:line="360" w:lineRule="auto"/>
        <w:rPr>
          <w:rFonts w:ascii="Arial" w:hAnsi="Arial" w:cs="Arial"/>
          <w:color w:val="000000" w:themeColor="text1"/>
          <w:sz w:val="32"/>
          <w:szCs w:val="32"/>
        </w:rPr>
        <w:sectPr w:rsidR="004D2ED3" w:rsidSect="00731E12">
          <w:headerReference w:type="default" r:id="rId8"/>
          <w:pgSz w:w="12240" w:h="15840"/>
          <w:pgMar w:top="1701" w:right="1440" w:bottom="1701" w:left="1440" w:header="720" w:footer="720" w:gutter="0"/>
          <w:cols w:space="720"/>
          <w:noEndnote/>
        </w:sectPr>
      </w:pPr>
    </w:p>
    <w:p w14:paraId="51F9F74A" w14:textId="26465B6C" w:rsidR="00F50F98" w:rsidRPr="00F50F98" w:rsidRDefault="00F50F98" w:rsidP="00F50F98">
      <w:pPr>
        <w:pStyle w:val="Heading1"/>
        <w:spacing w:line="360" w:lineRule="auto"/>
        <w:rPr>
          <w:rFonts w:ascii="Arial" w:hAnsi="Arial" w:cs="Arial"/>
          <w:color w:val="000000" w:themeColor="text1"/>
          <w:sz w:val="32"/>
          <w:szCs w:val="32"/>
        </w:rPr>
      </w:pPr>
      <w:bookmarkStart w:id="1" w:name="_Toc227354537"/>
      <w:r>
        <w:rPr>
          <w:rFonts w:ascii="Arial" w:hAnsi="Arial" w:cs="Arial"/>
          <w:color w:val="000000" w:themeColor="text1"/>
          <w:sz w:val="32"/>
          <w:szCs w:val="32"/>
        </w:rPr>
        <w:lastRenderedPageBreak/>
        <w:t>I</w:t>
      </w:r>
      <w:r w:rsidRPr="00F50F98">
        <w:rPr>
          <w:rFonts w:ascii="Arial" w:hAnsi="Arial" w:cs="Arial"/>
          <w:color w:val="000000" w:themeColor="text1"/>
          <w:sz w:val="32"/>
          <w:szCs w:val="32"/>
        </w:rPr>
        <w:t>ntroduction</w:t>
      </w:r>
      <w:bookmarkEnd w:id="1"/>
    </w:p>
    <w:p w14:paraId="08DEA96F" w14:textId="77777777" w:rsidR="00732FF9" w:rsidRPr="00732FF9" w:rsidRDefault="00732FF9" w:rsidP="00732FF9">
      <w:pPr>
        <w:spacing w:after="0" w:line="360" w:lineRule="auto"/>
        <w:jc w:val="both"/>
        <w:rPr>
          <w:rFonts w:ascii="Arial" w:eastAsiaTheme="majorEastAsia" w:hAnsi="Arial" w:cs="Arial"/>
          <w:color w:val="000000" w:themeColor="text1"/>
        </w:rPr>
      </w:pPr>
      <w:r w:rsidRPr="00732FF9">
        <w:rPr>
          <w:rFonts w:ascii="Arial" w:eastAsiaTheme="majorEastAsia" w:hAnsi="Arial" w:cs="Arial"/>
          <w:color w:val="000000" w:themeColor="text1"/>
        </w:rPr>
        <w:t>The increasing integration of digital technologies into Human Resource Management (HRM) shows a broad transformation in how organisations create and sustain competitive advantage. Armstrong [1] notes that HRM has changed from an administrative support role to a strategic partner with a direct influence on organisational performance and long-term capability. This evolution is especially important in labour-intensive sectors such as retail distribution, where workforce effectiveness is central to operational success.</w:t>
      </w:r>
    </w:p>
    <w:p w14:paraId="6116CC2E" w14:textId="77777777" w:rsidR="00732FF9" w:rsidRPr="00732FF9" w:rsidRDefault="00732FF9" w:rsidP="00732FF9">
      <w:pPr>
        <w:spacing w:after="0" w:line="360" w:lineRule="auto"/>
        <w:jc w:val="both"/>
        <w:rPr>
          <w:rFonts w:ascii="Arial" w:eastAsiaTheme="majorEastAsia" w:hAnsi="Arial" w:cs="Arial"/>
          <w:color w:val="000000" w:themeColor="text1"/>
        </w:rPr>
      </w:pPr>
      <w:r w:rsidRPr="00732FF9">
        <w:rPr>
          <w:rFonts w:ascii="Arial" w:eastAsiaTheme="majorEastAsia" w:hAnsi="Arial" w:cs="Arial"/>
          <w:color w:val="000000" w:themeColor="text1"/>
        </w:rPr>
        <w:t>The organisation in this report is a UK-based retail distribution centre with about 800–900 employees, supporting more than 250 stores. Such places are high in operational intensity, have physically demanding roles, and use shift-based working patterns. These factors often create persistent HR challenges, especially low employee engagement and high labour turnover [2][3]. Thus, effective HR management is more than a functional issue. It is a key strategic need.</w:t>
      </w:r>
    </w:p>
    <w:p w14:paraId="42A3FE24" w14:textId="77777777" w:rsidR="00732FF9" w:rsidRPr="00732FF9" w:rsidRDefault="00732FF9" w:rsidP="00732FF9">
      <w:pPr>
        <w:spacing w:after="0" w:line="360" w:lineRule="auto"/>
        <w:jc w:val="both"/>
        <w:rPr>
          <w:rFonts w:ascii="Arial" w:eastAsiaTheme="majorEastAsia" w:hAnsi="Arial" w:cs="Arial"/>
          <w:color w:val="000000" w:themeColor="text1"/>
        </w:rPr>
      </w:pPr>
      <w:r w:rsidRPr="0028288E">
        <w:rPr>
          <w:rFonts w:ascii="Arial" w:eastAsiaTheme="majorEastAsia" w:hAnsi="Arial" w:cs="Arial"/>
          <w:color w:val="000000" w:themeColor="text1"/>
        </w:rPr>
        <w:t>Employee engagement is widely recognised as a key driver of organisational performance.</w:t>
      </w:r>
      <w:r w:rsidRPr="00732FF9">
        <w:rPr>
          <w:rFonts w:ascii="Arial" w:eastAsiaTheme="majorEastAsia" w:hAnsi="Arial" w:cs="Arial"/>
          <w:color w:val="000000" w:themeColor="text1"/>
        </w:rPr>
        <w:t xml:space="preserve"> It affects productivity, absenteeism, and discretionary effort [4]. At the same time, staff retention remains a pressing issue, especially in warehouse and logistics operations where turnover rates are much higher than in other sectors [11]. The link between these two areas is clear. Disengagement often leads to voluntary employee turnover. Thus, tackling engagement and retention together is essential for workforce stability and operational efficiency.</w:t>
      </w:r>
    </w:p>
    <w:p w14:paraId="28598777" w14:textId="77777777" w:rsidR="00732FF9" w:rsidRPr="00732FF9" w:rsidRDefault="00732FF9" w:rsidP="00732FF9">
      <w:pPr>
        <w:spacing w:after="0" w:line="360" w:lineRule="auto"/>
        <w:jc w:val="both"/>
        <w:rPr>
          <w:rFonts w:ascii="Arial" w:eastAsiaTheme="majorEastAsia" w:hAnsi="Arial" w:cs="Arial"/>
          <w:color w:val="000000" w:themeColor="text1"/>
        </w:rPr>
      </w:pPr>
      <w:r w:rsidRPr="0028288E">
        <w:rPr>
          <w:rFonts w:ascii="Arial" w:eastAsiaTheme="majorEastAsia" w:hAnsi="Arial" w:cs="Arial"/>
          <w:color w:val="000000" w:themeColor="text1"/>
        </w:rPr>
        <w:t>Organisations are turning more to advanced HR technologies, such as artificial intelligence, machine learning, and predictive analytics, to tackle these challenges. These tools allow for more sophisticated workforce analysis.</w:t>
      </w:r>
      <w:r w:rsidRPr="00732FF9">
        <w:rPr>
          <w:rFonts w:ascii="Arial" w:eastAsiaTheme="majorEastAsia" w:hAnsi="Arial" w:cs="Arial"/>
          <w:color w:val="000000" w:themeColor="text1"/>
        </w:rPr>
        <w:t xml:space="preserve"> This lets organisations shift from reactive to proactive, data-driven HR strategies. Recent professional guidance also suggests that artificial intelligence is changing how organisations redesign work and support performance. The CIPD (2025) highlights that AI receives positive feedback when it removes </w:t>
      </w:r>
      <w:r w:rsidRPr="0028288E">
        <w:rPr>
          <w:rFonts w:ascii="Arial" w:eastAsiaTheme="majorEastAsia" w:hAnsi="Arial" w:cs="Arial"/>
          <w:color w:val="000000" w:themeColor="text1"/>
        </w:rPr>
        <w:t>repetitive tasks and allows employees to focus on higher-value activities,</w:t>
      </w:r>
      <w:r w:rsidRPr="00732FF9">
        <w:rPr>
          <w:rFonts w:ascii="Arial" w:eastAsiaTheme="majorEastAsia" w:hAnsi="Arial" w:cs="Arial"/>
          <w:color w:val="000000" w:themeColor="text1"/>
        </w:rPr>
        <w:t xml:space="preserve"> especially in warehouse settings [19]. However, Henderson [2] and Parry and Strohmeier </w:t>
      </w:r>
      <w:r w:rsidRPr="00732FF9">
        <w:rPr>
          <w:rFonts w:ascii="Arial" w:eastAsiaTheme="majorEastAsia" w:hAnsi="Arial" w:cs="Arial"/>
          <w:color w:val="000000" w:themeColor="text1"/>
        </w:rPr>
        <w:lastRenderedPageBreak/>
        <w:t>[17] note that adopting these tools also brings questions about implementation, organisational readiness, and ethical governance. </w:t>
      </w:r>
    </w:p>
    <w:p w14:paraId="0DAEB8A6" w14:textId="77777777" w:rsidR="00732FF9" w:rsidRPr="00732FF9" w:rsidRDefault="00732FF9" w:rsidP="00732FF9">
      <w:pPr>
        <w:spacing w:after="0" w:line="360" w:lineRule="auto"/>
        <w:jc w:val="both"/>
        <w:rPr>
          <w:rFonts w:ascii="Arial" w:eastAsiaTheme="majorEastAsia" w:hAnsi="Arial" w:cs="Arial"/>
          <w:color w:val="000000" w:themeColor="text1"/>
        </w:rPr>
      </w:pPr>
      <w:r w:rsidRPr="00732FF9">
        <w:rPr>
          <w:rFonts w:ascii="Arial" w:eastAsiaTheme="majorEastAsia" w:hAnsi="Arial" w:cs="Arial"/>
          <w:color w:val="000000" w:themeColor="text1"/>
        </w:rPr>
        <w:t>This report critically reviews investment opportunities in HR technology for the organisation described. It focuses on employee engagement and retention as top priorities. The report analyses various technological solutions for their ability to deliver value, provide competitive advantage, support sustainable business, and address specific challenges. It concludes with evidence-based recommendations that consider both the potential and risks of these technologies.</w:t>
      </w:r>
    </w:p>
    <w:p w14:paraId="3E7C285F" w14:textId="77777777" w:rsidR="0064394D" w:rsidRDefault="0064394D" w:rsidP="003620FC">
      <w:pPr>
        <w:pStyle w:val="Heading1"/>
        <w:spacing w:line="360" w:lineRule="auto"/>
        <w:rPr>
          <w:rFonts w:ascii="Arial" w:hAnsi="Arial" w:cs="Arial"/>
          <w:color w:val="000000" w:themeColor="text1"/>
          <w:sz w:val="32"/>
          <w:szCs w:val="32"/>
        </w:rPr>
        <w:sectPr w:rsidR="0064394D" w:rsidSect="00731E12">
          <w:pgSz w:w="12240" w:h="15840"/>
          <w:pgMar w:top="1701" w:right="1440" w:bottom="1701" w:left="1440" w:header="720" w:footer="720" w:gutter="0"/>
          <w:cols w:space="720"/>
          <w:noEndnote/>
        </w:sectPr>
      </w:pPr>
    </w:p>
    <w:p w14:paraId="0BCA7B9D" w14:textId="56A41162" w:rsidR="004834AF" w:rsidRPr="003620FC" w:rsidRDefault="00010625" w:rsidP="003620FC">
      <w:pPr>
        <w:pStyle w:val="Heading1"/>
        <w:spacing w:line="360" w:lineRule="auto"/>
        <w:rPr>
          <w:rFonts w:ascii="Arial" w:hAnsi="Arial" w:cs="Arial"/>
          <w:color w:val="000000" w:themeColor="text1"/>
          <w:sz w:val="32"/>
          <w:szCs w:val="32"/>
        </w:rPr>
      </w:pPr>
      <w:bookmarkStart w:id="2" w:name="_Toc227354538"/>
      <w:r w:rsidRPr="003620FC">
        <w:rPr>
          <w:rFonts w:ascii="Arial" w:hAnsi="Arial" w:cs="Arial"/>
          <w:color w:val="000000" w:themeColor="text1"/>
          <w:sz w:val="32"/>
          <w:szCs w:val="32"/>
        </w:rPr>
        <w:lastRenderedPageBreak/>
        <w:t>Employee Engagement: Critical Analysis of Technology Solutions</w:t>
      </w:r>
      <w:bookmarkEnd w:id="2"/>
    </w:p>
    <w:p w14:paraId="35C43074" w14:textId="11A38313" w:rsidR="004834AF" w:rsidRPr="003620FC" w:rsidRDefault="00010625" w:rsidP="003620FC">
      <w:pPr>
        <w:pStyle w:val="Heading2"/>
        <w:spacing w:line="360" w:lineRule="auto"/>
        <w:rPr>
          <w:rFonts w:ascii="Arial" w:hAnsi="Arial" w:cs="Arial"/>
          <w:b/>
          <w:bCs/>
          <w:color w:val="000000" w:themeColor="text1"/>
          <w:sz w:val="24"/>
          <w:szCs w:val="24"/>
        </w:rPr>
      </w:pPr>
      <w:bookmarkStart w:id="3" w:name="_Toc227354539"/>
      <w:r w:rsidRPr="003620FC">
        <w:rPr>
          <w:rFonts w:ascii="Arial" w:hAnsi="Arial" w:cs="Arial"/>
          <w:b/>
          <w:bCs/>
          <w:color w:val="000000" w:themeColor="text1"/>
          <w:sz w:val="24"/>
          <w:szCs w:val="24"/>
        </w:rPr>
        <w:t>Nature of Engagement Challenges in Warehouse Environments</w:t>
      </w:r>
      <w:bookmarkEnd w:id="3"/>
    </w:p>
    <w:p w14:paraId="0B7E25F2" w14:textId="496CC301"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Employee engagement in warehouses is often constrained by structural and operational factors. Leatherbarrow and Fletcher [3] point out that engagement depends on both culture and job design. Repetitive tasks and limited autonomy in distribution centres can reduce intrinsic motivation and lead to disengagement.</w:t>
      </w:r>
    </w:p>
    <w:p w14:paraId="01826E9D"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This challenge highlights the need to update warehouse engagement practices. Traditional strategies, such as annual surveys, are now seen as inadequate. Henderson [2] argues these methods miss dynamic changes in employee sentiment, especially in fast-paced settings. As a result, there is a shift toward continuous listening technologies.</w:t>
      </w:r>
    </w:p>
    <w:p w14:paraId="10E7C0C9" w14:textId="697836FC" w:rsidR="00010625" w:rsidRPr="003620FC" w:rsidRDefault="00010625" w:rsidP="003620FC">
      <w:pPr>
        <w:pStyle w:val="Heading2"/>
        <w:spacing w:line="360" w:lineRule="auto"/>
        <w:rPr>
          <w:rFonts w:ascii="Arial" w:hAnsi="Arial" w:cs="Arial"/>
          <w:b/>
          <w:bCs/>
          <w:color w:val="000000" w:themeColor="text1"/>
          <w:sz w:val="24"/>
          <w:szCs w:val="24"/>
        </w:rPr>
      </w:pPr>
      <w:bookmarkStart w:id="4" w:name="_Toc227354540"/>
      <w:r w:rsidRPr="003620FC">
        <w:rPr>
          <w:rFonts w:ascii="Arial" w:hAnsi="Arial" w:cs="Arial"/>
          <w:b/>
          <w:bCs/>
          <w:color w:val="000000" w:themeColor="text1"/>
          <w:sz w:val="24"/>
          <w:szCs w:val="24"/>
        </w:rPr>
        <w:t>Evaluation of Engagement Technologies</w:t>
      </w:r>
      <w:bookmarkEnd w:id="4"/>
    </w:p>
    <w:p w14:paraId="0E05C189" w14:textId="3C9C0B5D" w:rsidR="00732FF9" w:rsidRPr="00732FF9" w:rsidRDefault="00010625" w:rsidP="00732FF9">
      <w:pPr>
        <w:pStyle w:val="Heading3"/>
        <w:numPr>
          <w:ilvl w:val="0"/>
          <w:numId w:val="37"/>
        </w:numPr>
        <w:spacing w:line="360" w:lineRule="auto"/>
        <w:rPr>
          <w:rFonts w:ascii="Arial" w:hAnsi="Arial" w:cs="Arial"/>
          <w:color w:val="000000" w:themeColor="text1"/>
          <w:sz w:val="24"/>
          <w:szCs w:val="24"/>
        </w:rPr>
      </w:pPr>
      <w:bookmarkStart w:id="5" w:name="_Toc227354541"/>
      <w:r w:rsidRPr="0064394D">
        <w:rPr>
          <w:rStyle w:val="SubtleEmphasis"/>
          <w:rFonts w:ascii="Arial" w:hAnsi="Arial" w:cs="Arial"/>
          <w:i w:val="0"/>
          <w:iCs w:val="0"/>
          <w:color w:val="000000" w:themeColor="text1"/>
          <w:sz w:val="24"/>
          <w:szCs w:val="24"/>
        </w:rPr>
        <w:t>Culture Amp</w:t>
      </w:r>
      <w:bookmarkEnd w:id="5"/>
    </w:p>
    <w:p w14:paraId="09D8AED4"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Culture Amp is an AI-driven engagement platform that enables continuous employee feedback through pulse surveys and analytics. The central benefits of Culture Amp are real-time insight into employee sentiment and the ability to quickly spot and address engagement issues. This leads to more informed decisions by HR and managers, strengthening employee morale and productivity.</w:t>
      </w:r>
    </w:p>
    <w:p w14:paraId="58B79E9B"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The platform shifts organisations from reacting to problems after the fact to proactively identifying and addressing engagement trends. Key benefits include prompt, targeted actions to improve staff satisfaction and productivity, which supports Armstrong’s [1] assertion that evidence-based HRM drives better outcomes.</w:t>
      </w:r>
    </w:p>
    <w:p w14:paraId="174C84DD"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In terms of competitive advantage, Culture Amp helps develop a high-performance culture. Engaged employees are more likely to demonstrate discretionary effort, thereby significantly enhancing operational efficiency in warehouse environments [6].</w:t>
      </w:r>
    </w:p>
    <w:p w14:paraId="6D91E2FB"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However, the platform has limits. Survey fatigue may lower response rates over time. Also, self-reported data may introduce bias and limit the accuracy of insights.</w:t>
      </w:r>
    </w:p>
    <w:p w14:paraId="10BDA914"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lastRenderedPageBreak/>
        <w:t>From a sustainability perspective, Culture Amp helps employees voice their concerns. This fits with modern HR practices that support ethical and responsible approaches [7].</w:t>
      </w:r>
    </w:p>
    <w:p w14:paraId="2972D1F4" w14:textId="277CA6F3"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This shows a shift in HRM towards data-driven decision-making. But not all scholars fully support this. Armstrong [1] supports evidence-based HR, while Guest [10] warns that too much focus on numbers can oversimplify employee opinions and overlook key context.</w:t>
      </w:r>
    </w:p>
    <w:p w14:paraId="6560BF9A" w14:textId="652BCFB8" w:rsidR="00732FF9" w:rsidRPr="00732FF9" w:rsidRDefault="00010625" w:rsidP="00732FF9">
      <w:pPr>
        <w:pStyle w:val="Heading3"/>
        <w:numPr>
          <w:ilvl w:val="0"/>
          <w:numId w:val="37"/>
        </w:numPr>
        <w:spacing w:line="360" w:lineRule="auto"/>
        <w:rPr>
          <w:rFonts w:ascii="Arial" w:hAnsi="Arial" w:cs="Arial"/>
          <w:color w:val="000000" w:themeColor="text1"/>
          <w:sz w:val="24"/>
          <w:szCs w:val="24"/>
        </w:rPr>
      </w:pPr>
      <w:bookmarkStart w:id="6" w:name="_Toc227354542"/>
      <w:r w:rsidRPr="0064394D">
        <w:rPr>
          <w:rStyle w:val="SubtleEmphasis"/>
          <w:rFonts w:ascii="Arial" w:hAnsi="Arial" w:cs="Arial"/>
          <w:i w:val="0"/>
          <w:iCs w:val="0"/>
          <w:color w:val="000000" w:themeColor="text1"/>
          <w:sz w:val="24"/>
          <w:szCs w:val="24"/>
        </w:rPr>
        <w:t>Workday Peakon Employee Voice</w:t>
      </w:r>
      <w:bookmarkEnd w:id="6"/>
    </w:p>
    <w:p w14:paraId="1D1C5000" w14:textId="77777777" w:rsidR="00732FF9" w:rsidRPr="00732FF9" w:rsidRDefault="00732FF9" w:rsidP="00732FF9">
      <w:pPr>
        <w:spacing w:line="360" w:lineRule="auto"/>
        <w:jc w:val="both"/>
        <w:rPr>
          <w:rFonts w:ascii="Arial" w:hAnsi="Arial" w:cs="Arial"/>
          <w:color w:val="000000"/>
        </w:rPr>
      </w:pPr>
      <w:r w:rsidRPr="00732FF9">
        <w:rPr>
          <w:rFonts w:ascii="Arial" w:hAnsi="Arial" w:cs="Arial"/>
          <w:color w:val="000000"/>
        </w:rPr>
        <w:t>Peakon extends the functionality of traditional engagement tools by incorporating predictive analytics and benchmarking capabilities.</w:t>
      </w:r>
    </w:p>
    <w:p w14:paraId="6235BEE7" w14:textId="77777777" w:rsidR="00732FF9" w:rsidRPr="00732FF9" w:rsidRDefault="00732FF9" w:rsidP="00732FF9">
      <w:pPr>
        <w:spacing w:line="360" w:lineRule="auto"/>
        <w:jc w:val="both"/>
        <w:rPr>
          <w:rFonts w:ascii="Arial" w:hAnsi="Arial" w:cs="Arial"/>
          <w:color w:val="000000"/>
        </w:rPr>
      </w:pPr>
      <w:r w:rsidRPr="00732FF9">
        <w:rPr>
          <w:rFonts w:ascii="Arial" w:hAnsi="Arial" w:cs="Arial"/>
          <w:color w:val="000000"/>
        </w:rPr>
        <w:t>Peakon’s primary benefit is linking engagement data with productivity and operational metrics, empowering data-driven HR decisions [8]. This capability helps managers directly address factors that influence performance, underlining the value of HR analytics [18]. Peakon delivers real-time feedback, enabling quick responses to challenges such as morale dips or staffing shortages. The main benefit is greater agility in operational decision-making, resulting in more stable, productive warehouse teams.s.</w:t>
      </w:r>
    </w:p>
    <w:p w14:paraId="3C17D90E" w14:textId="0AE8FE9E" w:rsidR="00732FF9" w:rsidRPr="00732FF9" w:rsidRDefault="00732FF9" w:rsidP="00732FF9">
      <w:pPr>
        <w:spacing w:line="360" w:lineRule="auto"/>
        <w:jc w:val="both"/>
        <w:rPr>
          <w:rFonts w:ascii="Arial" w:hAnsi="Arial" w:cs="Arial"/>
          <w:color w:val="000000"/>
        </w:rPr>
      </w:pPr>
      <w:r w:rsidRPr="00732FF9">
        <w:rPr>
          <w:rFonts w:ascii="Arial" w:hAnsi="Arial" w:cs="Arial"/>
          <w:color w:val="000000"/>
        </w:rPr>
        <w:t>Still, such systems need major organisational change. Parry and Strohmeier [17] state that HR tech works best when users accept new tools and the organisation is ready. Without good training and leadership support, the tech’s benefits may not be fully achieved.</w:t>
      </w:r>
    </w:p>
    <w:p w14:paraId="60113633" w14:textId="77777777" w:rsidR="00732FF9" w:rsidRDefault="00010625" w:rsidP="003620FC">
      <w:pPr>
        <w:pStyle w:val="Heading3"/>
        <w:numPr>
          <w:ilvl w:val="0"/>
          <w:numId w:val="37"/>
        </w:numPr>
        <w:spacing w:line="360" w:lineRule="auto"/>
        <w:rPr>
          <w:rStyle w:val="SubtleEmphasis"/>
          <w:rFonts w:ascii="Arial" w:hAnsi="Arial" w:cs="Arial"/>
          <w:i w:val="0"/>
          <w:iCs w:val="0"/>
          <w:color w:val="000000" w:themeColor="text1"/>
          <w:sz w:val="24"/>
          <w:szCs w:val="24"/>
        </w:rPr>
      </w:pPr>
      <w:bookmarkStart w:id="7" w:name="_Toc227354543"/>
      <w:r w:rsidRPr="0064394D">
        <w:rPr>
          <w:rStyle w:val="SubtleEmphasis"/>
          <w:rFonts w:ascii="Arial" w:hAnsi="Arial" w:cs="Arial"/>
          <w:i w:val="0"/>
          <w:iCs w:val="0"/>
          <w:color w:val="000000" w:themeColor="text1"/>
          <w:sz w:val="24"/>
          <w:szCs w:val="24"/>
        </w:rPr>
        <w:t>Critical Synthesis</w:t>
      </w:r>
      <w:bookmarkEnd w:id="7"/>
    </w:p>
    <w:p w14:paraId="4C83F2F8"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 xml:space="preserve">While both platforms offer substantial benefits, their effectiveness depends on contextual factors. In environments where digital access is limited, such as warehouse floors, engagement technologies may face practical constraints. This highlights the importance of aligning technological solutions with operational realities. Moreover, the adoption of these systems carries significant ethical considerations. For instance, there is a risk that reliance on digital platforms for engagement may marginalise workers who lack technological access or familiarity, potentially exacerbating existing inequalities within the workforce. There are also concerns regarding transparency, informed consent, and the extent to which employees are aware of how their feedback data will be used. Recent </w:t>
      </w:r>
      <w:r w:rsidRPr="00732FF9">
        <w:rPr>
          <w:rFonts w:ascii="Arial" w:eastAsia="Times New Roman" w:hAnsi="Arial" w:cs="Arial"/>
          <w:color w:val="000000"/>
          <w:kern w:val="0"/>
          <w14:ligatures w14:val="none"/>
        </w:rPr>
        <w:lastRenderedPageBreak/>
        <w:t>CIPD guidance reinforces that AI adoption in people management should remain human-centred, ethical, and sustainable, rather than being driven solely by efficiency objectives [20]. This means that engagement technologies should be designed to empower managerial judgement and the authentic expression of employee voice, ensuring that technological advancements augment rather than displace the human and ethical dimensions of people management.</w:t>
      </w:r>
    </w:p>
    <w:p w14:paraId="413C74F1" w14:textId="77777777" w:rsidR="00732FF9" w:rsidRDefault="00732FF9" w:rsidP="00732FF9">
      <w:pPr>
        <w:pStyle w:val="Heading3"/>
        <w:spacing w:line="360" w:lineRule="auto"/>
        <w:rPr>
          <w:rStyle w:val="SubtleEmphasis"/>
          <w:rFonts w:ascii="Arial" w:hAnsi="Arial" w:cs="Arial"/>
          <w:i w:val="0"/>
          <w:iCs w:val="0"/>
          <w:color w:val="000000" w:themeColor="text1"/>
          <w:sz w:val="24"/>
          <w:szCs w:val="24"/>
        </w:rPr>
      </w:pPr>
    </w:p>
    <w:p w14:paraId="0422E6E3" w14:textId="1420968E" w:rsidR="004834AF" w:rsidRPr="00732FF9" w:rsidRDefault="00010625" w:rsidP="00732FF9">
      <w:pPr>
        <w:pStyle w:val="Heading3"/>
        <w:spacing w:line="360" w:lineRule="auto"/>
        <w:rPr>
          <w:rFonts w:ascii="Arial" w:hAnsi="Arial" w:cs="Arial"/>
          <w:color w:val="000000" w:themeColor="text1"/>
          <w:sz w:val="24"/>
          <w:szCs w:val="24"/>
        </w:rPr>
      </w:pPr>
      <w:bookmarkStart w:id="8" w:name="_Toc227354544"/>
      <w:r w:rsidRPr="00732FF9">
        <w:rPr>
          <w:rFonts w:ascii="Arial" w:hAnsi="Arial" w:cs="Arial"/>
          <w:color w:val="000000" w:themeColor="text1"/>
          <w:sz w:val="32"/>
          <w:szCs w:val="32"/>
        </w:rPr>
        <w:t>Employee Retention: Critical Analysis of Technology Solutions</w:t>
      </w:r>
      <w:bookmarkEnd w:id="8"/>
    </w:p>
    <w:p w14:paraId="30CF87B7" w14:textId="3F313F09" w:rsidR="00AB1606" w:rsidRPr="003620FC" w:rsidRDefault="00010625" w:rsidP="003620FC">
      <w:pPr>
        <w:pStyle w:val="Heading2"/>
        <w:spacing w:line="360" w:lineRule="auto"/>
        <w:rPr>
          <w:rFonts w:ascii="Arial" w:hAnsi="Arial" w:cs="Arial"/>
          <w:b/>
          <w:bCs/>
          <w:color w:val="000000" w:themeColor="text1"/>
          <w:sz w:val="24"/>
          <w:szCs w:val="24"/>
        </w:rPr>
      </w:pPr>
      <w:bookmarkStart w:id="9" w:name="_Toc227354545"/>
      <w:r w:rsidRPr="003620FC">
        <w:rPr>
          <w:rFonts w:ascii="Arial" w:hAnsi="Arial" w:cs="Arial"/>
          <w:b/>
          <w:bCs/>
          <w:color w:val="000000" w:themeColor="text1"/>
          <w:sz w:val="24"/>
          <w:szCs w:val="24"/>
        </w:rPr>
        <w:t>Nature of Retention Challenges</w:t>
      </w:r>
      <w:bookmarkEnd w:id="9"/>
    </w:p>
    <w:p w14:paraId="36FA5971"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Employee retention remains a challenge in retail distribution, where turnover rates are much higher than in other industries [11]. Common reasons for this include job dissatisfaction, few opportunities for career growth, and physically demanding work conditions [12].</w:t>
      </w:r>
    </w:p>
    <w:p w14:paraId="3D4622EA"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High turnover leads to higher recruitment costs, lower productivity, and a loss of organisational knowledge [4]. Because of this, retention is now a key priority. Recent studies show that retention should also be viewed in the context of labour market uncertainty and changing worker expectations. Deloitte’s 2025 Human Capital Trends research points to a growing tension between companies’ need for flexibility and workers’ desire for stability. This means retention strategies must find a balance between flexibility, trust, and job security [21].</w:t>
      </w:r>
    </w:p>
    <w:p w14:paraId="1F6E9A7E" w14:textId="77777777" w:rsidR="003620FC" w:rsidRPr="003620FC" w:rsidRDefault="003620FC" w:rsidP="003620FC">
      <w:pPr>
        <w:spacing w:line="360" w:lineRule="auto"/>
        <w:jc w:val="both"/>
        <w:rPr>
          <w:rFonts w:ascii="Arial" w:hAnsi="Arial" w:cs="Arial"/>
          <w:color w:val="000000" w:themeColor="text1"/>
        </w:rPr>
      </w:pPr>
    </w:p>
    <w:p w14:paraId="6D72AD63" w14:textId="62AE9179" w:rsidR="00010625" w:rsidRPr="003620FC" w:rsidRDefault="00010625" w:rsidP="003620FC">
      <w:pPr>
        <w:pStyle w:val="Heading2"/>
        <w:spacing w:line="360" w:lineRule="auto"/>
        <w:rPr>
          <w:rFonts w:ascii="Arial" w:hAnsi="Arial" w:cs="Arial"/>
          <w:b/>
          <w:bCs/>
          <w:color w:val="000000" w:themeColor="text1"/>
          <w:sz w:val="24"/>
          <w:szCs w:val="24"/>
        </w:rPr>
      </w:pPr>
      <w:bookmarkStart w:id="10" w:name="_Toc227354546"/>
      <w:r w:rsidRPr="003620FC">
        <w:rPr>
          <w:rFonts w:ascii="Arial" w:hAnsi="Arial" w:cs="Arial"/>
          <w:b/>
          <w:bCs/>
          <w:color w:val="000000" w:themeColor="text1"/>
          <w:sz w:val="24"/>
          <w:szCs w:val="24"/>
        </w:rPr>
        <w:t>Evaluation of Retention Technologies</w:t>
      </w:r>
      <w:bookmarkEnd w:id="10"/>
    </w:p>
    <w:p w14:paraId="103ECB7C" w14:textId="30F86EC5" w:rsidR="002B2A12" w:rsidRPr="0064394D" w:rsidRDefault="002B2A12" w:rsidP="0064394D">
      <w:pPr>
        <w:pStyle w:val="Heading3"/>
        <w:numPr>
          <w:ilvl w:val="0"/>
          <w:numId w:val="38"/>
        </w:numPr>
        <w:spacing w:line="360" w:lineRule="auto"/>
        <w:rPr>
          <w:rStyle w:val="SubtleEmphasis"/>
          <w:rFonts w:ascii="Arial" w:hAnsi="Arial" w:cs="Arial"/>
          <w:i w:val="0"/>
          <w:iCs w:val="0"/>
          <w:color w:val="000000" w:themeColor="text1"/>
          <w:sz w:val="24"/>
          <w:szCs w:val="24"/>
        </w:rPr>
      </w:pPr>
      <w:bookmarkStart w:id="11" w:name="_Toc227354547"/>
      <w:r w:rsidRPr="0064394D">
        <w:rPr>
          <w:rStyle w:val="SubtleEmphasis"/>
          <w:rFonts w:ascii="Arial" w:hAnsi="Arial" w:cs="Arial"/>
          <w:i w:val="0"/>
          <w:iCs w:val="0"/>
          <w:color w:val="000000" w:themeColor="text1"/>
          <w:sz w:val="24"/>
          <w:szCs w:val="24"/>
        </w:rPr>
        <w:t>Workday Human Capital Management (HCM)</w:t>
      </w:r>
      <w:bookmarkEnd w:id="11"/>
    </w:p>
    <w:p w14:paraId="40BE90CC"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Workday HCM uses predictive analytics to help organisations identify employees who may be at risk of leaving.</w:t>
      </w:r>
    </w:p>
    <w:p w14:paraId="69C5A7CA"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lastRenderedPageBreak/>
        <w:t>The main benefit of this technology is its ability to predict turnover. By analysing employee data such as absenteeism and performance, the system can identify risks and suggest interventions [13]. This marks a move toward more proactive HR management.</w:t>
      </w:r>
    </w:p>
    <w:p w14:paraId="5EC2EDBC"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Better retention helps keep operations stable and lowers costs. As Boudreau and Ramstad [14] point out, managing talent well gives organisations a competitive edge.</w:t>
      </w:r>
    </w:p>
    <w:p w14:paraId="24D6BE03" w14:textId="3E160FC0" w:rsidR="000D7DB7" w:rsidRPr="00732FF9" w:rsidRDefault="00732FF9" w:rsidP="00732FF9">
      <w:pPr>
        <w:spacing w:after="0" w:line="360" w:lineRule="auto"/>
        <w:jc w:val="both"/>
        <w:rPr>
          <w:rStyle w:val="SubtleEmphasis"/>
          <w:rFonts w:ascii="Arial" w:eastAsia="Times New Roman" w:hAnsi="Arial" w:cs="Arial"/>
          <w:i w:val="0"/>
          <w:iCs w:val="0"/>
          <w:color w:val="000000"/>
          <w:kern w:val="0"/>
          <w14:ligatures w14:val="none"/>
        </w:rPr>
      </w:pPr>
      <w:r w:rsidRPr="00732FF9">
        <w:rPr>
          <w:rFonts w:ascii="Arial" w:eastAsia="Times New Roman" w:hAnsi="Arial" w:cs="Arial"/>
          <w:color w:val="000000"/>
          <w:kern w:val="0"/>
          <w14:ligatures w14:val="none"/>
        </w:rPr>
        <w:t>However, using predictive analytics can raise ethical issues. Algorithms might unintentionally reinforce biases, leading to unfair results [17]. To address these risks, organisations should conduct regular audits of algorithmic decision-making processes and ensure transparency in how data is used. Implementing bias mitigation strategies, such as diverse data sets and human oversight, can help promote fairness. Additionally, employees might see these systems as intrusive, which could hurt trust. Communicating clearly about data use and involving employees in the implementation process can help alleviate privacy concerns and build greater confidence in the technology.</w:t>
      </w:r>
    </w:p>
    <w:p w14:paraId="1B87196C" w14:textId="1CD4A550" w:rsidR="002B2A12" w:rsidRPr="0064394D" w:rsidRDefault="002B2A12" w:rsidP="0064394D">
      <w:pPr>
        <w:pStyle w:val="Heading3"/>
        <w:numPr>
          <w:ilvl w:val="0"/>
          <w:numId w:val="38"/>
        </w:numPr>
        <w:spacing w:line="360" w:lineRule="auto"/>
        <w:rPr>
          <w:rStyle w:val="SubtleEmphasis"/>
          <w:rFonts w:ascii="Arial" w:hAnsi="Arial" w:cs="Arial"/>
          <w:i w:val="0"/>
          <w:iCs w:val="0"/>
          <w:color w:val="000000" w:themeColor="text1"/>
          <w:sz w:val="24"/>
          <w:szCs w:val="24"/>
        </w:rPr>
      </w:pPr>
      <w:bookmarkStart w:id="12" w:name="_Toc227354548"/>
      <w:r w:rsidRPr="0064394D">
        <w:rPr>
          <w:rStyle w:val="SubtleEmphasis"/>
          <w:rFonts w:ascii="Arial" w:hAnsi="Arial" w:cs="Arial"/>
          <w:i w:val="0"/>
          <w:iCs w:val="0"/>
          <w:color w:val="000000" w:themeColor="text1"/>
          <w:sz w:val="24"/>
          <w:szCs w:val="24"/>
        </w:rPr>
        <w:t>SAP SuccessFactors</w:t>
      </w:r>
      <w:bookmarkEnd w:id="12"/>
    </w:p>
    <w:p w14:paraId="66612F8F"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SAP SuccessFactors takes an integrated approach to talent management by combining performance, learning, and analytics.</w:t>
      </w:r>
    </w:p>
    <w:p w14:paraId="396A7311"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The main strength of this platform is its broad perspective. By bringing HR functions together, organisations can address the main drivers of turnover, such as limited development opportunities [15].</w:t>
      </w:r>
    </w:p>
    <w:p w14:paraId="43CD1F27"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The platform also helps with long-term workforce planning by aligning HR strategies with organisational goals [16]. This is especially important for large operations, such as distribution centres.</w:t>
      </w:r>
    </w:p>
    <w:p w14:paraId="26D443DC" w14:textId="4D4A7FCF" w:rsidR="000D7DB7"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However, the system presents significant implementation challenges. The high initial investment required for software licensing, integration, and ongoing maintenance, as well as the need for specialist technical expertise, can create barriers for organisations with limited financial and human resources. Additionally, effective adoption may require extensive staff training and change management initiatives to ensure user acceptance and system effectiveness.</w:t>
      </w:r>
    </w:p>
    <w:p w14:paraId="7A8C8003" w14:textId="54EA3722" w:rsidR="002B2A12" w:rsidRPr="0064394D" w:rsidRDefault="002B2A12" w:rsidP="0064394D">
      <w:pPr>
        <w:pStyle w:val="Heading3"/>
        <w:numPr>
          <w:ilvl w:val="0"/>
          <w:numId w:val="38"/>
        </w:numPr>
        <w:spacing w:line="360" w:lineRule="auto"/>
        <w:rPr>
          <w:rStyle w:val="SubtleEmphasis"/>
          <w:rFonts w:ascii="Arial" w:hAnsi="Arial" w:cs="Arial"/>
          <w:i w:val="0"/>
          <w:iCs w:val="0"/>
          <w:color w:val="000000" w:themeColor="text1"/>
          <w:sz w:val="24"/>
          <w:szCs w:val="24"/>
        </w:rPr>
      </w:pPr>
      <w:bookmarkStart w:id="13" w:name="_Toc227354549"/>
      <w:r w:rsidRPr="0064394D">
        <w:rPr>
          <w:rStyle w:val="SubtleEmphasis"/>
          <w:rFonts w:ascii="Arial" w:hAnsi="Arial" w:cs="Arial"/>
          <w:i w:val="0"/>
          <w:iCs w:val="0"/>
          <w:color w:val="000000" w:themeColor="text1"/>
          <w:sz w:val="24"/>
          <w:szCs w:val="24"/>
        </w:rPr>
        <w:lastRenderedPageBreak/>
        <w:t>Critical Synthesis</w:t>
      </w:r>
      <w:bookmarkEnd w:id="13"/>
    </w:p>
    <w:p w14:paraId="605E2913"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Retention technologies offer considerable promise, but their effective adoption requires careful attention to both implementation and ethical considerations. Successful integration relies on the availability of high-quality data, the presence of a supportive organisational culture that fosters transparency in decision-making, and the active involvement of management in promoting open communication regarding technology adoption. Furthermore, it is essential to engage employees in discussions about the purpose and use of analytics while ensuring robust ethical oversight governs the process. In the absence of these requirements, there is a substantial risk that organisations may become overly dependent on data-driven decisions, potentially neglecting the valuable input of human judgment.</w:t>
      </w:r>
    </w:p>
    <w:p w14:paraId="3C25A758" w14:textId="77777777" w:rsidR="0064394D" w:rsidRDefault="0064394D" w:rsidP="003620FC">
      <w:pPr>
        <w:pStyle w:val="Heading1"/>
        <w:spacing w:line="360" w:lineRule="auto"/>
        <w:rPr>
          <w:rFonts w:ascii="Arial" w:hAnsi="Arial" w:cs="Arial"/>
          <w:color w:val="000000" w:themeColor="text1"/>
          <w:sz w:val="32"/>
          <w:szCs w:val="32"/>
        </w:rPr>
        <w:sectPr w:rsidR="0064394D" w:rsidSect="00731E12">
          <w:pgSz w:w="12240" w:h="15840"/>
          <w:pgMar w:top="1701" w:right="1440" w:bottom="1701" w:left="1440" w:header="720" w:footer="720" w:gutter="0"/>
          <w:cols w:space="720"/>
          <w:noEndnote/>
        </w:sectPr>
      </w:pPr>
    </w:p>
    <w:p w14:paraId="2532AC96" w14:textId="73515F64" w:rsidR="00BC7015" w:rsidRPr="003620FC" w:rsidRDefault="002B2A12" w:rsidP="003620FC">
      <w:pPr>
        <w:pStyle w:val="Heading1"/>
        <w:spacing w:line="360" w:lineRule="auto"/>
        <w:rPr>
          <w:rFonts w:ascii="Arial" w:hAnsi="Arial" w:cs="Arial"/>
          <w:color w:val="000000" w:themeColor="text1"/>
          <w:sz w:val="32"/>
          <w:szCs w:val="32"/>
        </w:rPr>
      </w:pPr>
      <w:bookmarkStart w:id="14" w:name="_Toc227354550"/>
      <w:r w:rsidRPr="003620FC">
        <w:rPr>
          <w:rFonts w:ascii="Arial" w:hAnsi="Arial" w:cs="Arial"/>
          <w:color w:val="000000" w:themeColor="text1"/>
          <w:sz w:val="32"/>
          <w:szCs w:val="32"/>
        </w:rPr>
        <w:t>Recommendations</w:t>
      </w:r>
      <w:bookmarkEnd w:id="14"/>
    </w:p>
    <w:p w14:paraId="232D17EE"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The organisation should invest in two HR technology solutions: Culture Amp for employee engagement and Workday Human Capital Management (HCM) for retention. Both solutions directly address operational challenges in retail distribution and support strategic objectives.</w:t>
      </w:r>
    </w:p>
    <w:p w14:paraId="13FBB9D7"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The adoption of Culture Amp represents a strategically appropriate response to the organisation’s engagement challenges, particularly in the context of a large, operationally intensive workforce. The platform’s capacity to facilitate continuous feedback enables a shift away from traditional, static engagement surveys toward a more dynamic, responsive approach to employee voice. This is particularly valuable in warehouse settings, where communication between frontline employees and management is often limited. By providing actionable insights derived from real-time data, Culture Amp enables managers to identify and address issues such as low morale, dissatisfaction with shift patterns, or perceived inequities in workload allocation. In doing so, it supports the development of a more inclusive and participative organisational culture, which has been consistently linked to improved engagement and performance outcomes [1][3].</w:t>
      </w:r>
    </w:p>
    <w:p w14:paraId="3B151F4F"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lastRenderedPageBreak/>
        <w:t xml:space="preserve">However, implementing such a system is not without risks. One significant concern relates to data privacy and the ethical management of employee information. Given the increasing regulatory scrutiny under </w:t>
      </w:r>
      <w:r w:rsidRPr="0028288E">
        <w:rPr>
          <w:rFonts w:ascii="Arial" w:eastAsia="Times New Roman" w:hAnsi="Arial" w:cs="Arial"/>
          <w:color w:val="000000"/>
          <w:kern w:val="0"/>
          <w14:ligatures w14:val="none"/>
        </w:rPr>
        <w:t>frameworks such as the UK General Data Protection Regulation (GDPR), organisations must ensure that data collection processes are transparent and that employees are fully informed about how their data will be used [9].</w:t>
      </w:r>
      <w:r w:rsidRPr="00732FF9">
        <w:rPr>
          <w:rFonts w:ascii="Arial" w:eastAsia="Times New Roman" w:hAnsi="Arial" w:cs="Arial"/>
          <w:color w:val="000000"/>
          <w:kern w:val="0"/>
          <w14:ligatures w14:val="none"/>
        </w:rPr>
        <w:t xml:space="preserve"> Additionally, survey fatigue may result from overuse of feedback mechanisms, potentially leading to declining participation rates and reduced data reliability. To mitigate these risks, it is essential that the organisation adopts a balanced approach, ensuring that data collection is purposeful and that feedback is visibly acted upon, thereby reinforcing employee trust.</w:t>
      </w:r>
    </w:p>
    <w:p w14:paraId="345EE800" w14:textId="7F9D6E22"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In parallel, investing in Workday HCM is recommended to address the organisation’s retention challenges with predictive analytics. Unlike traditional, often reactive retention methods, Workday identifies employees at risk of leaving by analysing workforce data, such as absenteeism, performance trends, and tenure. This enables targeted interventions</w:t>
      </w:r>
      <w:r w:rsidR="004D2ED3">
        <w:rPr>
          <w:rFonts w:ascii="Arial" w:eastAsia="Times New Roman" w:hAnsi="Arial" w:cs="Arial"/>
          <w:color w:val="000000"/>
          <w:kern w:val="0"/>
          <w14:ligatures w14:val="none"/>
        </w:rPr>
        <w:t xml:space="preserve"> </w:t>
      </w:r>
      <w:r w:rsidRPr="00732FF9">
        <w:rPr>
          <w:rFonts w:ascii="Arial" w:eastAsia="Times New Roman" w:hAnsi="Arial" w:cs="Arial"/>
          <w:color w:val="000000"/>
          <w:kern w:val="0"/>
          <w14:ligatures w14:val="none"/>
        </w:rPr>
        <w:t>such as adjusting working conditions, providing career development, or increasing managerial support</w:t>
      </w:r>
      <w:r w:rsidR="004D2ED3">
        <w:rPr>
          <w:rFonts w:ascii="Arial" w:eastAsia="Times New Roman" w:hAnsi="Arial" w:cs="Arial"/>
          <w:color w:val="000000"/>
          <w:kern w:val="0"/>
          <w14:ligatures w14:val="none"/>
        </w:rPr>
        <w:t xml:space="preserve"> </w:t>
      </w:r>
      <w:r w:rsidRPr="00732FF9">
        <w:rPr>
          <w:rFonts w:ascii="Arial" w:eastAsia="Times New Roman" w:hAnsi="Arial" w:cs="Arial"/>
          <w:color w:val="000000"/>
          <w:kern w:val="0"/>
          <w14:ligatures w14:val="none"/>
        </w:rPr>
        <w:t>before turnover occurs. This proactive approach is especially valuable in retail distribution, where high turnover can disrupt operations and increase recruitment and training costs [4][13].</w:t>
      </w:r>
    </w:p>
    <w:p w14:paraId="37F71AB9"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From a strategic perspective, predictive analytics enhances organisational capability by enabling more effective workforce planning and resource allocation. As Boudreau and Ramstad [14] note, leveraging talent data for strategic decisions is a key competitive advantage. However, adopting such technology raises ethical concerns, especially about algorithmic bias and surveillance. Predictive models rely on historical data, which may mirror organisational biases. Without careful management, this could result in discrimination or reinforce workforce inequalities [17]. Employees may also see predictive analytics as intrusive, which can undermine trust and engagement.</w:t>
      </w:r>
    </w:p>
    <w:p w14:paraId="1DC8F311"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 xml:space="preserve">In addition to ethical concerns, the financial impact of Workday HCM must be considered. The system requires a significant upfront investment in software licensing, integration, and staff training. But these costs should be weighed against long-term benefits such as reduced turnover, greater productivity, and better strategic decisions. Recent evidence </w:t>
      </w:r>
      <w:r w:rsidRPr="00732FF9">
        <w:rPr>
          <w:rFonts w:ascii="Arial" w:eastAsia="Times New Roman" w:hAnsi="Arial" w:cs="Arial"/>
          <w:color w:val="000000"/>
          <w:kern w:val="0"/>
          <w14:ligatures w14:val="none"/>
        </w:rPr>
        <w:lastRenderedPageBreak/>
        <w:t>shows organisations adopt generative AI mainly for productivity and efficiency, though these benefits depend on careful implementation and realistic expectations [22]. Thus, technology investments should be judged by both short-term automation and their contribution to sustainable workforce performance. In this light, the investment supports sustainable organisational performance.</w:t>
      </w:r>
    </w:p>
    <w:p w14:paraId="41218E12"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Overall, the combined implementation of Culture Amp and Workday HCM offers a comprehensive approach to addressing the organisation’s HR challenges. However, successful adoption will require overcoming implementation challenges such as integrating new systems with existing HR processes, ensuring adequate staff training, and managing potential resistance to change. While Culture Amp focuses on enhancing employee engagement through improved communication and feedback mechanisms, and Workday HCM provides the analytical capabilities needed to proactively manage retention, both require organisational commitment to effective change management. Together, these technologies support a more strategic, data-driven approach to HRM, aligning with contemporary perspectives on HR's role as a driver of organisational performance and competitive advantage.</w:t>
      </w:r>
    </w:p>
    <w:p w14:paraId="0B91A4DA" w14:textId="77777777" w:rsidR="0064394D" w:rsidRDefault="0064394D" w:rsidP="003620FC">
      <w:pPr>
        <w:pStyle w:val="Heading1"/>
        <w:spacing w:line="360" w:lineRule="auto"/>
        <w:rPr>
          <w:rFonts w:ascii="Arial" w:hAnsi="Arial" w:cs="Arial"/>
          <w:color w:val="000000" w:themeColor="text1"/>
          <w:sz w:val="32"/>
          <w:szCs w:val="32"/>
        </w:rPr>
        <w:sectPr w:rsidR="0064394D" w:rsidSect="0064394D">
          <w:type w:val="continuous"/>
          <w:pgSz w:w="12240" w:h="15840"/>
          <w:pgMar w:top="1701" w:right="1440" w:bottom="1701" w:left="1440" w:header="720" w:footer="720" w:gutter="0"/>
          <w:cols w:space="720"/>
          <w:noEndnote/>
        </w:sectPr>
      </w:pPr>
    </w:p>
    <w:p w14:paraId="581D34E1" w14:textId="77777777" w:rsidR="002B2A12" w:rsidRPr="003620FC" w:rsidRDefault="004E4A0E" w:rsidP="003620FC">
      <w:pPr>
        <w:pStyle w:val="Heading1"/>
        <w:spacing w:line="360" w:lineRule="auto"/>
        <w:rPr>
          <w:rFonts w:ascii="Arial" w:hAnsi="Arial" w:cs="Arial"/>
          <w:color w:val="000000" w:themeColor="text1"/>
          <w:sz w:val="32"/>
          <w:szCs w:val="32"/>
        </w:rPr>
      </w:pPr>
      <w:bookmarkStart w:id="15" w:name="_Toc227354551"/>
      <w:r w:rsidRPr="003620FC">
        <w:rPr>
          <w:rFonts w:ascii="Arial" w:hAnsi="Arial" w:cs="Arial"/>
          <w:color w:val="000000" w:themeColor="text1"/>
          <w:sz w:val="32"/>
          <w:szCs w:val="32"/>
        </w:rPr>
        <w:lastRenderedPageBreak/>
        <w:t>Conclusion</w:t>
      </w:r>
      <w:bookmarkEnd w:id="15"/>
    </w:p>
    <w:p w14:paraId="5F5BA634"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This report has critically examined the potential for HR technology investment to address two interrelated challenges within a UK retail distribution environment: employee engagement and employee retention. The analysis has demonstrated that, in labour-intensive operational contexts, traditional HRM approaches are increasingly insufficient to meet the demands of a dynamic, competitive business environment. Instead, there is a growing need for more sophisticated, data-driven approaches that enable organisations to respond proactively to workforce issues.</w:t>
      </w:r>
    </w:p>
    <w:p w14:paraId="5A040C5B"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The evaluation of engagement technologies has highlighted the value of continuous listening platforms, such as Culture Amp and Workday Peakon, in enhancing employee voice and enabling real-time managerial intervention. These tools support a shift towards more responsive and inclusive organisational practices, which are essential for fostering engagement in environments where employees may otherwise feel disconnected from decision-making processes. At the same time, the analysis of retention technologies has demonstrated the strategic importance of predictive analytics systems, such as Workday HCM and SAP SuccessFactors, in identifying turnover risks and informing targeted interventions.</w:t>
      </w:r>
    </w:p>
    <w:p w14:paraId="685AD560"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However, the report has also emphasised that adopting HR technology is not without challenges. Issues relating to data privacy, algorithmic bias, implementation complexity, and employee perceptions of surveillance represent significant risks that must be carefully managed. As such, technological investment should not be viewed as a purely technical solution but as part of a broader organisational strategy that incorporates ethical considerations, leadership capability, and cultural alignment. Future research should investigate the long-term organisational impacts of HR technology adoption, including its effects on employee well-being, inclusion, and trust, as well as best practices for mitigating ethical and implementation risks within diverse organisational contexts.</w:t>
      </w:r>
    </w:p>
    <w:p w14:paraId="7FB8A74D" w14:textId="0D7364CB"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The recommendations proposed</w:t>
      </w:r>
      <w:r w:rsidR="004D2ED3">
        <w:rPr>
          <w:rFonts w:ascii="Arial" w:eastAsia="Times New Roman" w:hAnsi="Arial" w:cs="Arial"/>
          <w:color w:val="000000"/>
          <w:kern w:val="0"/>
          <w14:ligatures w14:val="none"/>
        </w:rPr>
        <w:t xml:space="preserve"> </w:t>
      </w:r>
      <w:r w:rsidRPr="00732FF9">
        <w:rPr>
          <w:rFonts w:ascii="Arial" w:eastAsia="Times New Roman" w:hAnsi="Arial" w:cs="Arial"/>
          <w:color w:val="000000"/>
          <w:kern w:val="0"/>
          <w14:ligatures w14:val="none"/>
        </w:rPr>
        <w:t xml:space="preserve">the implementation of Culture Amp for engagement and Workday HCM for retention. Together, these systems provide complementary functionalities, enabling both the enhancement of employee experience and the strategic </w:t>
      </w:r>
      <w:r w:rsidRPr="00732FF9">
        <w:rPr>
          <w:rFonts w:ascii="Arial" w:eastAsia="Times New Roman" w:hAnsi="Arial" w:cs="Arial"/>
          <w:color w:val="000000"/>
          <w:kern w:val="0"/>
          <w14:ligatures w14:val="none"/>
        </w:rPr>
        <w:lastRenderedPageBreak/>
        <w:t>management of workforce stability. Importantly, their effectiveness will depend not only on their technical features but also on the extent to which they are embedded within organisational processes and supported by effective management practices.</w:t>
      </w:r>
    </w:p>
    <w:p w14:paraId="69F73699" w14:textId="77777777" w:rsidR="00732FF9" w:rsidRPr="00732FF9" w:rsidRDefault="00732FF9" w:rsidP="00732FF9">
      <w:pPr>
        <w:spacing w:after="0" w:line="360" w:lineRule="auto"/>
        <w:jc w:val="both"/>
        <w:rPr>
          <w:rFonts w:ascii="Arial" w:eastAsia="Times New Roman" w:hAnsi="Arial" w:cs="Arial"/>
          <w:color w:val="000000"/>
          <w:kern w:val="0"/>
          <w14:ligatures w14:val="none"/>
        </w:rPr>
      </w:pPr>
      <w:r w:rsidRPr="00732FF9">
        <w:rPr>
          <w:rFonts w:ascii="Arial" w:eastAsia="Times New Roman" w:hAnsi="Arial" w:cs="Arial"/>
          <w:color w:val="000000"/>
          <w:kern w:val="0"/>
          <w14:ligatures w14:val="none"/>
        </w:rPr>
        <w:t>In conclusion, HR technology has the potential to significantly improve organisational performance in retail distribution settings. However, its success depends on critical evaluation, careful implementation, and ongoing management. By adopting a strategic and ethically informed approach, organisations can leverage HR technology not only to address immediate operational challenges but also to build a more resilient, engaged, and sustainable workforce for the future.</w:t>
      </w:r>
    </w:p>
    <w:p w14:paraId="70DE5940" w14:textId="77777777" w:rsidR="0064394D" w:rsidRPr="00732FF9" w:rsidRDefault="0064394D" w:rsidP="00732FF9">
      <w:pPr>
        <w:spacing w:after="0" w:line="360" w:lineRule="auto"/>
        <w:jc w:val="both"/>
        <w:rPr>
          <w:rFonts w:ascii="Arial" w:eastAsia="Times New Roman" w:hAnsi="Arial" w:cs="Arial"/>
          <w:color w:val="000000"/>
          <w:kern w:val="0"/>
          <w14:ligatures w14:val="none"/>
        </w:rPr>
      </w:pPr>
    </w:p>
    <w:p w14:paraId="0AF70A22" w14:textId="77777777" w:rsidR="0064394D" w:rsidRDefault="0064394D" w:rsidP="003620FC">
      <w:pPr>
        <w:spacing w:line="360" w:lineRule="auto"/>
        <w:rPr>
          <w:rFonts w:ascii="Arial" w:hAnsi="Arial" w:cs="Arial"/>
          <w:color w:val="000000" w:themeColor="text1"/>
        </w:rPr>
      </w:pPr>
    </w:p>
    <w:p w14:paraId="7BB98756" w14:textId="77777777" w:rsidR="0064394D" w:rsidRDefault="0064394D" w:rsidP="003620FC">
      <w:pPr>
        <w:spacing w:line="360" w:lineRule="auto"/>
        <w:rPr>
          <w:rFonts w:ascii="Arial" w:hAnsi="Arial" w:cs="Arial"/>
          <w:color w:val="000000" w:themeColor="text1"/>
        </w:rPr>
      </w:pPr>
    </w:p>
    <w:p w14:paraId="15B5167A" w14:textId="77777777" w:rsidR="0064394D" w:rsidRDefault="0064394D" w:rsidP="003620FC">
      <w:pPr>
        <w:spacing w:line="360" w:lineRule="auto"/>
        <w:rPr>
          <w:rFonts w:ascii="Arial" w:hAnsi="Arial" w:cs="Arial"/>
          <w:color w:val="000000" w:themeColor="text1"/>
        </w:rPr>
      </w:pPr>
    </w:p>
    <w:p w14:paraId="54A74A3B" w14:textId="77777777" w:rsidR="0064394D" w:rsidRDefault="0064394D" w:rsidP="003620FC">
      <w:pPr>
        <w:spacing w:line="360" w:lineRule="auto"/>
        <w:rPr>
          <w:rFonts w:ascii="Arial" w:hAnsi="Arial" w:cs="Arial"/>
          <w:color w:val="000000" w:themeColor="text1"/>
        </w:rPr>
      </w:pPr>
    </w:p>
    <w:p w14:paraId="524A9A71" w14:textId="77777777" w:rsidR="0064394D" w:rsidRPr="003620FC" w:rsidRDefault="0064394D" w:rsidP="003620FC">
      <w:pPr>
        <w:spacing w:line="360" w:lineRule="auto"/>
        <w:rPr>
          <w:rFonts w:ascii="Arial" w:hAnsi="Arial" w:cs="Arial"/>
          <w:color w:val="000000" w:themeColor="text1"/>
        </w:rPr>
      </w:pPr>
    </w:p>
    <w:p w14:paraId="6D6DF66A" w14:textId="77777777" w:rsidR="0064394D" w:rsidRDefault="0064394D" w:rsidP="003620FC">
      <w:pPr>
        <w:pStyle w:val="Heading1"/>
        <w:spacing w:line="360" w:lineRule="auto"/>
        <w:rPr>
          <w:rFonts w:ascii="Arial" w:hAnsi="Arial" w:cs="Arial"/>
          <w:color w:val="000000" w:themeColor="text1"/>
          <w:sz w:val="36"/>
          <w:szCs w:val="36"/>
        </w:rPr>
        <w:sectPr w:rsidR="0064394D" w:rsidSect="00731E12">
          <w:pgSz w:w="12240" w:h="15840"/>
          <w:pgMar w:top="1701" w:right="1440" w:bottom="1701" w:left="1440" w:header="720" w:footer="720" w:gutter="0"/>
          <w:cols w:space="720"/>
          <w:noEndnote/>
        </w:sectPr>
      </w:pPr>
    </w:p>
    <w:p w14:paraId="67154BFA" w14:textId="7DCB803F" w:rsidR="00010625" w:rsidRPr="0064394D" w:rsidRDefault="00BC7015" w:rsidP="003620FC">
      <w:pPr>
        <w:pStyle w:val="Heading1"/>
        <w:spacing w:line="360" w:lineRule="auto"/>
        <w:rPr>
          <w:rFonts w:ascii="Arial" w:hAnsi="Arial" w:cs="Arial"/>
          <w:color w:val="000000" w:themeColor="text1"/>
          <w:sz w:val="32"/>
          <w:szCs w:val="32"/>
        </w:rPr>
      </w:pPr>
      <w:bookmarkStart w:id="16" w:name="_Toc227354552"/>
      <w:r w:rsidRPr="0064394D">
        <w:rPr>
          <w:rFonts w:ascii="Arial" w:hAnsi="Arial" w:cs="Arial"/>
          <w:color w:val="000000" w:themeColor="text1"/>
          <w:sz w:val="32"/>
          <w:szCs w:val="32"/>
        </w:rPr>
        <w:lastRenderedPageBreak/>
        <w:t>Reference List</w:t>
      </w:r>
      <w:bookmarkEnd w:id="16"/>
      <w:r w:rsidRPr="0064394D">
        <w:rPr>
          <w:rFonts w:ascii="Arial" w:hAnsi="Arial" w:cs="Arial"/>
          <w:color w:val="000000" w:themeColor="text1"/>
          <w:sz w:val="32"/>
          <w:szCs w:val="32"/>
        </w:rPr>
        <w:t xml:space="preserve"> </w:t>
      </w:r>
    </w:p>
    <w:p w14:paraId="5F3C1D95" w14:textId="77777777" w:rsidR="008275B1" w:rsidRPr="003620FC" w:rsidRDefault="008275B1" w:rsidP="003620FC">
      <w:pPr>
        <w:spacing w:line="360" w:lineRule="auto"/>
        <w:rPr>
          <w:rFonts w:ascii="Arial" w:hAnsi="Arial" w:cs="Arial"/>
          <w:color w:val="000000" w:themeColor="text1"/>
        </w:rPr>
      </w:pPr>
      <w:r w:rsidRPr="003620FC">
        <w:rPr>
          <w:rFonts w:ascii="Arial" w:hAnsi="Arial" w:cs="Arial"/>
          <w:color w:val="000000" w:themeColor="text1"/>
        </w:rPr>
        <w:t>[1] M. Armstrong, Armstrong's Handbook of Human Resource Management Practice, 16th ed., London: Kogan Page, 2023.</w:t>
      </w:r>
    </w:p>
    <w:p w14:paraId="2047D83D" w14:textId="77777777" w:rsidR="008275B1" w:rsidRPr="003620FC" w:rsidRDefault="008275B1" w:rsidP="003620FC">
      <w:pPr>
        <w:spacing w:line="360" w:lineRule="auto"/>
        <w:rPr>
          <w:rFonts w:ascii="Arial" w:hAnsi="Arial" w:cs="Arial"/>
          <w:color w:val="000000" w:themeColor="text1"/>
        </w:rPr>
      </w:pPr>
      <w:r w:rsidRPr="003620FC">
        <w:rPr>
          <w:rFonts w:ascii="Arial" w:hAnsi="Arial" w:cs="Arial"/>
          <w:color w:val="000000" w:themeColor="text1"/>
        </w:rPr>
        <w:t>[2] I. Henderson, Human Resource Management for MBA Students, 3rd ed., London: CIPD, 2019.</w:t>
      </w:r>
    </w:p>
    <w:p w14:paraId="7F3F6057" w14:textId="77777777" w:rsidR="008275B1" w:rsidRPr="003620FC" w:rsidRDefault="008275B1" w:rsidP="003620FC">
      <w:pPr>
        <w:spacing w:line="360" w:lineRule="auto"/>
        <w:rPr>
          <w:rFonts w:ascii="Arial" w:hAnsi="Arial" w:cs="Arial"/>
          <w:color w:val="000000" w:themeColor="text1"/>
        </w:rPr>
      </w:pPr>
      <w:r w:rsidRPr="003620FC">
        <w:rPr>
          <w:rFonts w:ascii="Arial" w:hAnsi="Arial" w:cs="Arial"/>
          <w:color w:val="000000" w:themeColor="text1"/>
        </w:rPr>
        <w:t>[3] C. Leatherbarrow and J. Fletcher, Introduction to Human Resource Management: A Guide to HR in Practice, 4th ed., London: CIPD, 2018.</w:t>
      </w:r>
    </w:p>
    <w:p w14:paraId="3D5FF50C" w14:textId="77777777" w:rsidR="008275B1" w:rsidRPr="003620FC" w:rsidRDefault="008275B1" w:rsidP="003620FC">
      <w:pPr>
        <w:spacing w:line="360" w:lineRule="auto"/>
        <w:rPr>
          <w:rFonts w:ascii="Arial" w:hAnsi="Arial" w:cs="Arial"/>
          <w:color w:val="000000" w:themeColor="text1"/>
        </w:rPr>
      </w:pPr>
      <w:r w:rsidRPr="003620FC">
        <w:rPr>
          <w:rFonts w:ascii="Arial" w:hAnsi="Arial" w:cs="Arial"/>
          <w:color w:val="000000" w:themeColor="text1"/>
        </w:rPr>
        <w:t>[4] J. Beardwell and T. Claydon, Human Resource Management: A Contemporary Approach, 8th ed., Harlow: Pearson, 2017.</w:t>
      </w:r>
    </w:p>
    <w:p w14:paraId="4F14E41E" w14:textId="7FEF7C0A" w:rsidR="00DA3F8F" w:rsidRPr="003620FC" w:rsidRDefault="00DA3F8F" w:rsidP="003620FC">
      <w:pPr>
        <w:spacing w:line="360" w:lineRule="auto"/>
        <w:rPr>
          <w:rFonts w:ascii="Arial" w:hAnsi="Arial" w:cs="Arial"/>
          <w:color w:val="000000" w:themeColor="text1"/>
        </w:rPr>
      </w:pPr>
      <w:r w:rsidRPr="003620FC">
        <w:rPr>
          <w:rFonts w:ascii="Arial" w:hAnsi="Arial" w:cs="Arial"/>
          <w:color w:val="000000" w:themeColor="text1"/>
        </w:rPr>
        <w:t xml:space="preserve">[5] Culture Amp, “Employee Engagement Platform,” 2023. [Online]. Available: </w:t>
      </w:r>
      <w:hyperlink r:id="rId9" w:history="1">
        <w:r w:rsidRPr="003620FC">
          <w:rPr>
            <w:rStyle w:val="Hyperlink"/>
            <w:rFonts w:ascii="Arial" w:hAnsi="Arial" w:cs="Arial"/>
            <w:color w:val="000000" w:themeColor="text1"/>
          </w:rPr>
          <w:t>https://www.cultureamp</w:t>
        </w:r>
        <w:r w:rsidRPr="003620FC">
          <w:rPr>
            <w:rStyle w:val="Hyperlink"/>
            <w:rFonts w:ascii="Arial" w:hAnsi="Arial" w:cs="Arial"/>
            <w:color w:val="000000" w:themeColor="text1"/>
          </w:rPr>
          <w:t>.</w:t>
        </w:r>
        <w:r w:rsidRPr="003620FC">
          <w:rPr>
            <w:rStyle w:val="Hyperlink"/>
            <w:rFonts w:ascii="Arial" w:hAnsi="Arial" w:cs="Arial"/>
            <w:color w:val="000000" w:themeColor="text1"/>
          </w:rPr>
          <w:t>com/platform/engage</w:t>
        </w:r>
      </w:hyperlink>
      <w:r w:rsidRPr="003620FC">
        <w:rPr>
          <w:rFonts w:ascii="Arial" w:hAnsi="Arial" w:cs="Arial"/>
          <w:color w:val="000000" w:themeColor="text1"/>
        </w:rPr>
        <w:t xml:space="preserve"> [Accessed April 2, 2026]. </w:t>
      </w:r>
    </w:p>
    <w:p w14:paraId="2BE88DBB" w14:textId="2959CD0A" w:rsidR="00DA3F8F" w:rsidRPr="003620FC" w:rsidRDefault="00DA3F8F" w:rsidP="003620FC">
      <w:pPr>
        <w:spacing w:line="360" w:lineRule="auto"/>
        <w:rPr>
          <w:rFonts w:ascii="Arial" w:hAnsi="Arial" w:cs="Arial"/>
          <w:color w:val="000000" w:themeColor="text1"/>
        </w:rPr>
      </w:pPr>
      <w:r w:rsidRPr="003620FC">
        <w:rPr>
          <w:rFonts w:ascii="Arial" w:hAnsi="Arial" w:cs="Arial"/>
          <w:color w:val="000000" w:themeColor="text1"/>
        </w:rPr>
        <w:t xml:space="preserve">[6] CIPD, “Employee engagement and motivation,” 2022. [Online]. Available: </w:t>
      </w:r>
      <w:hyperlink r:id="rId10" w:history="1">
        <w:r w:rsidRPr="003620FC">
          <w:rPr>
            <w:rStyle w:val="Hyperlink"/>
            <w:rFonts w:ascii="Arial" w:hAnsi="Arial" w:cs="Arial"/>
            <w:color w:val="000000" w:themeColor="text1"/>
          </w:rPr>
          <w:t>https://www.cipd.org/uk/knowledge/factsheets/engagement-factsheet/</w:t>
        </w:r>
      </w:hyperlink>
      <w:r w:rsidRPr="003620FC">
        <w:rPr>
          <w:rFonts w:ascii="Arial" w:hAnsi="Arial" w:cs="Arial"/>
          <w:color w:val="000000" w:themeColor="text1"/>
        </w:rPr>
        <w:t xml:space="preserve"> [Accessed April 2, 2026]. </w:t>
      </w:r>
    </w:p>
    <w:p w14:paraId="419EFB52" w14:textId="3F293BD1" w:rsidR="008275B1" w:rsidRPr="003620FC" w:rsidRDefault="008275B1" w:rsidP="003620FC">
      <w:pPr>
        <w:spacing w:line="360" w:lineRule="auto"/>
        <w:rPr>
          <w:rFonts w:ascii="Arial" w:hAnsi="Arial" w:cs="Arial"/>
          <w:color w:val="000000" w:themeColor="text1"/>
        </w:rPr>
      </w:pPr>
      <w:r w:rsidRPr="003620FC">
        <w:rPr>
          <w:rFonts w:ascii="Arial" w:hAnsi="Arial" w:cs="Arial"/>
          <w:color w:val="000000" w:themeColor="text1"/>
        </w:rPr>
        <w:t>[</w:t>
      </w:r>
      <w:r w:rsidR="00131B2F" w:rsidRPr="003620FC">
        <w:rPr>
          <w:rFonts w:ascii="Arial" w:hAnsi="Arial" w:cs="Arial"/>
          <w:color w:val="000000" w:themeColor="text1"/>
        </w:rPr>
        <w:t>7</w:t>
      </w:r>
      <w:r w:rsidRPr="003620FC">
        <w:rPr>
          <w:rFonts w:ascii="Arial" w:hAnsi="Arial" w:cs="Arial"/>
          <w:color w:val="000000" w:themeColor="text1"/>
        </w:rPr>
        <w:t>] K. Alfes, C. Truss, E. C. Soane, C. Rees and M. Gatenby, “The relationship between line manager behaviour, perceived HRM practices and individual performance,” Human Resource Management Journal, 2013.</w:t>
      </w:r>
    </w:p>
    <w:p w14:paraId="7468E326" w14:textId="7C312D95" w:rsidR="00131B2F" w:rsidRPr="003620FC" w:rsidRDefault="00DA3F8F" w:rsidP="003620FC">
      <w:pPr>
        <w:spacing w:line="360" w:lineRule="auto"/>
        <w:rPr>
          <w:rFonts w:ascii="Arial" w:hAnsi="Arial" w:cs="Arial"/>
          <w:color w:val="000000" w:themeColor="text1"/>
        </w:rPr>
      </w:pPr>
      <w:r w:rsidRPr="003620FC">
        <w:rPr>
          <w:rFonts w:ascii="Arial" w:hAnsi="Arial" w:cs="Arial"/>
          <w:color w:val="000000" w:themeColor="text1"/>
        </w:rPr>
        <w:t xml:space="preserve">[8] Workday, “Workday Peakon Employee Voice,” 2023. [Online]. Available: </w:t>
      </w:r>
      <w:hyperlink r:id="rId11" w:history="1">
        <w:r w:rsidRPr="003620FC">
          <w:rPr>
            <w:rStyle w:val="Hyperlink"/>
            <w:rFonts w:ascii="Arial" w:hAnsi="Arial" w:cs="Arial"/>
            <w:color w:val="000000" w:themeColor="text1"/>
          </w:rPr>
          <w:t>https://www.workda</w:t>
        </w:r>
        <w:r w:rsidRPr="003620FC">
          <w:rPr>
            <w:rStyle w:val="Hyperlink"/>
            <w:rFonts w:ascii="Arial" w:hAnsi="Arial" w:cs="Arial"/>
            <w:color w:val="000000" w:themeColor="text1"/>
          </w:rPr>
          <w:t>y</w:t>
        </w:r>
        <w:r w:rsidRPr="003620FC">
          <w:rPr>
            <w:rStyle w:val="Hyperlink"/>
            <w:rFonts w:ascii="Arial" w:hAnsi="Arial" w:cs="Arial"/>
            <w:color w:val="000000" w:themeColor="text1"/>
          </w:rPr>
          <w:t>.com/en-us/products/</w:t>
        </w:r>
        <w:r w:rsidRPr="003620FC">
          <w:rPr>
            <w:rStyle w:val="Hyperlink"/>
            <w:rFonts w:ascii="Arial" w:hAnsi="Arial" w:cs="Arial"/>
            <w:color w:val="000000" w:themeColor="text1"/>
          </w:rPr>
          <w:t>e</w:t>
        </w:r>
        <w:r w:rsidRPr="003620FC">
          <w:rPr>
            <w:rStyle w:val="Hyperlink"/>
            <w:rFonts w:ascii="Arial" w:hAnsi="Arial" w:cs="Arial"/>
            <w:color w:val="000000" w:themeColor="text1"/>
          </w:rPr>
          <w:t>mployee-voice/overview.html</w:t>
        </w:r>
      </w:hyperlink>
      <w:r w:rsidRPr="003620FC">
        <w:rPr>
          <w:rFonts w:ascii="Arial" w:hAnsi="Arial" w:cs="Arial"/>
          <w:color w:val="000000" w:themeColor="text1"/>
        </w:rPr>
        <w:t xml:space="preserve"> [Accessed April 5, 2026].</w:t>
      </w:r>
    </w:p>
    <w:p w14:paraId="3B439153" w14:textId="3E416FA7" w:rsidR="00DA3F8F" w:rsidRPr="003620FC" w:rsidRDefault="00DA3F8F" w:rsidP="003620FC">
      <w:pPr>
        <w:spacing w:line="360" w:lineRule="auto"/>
        <w:rPr>
          <w:rFonts w:ascii="Arial" w:hAnsi="Arial" w:cs="Arial"/>
          <w:color w:val="000000" w:themeColor="text1"/>
        </w:rPr>
      </w:pPr>
      <w:r w:rsidRPr="003620FC">
        <w:rPr>
          <w:rFonts w:ascii="Arial" w:hAnsi="Arial" w:cs="Arial"/>
          <w:color w:val="000000" w:themeColor="text1"/>
        </w:rPr>
        <w:t xml:space="preserve">[9] UK Government, “Data protection legislation and UK GDPR,” 2023. [Online]. Available: </w:t>
      </w:r>
      <w:hyperlink r:id="rId12" w:history="1">
        <w:r w:rsidRPr="003620FC">
          <w:rPr>
            <w:rStyle w:val="Hyperlink"/>
            <w:rFonts w:ascii="Arial" w:hAnsi="Arial" w:cs="Arial"/>
            <w:color w:val="000000" w:themeColor="text1"/>
          </w:rPr>
          <w:t>https://www.gov.uk/da</w:t>
        </w:r>
        <w:r w:rsidRPr="003620FC">
          <w:rPr>
            <w:rStyle w:val="Hyperlink"/>
            <w:rFonts w:ascii="Arial" w:hAnsi="Arial" w:cs="Arial"/>
            <w:color w:val="000000" w:themeColor="text1"/>
          </w:rPr>
          <w:t>t</w:t>
        </w:r>
        <w:r w:rsidRPr="003620FC">
          <w:rPr>
            <w:rStyle w:val="Hyperlink"/>
            <w:rFonts w:ascii="Arial" w:hAnsi="Arial" w:cs="Arial"/>
            <w:color w:val="000000" w:themeColor="text1"/>
          </w:rPr>
          <w:t>a-protection</w:t>
        </w:r>
      </w:hyperlink>
      <w:r w:rsidRPr="003620FC">
        <w:rPr>
          <w:rFonts w:ascii="Arial" w:hAnsi="Arial" w:cs="Arial"/>
          <w:color w:val="000000" w:themeColor="text1"/>
        </w:rPr>
        <w:t xml:space="preserve"> [Accessed April 7, 2026]. </w:t>
      </w:r>
    </w:p>
    <w:p w14:paraId="7A785EC3" w14:textId="0CFF5A9B" w:rsidR="008275B1" w:rsidRPr="003620FC" w:rsidRDefault="008275B1" w:rsidP="003620FC">
      <w:pPr>
        <w:spacing w:line="360" w:lineRule="auto"/>
        <w:rPr>
          <w:rFonts w:ascii="Arial" w:hAnsi="Arial" w:cs="Arial"/>
          <w:color w:val="000000" w:themeColor="text1"/>
        </w:rPr>
      </w:pPr>
      <w:r w:rsidRPr="003620FC">
        <w:rPr>
          <w:rFonts w:ascii="Arial" w:hAnsi="Arial" w:cs="Arial"/>
          <w:color w:val="000000" w:themeColor="text1"/>
        </w:rPr>
        <w:t>[</w:t>
      </w:r>
      <w:r w:rsidR="00131B2F" w:rsidRPr="003620FC">
        <w:rPr>
          <w:rFonts w:ascii="Arial" w:hAnsi="Arial" w:cs="Arial"/>
          <w:color w:val="000000" w:themeColor="text1"/>
        </w:rPr>
        <w:t>10</w:t>
      </w:r>
      <w:r w:rsidRPr="003620FC">
        <w:rPr>
          <w:rFonts w:ascii="Arial" w:hAnsi="Arial" w:cs="Arial"/>
          <w:color w:val="000000" w:themeColor="text1"/>
        </w:rPr>
        <w:t>] D. Guest, “Employee engagement: a sceptical analysis,” Journal of Organizational Effectiveness, 2014.</w:t>
      </w:r>
    </w:p>
    <w:p w14:paraId="3023FC5B" w14:textId="7F1CC038" w:rsidR="00DA3F8F" w:rsidRPr="003620FC" w:rsidRDefault="00DA3F8F" w:rsidP="003620FC">
      <w:pPr>
        <w:spacing w:line="360" w:lineRule="auto"/>
        <w:rPr>
          <w:rFonts w:ascii="Arial" w:hAnsi="Arial" w:cs="Arial"/>
          <w:color w:val="000000" w:themeColor="text1"/>
        </w:rPr>
      </w:pPr>
      <w:r w:rsidRPr="003620FC">
        <w:rPr>
          <w:rFonts w:ascii="Arial" w:hAnsi="Arial" w:cs="Arial"/>
          <w:color w:val="000000" w:themeColor="text1"/>
        </w:rPr>
        <w:lastRenderedPageBreak/>
        <w:t xml:space="preserve">[11] CIPD, “Labour turnover and retention,” 2022. [Online]. Available: </w:t>
      </w:r>
      <w:hyperlink r:id="rId13" w:history="1">
        <w:r w:rsidRPr="003620FC">
          <w:rPr>
            <w:rStyle w:val="Hyperlink"/>
            <w:rFonts w:ascii="Arial" w:hAnsi="Arial" w:cs="Arial"/>
            <w:color w:val="000000" w:themeColor="text1"/>
          </w:rPr>
          <w:t>https://www.cipd.org/uk/knowledge/fac</w:t>
        </w:r>
        <w:r w:rsidRPr="003620FC">
          <w:rPr>
            <w:rStyle w:val="Hyperlink"/>
            <w:rFonts w:ascii="Arial" w:hAnsi="Arial" w:cs="Arial"/>
            <w:color w:val="000000" w:themeColor="text1"/>
          </w:rPr>
          <w:t>t</w:t>
        </w:r>
        <w:r w:rsidRPr="003620FC">
          <w:rPr>
            <w:rStyle w:val="Hyperlink"/>
            <w:rFonts w:ascii="Arial" w:hAnsi="Arial" w:cs="Arial"/>
            <w:color w:val="000000" w:themeColor="text1"/>
          </w:rPr>
          <w:t>sheets/turnover-retention-factsheet/</w:t>
        </w:r>
      </w:hyperlink>
      <w:r w:rsidRPr="003620FC">
        <w:rPr>
          <w:rFonts w:ascii="Arial" w:hAnsi="Arial" w:cs="Arial"/>
          <w:color w:val="000000" w:themeColor="text1"/>
        </w:rPr>
        <w:t xml:space="preserve"> [Accessed April 5, 2026]. </w:t>
      </w:r>
    </w:p>
    <w:p w14:paraId="661936DC" w14:textId="34FB84D7" w:rsidR="008275B1" w:rsidRPr="003620FC" w:rsidRDefault="008275B1" w:rsidP="003620FC">
      <w:pPr>
        <w:spacing w:line="360" w:lineRule="auto"/>
        <w:rPr>
          <w:rFonts w:ascii="Arial" w:hAnsi="Arial" w:cs="Arial"/>
          <w:color w:val="000000" w:themeColor="text1"/>
        </w:rPr>
      </w:pPr>
      <w:r w:rsidRPr="003620FC">
        <w:rPr>
          <w:rFonts w:ascii="Arial" w:hAnsi="Arial" w:cs="Arial"/>
          <w:color w:val="000000" w:themeColor="text1"/>
        </w:rPr>
        <w:t>[1</w:t>
      </w:r>
      <w:r w:rsidR="00131B2F" w:rsidRPr="003620FC">
        <w:rPr>
          <w:rFonts w:ascii="Arial" w:hAnsi="Arial" w:cs="Arial"/>
          <w:color w:val="000000" w:themeColor="text1"/>
        </w:rPr>
        <w:t>2</w:t>
      </w:r>
      <w:r w:rsidRPr="003620FC">
        <w:rPr>
          <w:rFonts w:ascii="Arial" w:hAnsi="Arial" w:cs="Arial"/>
          <w:color w:val="000000" w:themeColor="text1"/>
        </w:rPr>
        <w:t>] B. Kwon and D. Rupp, “High-performance work systems, procedural justice, and employee outcomes,” Academy of Management Journal, 2013.</w:t>
      </w:r>
    </w:p>
    <w:p w14:paraId="1AB423EA" w14:textId="379D4DC5" w:rsidR="00DA3F8F" w:rsidRPr="003620FC" w:rsidRDefault="00DA3F8F" w:rsidP="003620FC">
      <w:pPr>
        <w:spacing w:line="360" w:lineRule="auto"/>
        <w:rPr>
          <w:rFonts w:ascii="Arial" w:hAnsi="Arial" w:cs="Arial"/>
          <w:color w:val="000000" w:themeColor="text1"/>
        </w:rPr>
      </w:pPr>
      <w:r w:rsidRPr="003620FC">
        <w:rPr>
          <w:rFonts w:ascii="Arial" w:hAnsi="Arial" w:cs="Arial"/>
          <w:color w:val="000000" w:themeColor="text1"/>
        </w:rPr>
        <w:t xml:space="preserve">[13] Workday, “Human Capital Management Analytics,” 2023. [Online]. Available: </w:t>
      </w:r>
      <w:hyperlink r:id="rId14" w:history="1">
        <w:r w:rsidRPr="003620FC">
          <w:rPr>
            <w:rStyle w:val="Hyperlink"/>
            <w:rFonts w:ascii="Arial" w:hAnsi="Arial" w:cs="Arial"/>
            <w:color w:val="000000" w:themeColor="text1"/>
          </w:rPr>
          <w:t>https://www.workday.com/en-us/products/human-capital-management/overview.html</w:t>
        </w:r>
      </w:hyperlink>
      <w:r w:rsidRPr="003620FC">
        <w:rPr>
          <w:rFonts w:ascii="Arial" w:hAnsi="Arial" w:cs="Arial"/>
          <w:color w:val="000000" w:themeColor="text1"/>
        </w:rPr>
        <w:t xml:space="preserve"> [Accessed April 5, 2026]. </w:t>
      </w:r>
    </w:p>
    <w:p w14:paraId="5DF35EA8" w14:textId="02F8B7E9" w:rsidR="008275B1" w:rsidRPr="003620FC" w:rsidRDefault="008275B1" w:rsidP="003620FC">
      <w:pPr>
        <w:spacing w:line="360" w:lineRule="auto"/>
        <w:rPr>
          <w:rFonts w:ascii="Arial" w:hAnsi="Arial" w:cs="Arial"/>
          <w:color w:val="000000" w:themeColor="text1"/>
        </w:rPr>
      </w:pPr>
      <w:r w:rsidRPr="003620FC">
        <w:rPr>
          <w:rFonts w:ascii="Arial" w:hAnsi="Arial" w:cs="Arial"/>
          <w:color w:val="000000" w:themeColor="text1"/>
        </w:rPr>
        <w:t>[1</w:t>
      </w:r>
      <w:r w:rsidR="00131B2F" w:rsidRPr="003620FC">
        <w:rPr>
          <w:rFonts w:ascii="Arial" w:hAnsi="Arial" w:cs="Arial"/>
          <w:color w:val="000000" w:themeColor="text1"/>
        </w:rPr>
        <w:t>4</w:t>
      </w:r>
      <w:r w:rsidRPr="003620FC">
        <w:rPr>
          <w:rFonts w:ascii="Arial" w:hAnsi="Arial" w:cs="Arial"/>
          <w:color w:val="000000" w:themeColor="text1"/>
        </w:rPr>
        <w:t>] J. Boudreau and P. Ramstad, Talentship and the New Paradigm for Human Resource Management, Boston: Harvard Business Press, 2007.</w:t>
      </w:r>
    </w:p>
    <w:p w14:paraId="0AD2ADDD" w14:textId="3074C34F" w:rsidR="00DA3F8F" w:rsidRPr="003620FC" w:rsidRDefault="00DA3F8F" w:rsidP="003620FC">
      <w:pPr>
        <w:spacing w:line="360" w:lineRule="auto"/>
        <w:rPr>
          <w:rFonts w:ascii="Arial" w:hAnsi="Arial" w:cs="Arial"/>
          <w:color w:val="000000" w:themeColor="text1"/>
        </w:rPr>
      </w:pPr>
      <w:r w:rsidRPr="003620FC">
        <w:rPr>
          <w:rFonts w:ascii="Arial" w:hAnsi="Arial" w:cs="Arial"/>
          <w:color w:val="000000" w:themeColor="text1"/>
        </w:rPr>
        <w:t xml:space="preserve">[15] SAP, “SAP SuccessFactors Human Experience Management Suite,” 2023. [Online]. Available: </w:t>
      </w:r>
      <w:hyperlink r:id="rId15" w:history="1">
        <w:r w:rsidRPr="003620FC">
          <w:rPr>
            <w:rStyle w:val="Hyperlink"/>
            <w:rFonts w:ascii="Arial" w:hAnsi="Arial" w:cs="Arial"/>
            <w:color w:val="000000" w:themeColor="text1"/>
          </w:rPr>
          <w:t>https://www.sap.com/products/hcm.html</w:t>
        </w:r>
      </w:hyperlink>
      <w:r w:rsidRPr="003620FC">
        <w:rPr>
          <w:rFonts w:ascii="Arial" w:hAnsi="Arial" w:cs="Arial"/>
          <w:color w:val="000000" w:themeColor="text1"/>
        </w:rPr>
        <w:t xml:space="preserve"> [Accessed April 3, 2026]. </w:t>
      </w:r>
    </w:p>
    <w:p w14:paraId="33DB04F4" w14:textId="104038E0" w:rsidR="008275B1" w:rsidRPr="003620FC" w:rsidRDefault="008275B1" w:rsidP="003620FC">
      <w:pPr>
        <w:spacing w:line="360" w:lineRule="auto"/>
        <w:rPr>
          <w:rFonts w:ascii="Arial" w:hAnsi="Arial" w:cs="Arial"/>
          <w:color w:val="000000" w:themeColor="text1"/>
        </w:rPr>
      </w:pPr>
      <w:r w:rsidRPr="003620FC">
        <w:rPr>
          <w:rFonts w:ascii="Arial" w:hAnsi="Arial" w:cs="Arial"/>
          <w:color w:val="000000" w:themeColor="text1"/>
        </w:rPr>
        <w:t>[1</w:t>
      </w:r>
      <w:r w:rsidR="00131B2F" w:rsidRPr="003620FC">
        <w:rPr>
          <w:rFonts w:ascii="Arial" w:hAnsi="Arial" w:cs="Arial"/>
          <w:color w:val="000000" w:themeColor="text1"/>
        </w:rPr>
        <w:t>6</w:t>
      </w:r>
      <w:r w:rsidRPr="003620FC">
        <w:rPr>
          <w:rFonts w:ascii="Arial" w:hAnsi="Arial" w:cs="Arial"/>
          <w:color w:val="000000" w:themeColor="text1"/>
        </w:rPr>
        <w:t>] P. Sparrow, C. Brewster and C. Chung, Globalizing Human Resource Management, London: Routledge, 2016.</w:t>
      </w:r>
    </w:p>
    <w:p w14:paraId="36D5A510" w14:textId="1DFD0334" w:rsidR="008275B1" w:rsidRPr="003620FC" w:rsidRDefault="008275B1" w:rsidP="003620FC">
      <w:pPr>
        <w:spacing w:line="360" w:lineRule="auto"/>
        <w:rPr>
          <w:rFonts w:ascii="Arial" w:hAnsi="Arial" w:cs="Arial"/>
          <w:color w:val="000000" w:themeColor="text1"/>
        </w:rPr>
      </w:pPr>
      <w:r w:rsidRPr="003620FC">
        <w:rPr>
          <w:rFonts w:ascii="Arial" w:hAnsi="Arial" w:cs="Arial"/>
          <w:color w:val="000000" w:themeColor="text1"/>
        </w:rPr>
        <w:t>[</w:t>
      </w:r>
      <w:r w:rsidR="00131B2F" w:rsidRPr="003620FC">
        <w:rPr>
          <w:rFonts w:ascii="Arial" w:hAnsi="Arial" w:cs="Arial"/>
          <w:color w:val="000000" w:themeColor="text1"/>
        </w:rPr>
        <w:t>17</w:t>
      </w:r>
      <w:r w:rsidRPr="003620FC">
        <w:rPr>
          <w:rFonts w:ascii="Arial" w:hAnsi="Arial" w:cs="Arial"/>
          <w:color w:val="000000" w:themeColor="text1"/>
        </w:rPr>
        <w:t>] E. Parry and S. Strohmeier, “HRM in the digital age – digital changes and challenges of the HR profession,” International Journal of Human Resource Management, 2014.</w:t>
      </w:r>
    </w:p>
    <w:p w14:paraId="3E244FA5" w14:textId="287F0E63" w:rsidR="00BC7015" w:rsidRDefault="008275B1" w:rsidP="003620FC">
      <w:pPr>
        <w:spacing w:line="360" w:lineRule="auto"/>
        <w:rPr>
          <w:rFonts w:ascii="Arial" w:hAnsi="Arial" w:cs="Arial"/>
          <w:color w:val="000000" w:themeColor="text1"/>
        </w:rPr>
      </w:pPr>
      <w:r w:rsidRPr="003620FC">
        <w:rPr>
          <w:rFonts w:ascii="Arial" w:hAnsi="Arial" w:cs="Arial"/>
          <w:color w:val="000000" w:themeColor="text1"/>
        </w:rPr>
        <w:t>[</w:t>
      </w:r>
      <w:r w:rsidR="00131B2F" w:rsidRPr="003620FC">
        <w:rPr>
          <w:rFonts w:ascii="Arial" w:hAnsi="Arial" w:cs="Arial"/>
          <w:color w:val="000000" w:themeColor="text1"/>
        </w:rPr>
        <w:t>18</w:t>
      </w:r>
      <w:r w:rsidRPr="003620FC">
        <w:rPr>
          <w:rFonts w:ascii="Arial" w:hAnsi="Arial" w:cs="Arial"/>
          <w:color w:val="000000" w:themeColor="text1"/>
        </w:rPr>
        <w:t>] T. Davenport, J. Harris and J. Shapiro, “Competing on Talent Analytics,” Harvard Business Review, 2010.</w:t>
      </w:r>
    </w:p>
    <w:p w14:paraId="04A3F08B" w14:textId="7B66F5B9" w:rsidR="00D651F9" w:rsidRPr="00732FF9" w:rsidRDefault="00D651F9" w:rsidP="00D651F9">
      <w:pPr>
        <w:spacing w:line="360" w:lineRule="auto"/>
        <w:rPr>
          <w:rFonts w:ascii="Arial" w:hAnsi="Arial" w:cs="Arial"/>
          <w:color w:val="000000" w:themeColor="text1"/>
        </w:rPr>
      </w:pPr>
      <w:r w:rsidRPr="00732FF9">
        <w:rPr>
          <w:rFonts w:ascii="Arial" w:hAnsi="Arial" w:cs="Arial"/>
          <w:color w:val="000000" w:themeColor="text1"/>
        </w:rPr>
        <w:t xml:space="preserve">[19] CIPD, “Technology, AI and the future of work,” 2025. [Online]. Available: </w:t>
      </w:r>
      <w:hyperlink r:id="rId16" w:history="1">
        <w:r w:rsidRPr="00732FF9">
          <w:rPr>
            <w:rStyle w:val="Hyperlink"/>
            <w:rFonts w:ascii="Arial" w:hAnsi="Arial" w:cs="Arial"/>
            <w:color w:val="000000" w:themeColor="text1"/>
          </w:rPr>
          <w:t>https://www.cipd.org/en/knowledge/factsheets/emerging-future-work-factsheet/</w:t>
        </w:r>
      </w:hyperlink>
      <w:r w:rsidRPr="00732FF9">
        <w:rPr>
          <w:rFonts w:ascii="Arial" w:hAnsi="Arial" w:cs="Arial"/>
          <w:color w:val="000000" w:themeColor="text1"/>
        </w:rPr>
        <w:t xml:space="preserve">  [Accessed April 5, 2026].</w:t>
      </w:r>
    </w:p>
    <w:p w14:paraId="2F348767" w14:textId="6BB96173" w:rsidR="00D651F9" w:rsidRPr="00732FF9" w:rsidRDefault="00D651F9" w:rsidP="00D651F9">
      <w:pPr>
        <w:spacing w:line="360" w:lineRule="auto"/>
        <w:rPr>
          <w:rFonts w:ascii="Arial" w:hAnsi="Arial" w:cs="Arial"/>
          <w:color w:val="000000" w:themeColor="text1"/>
        </w:rPr>
      </w:pPr>
      <w:r w:rsidRPr="00732FF9">
        <w:rPr>
          <w:rFonts w:ascii="Arial" w:hAnsi="Arial" w:cs="Arial"/>
          <w:color w:val="000000" w:themeColor="text1"/>
        </w:rPr>
        <w:t xml:space="preserve">[20] CIPD, “Evolution of the people profession,” 2025. [Online]. Available: </w:t>
      </w:r>
      <w:hyperlink r:id="rId17" w:history="1">
        <w:r w:rsidRPr="00732FF9">
          <w:rPr>
            <w:rStyle w:val="Hyperlink"/>
            <w:rFonts w:ascii="Arial" w:hAnsi="Arial" w:cs="Arial"/>
            <w:color w:val="000000" w:themeColor="text1"/>
          </w:rPr>
          <w:t>https://www.cipd.org/en/views-and-insights/thought-leadership/insight/evolution-people-profession/</w:t>
        </w:r>
      </w:hyperlink>
      <w:r w:rsidRPr="00732FF9">
        <w:rPr>
          <w:rFonts w:ascii="Arial" w:hAnsi="Arial" w:cs="Arial"/>
          <w:color w:val="000000" w:themeColor="text1"/>
        </w:rPr>
        <w:t xml:space="preserve">  [Accessed April 5, 2026].</w:t>
      </w:r>
    </w:p>
    <w:p w14:paraId="37C5FD87" w14:textId="4734FBEA" w:rsidR="00D651F9" w:rsidRPr="00732FF9" w:rsidRDefault="00D651F9" w:rsidP="00D651F9">
      <w:pPr>
        <w:spacing w:line="360" w:lineRule="auto"/>
        <w:rPr>
          <w:rFonts w:ascii="Arial" w:hAnsi="Arial" w:cs="Arial"/>
          <w:color w:val="000000" w:themeColor="text1"/>
        </w:rPr>
      </w:pPr>
      <w:r w:rsidRPr="00732FF9">
        <w:rPr>
          <w:rFonts w:ascii="Arial" w:hAnsi="Arial" w:cs="Arial"/>
          <w:color w:val="000000" w:themeColor="text1"/>
        </w:rPr>
        <w:lastRenderedPageBreak/>
        <w:t xml:space="preserve">[21] Deloitte, “Stagility: Creating stability for workers while creating agility for organizations to thrive,” 2025. [Online]. Available: </w:t>
      </w:r>
      <w:hyperlink r:id="rId18" w:history="1">
        <w:r w:rsidRPr="00732FF9">
          <w:rPr>
            <w:rStyle w:val="Hyperlink"/>
            <w:rFonts w:ascii="Arial" w:hAnsi="Arial" w:cs="Arial"/>
            <w:color w:val="000000" w:themeColor="text1"/>
          </w:rPr>
          <w:t>https://www.deloitte.com/us/en/insights/focus/human-capital-trends/2025/organizational-agility-and-creating-stability-at-work.html</w:t>
        </w:r>
      </w:hyperlink>
      <w:r w:rsidRPr="00732FF9">
        <w:rPr>
          <w:rFonts w:ascii="Arial" w:hAnsi="Arial" w:cs="Arial"/>
          <w:color w:val="000000" w:themeColor="text1"/>
        </w:rPr>
        <w:t xml:space="preserve">  [Accessed April 7, 2026].</w:t>
      </w:r>
    </w:p>
    <w:p w14:paraId="768D9802" w14:textId="04BC7C89" w:rsidR="00D651F9" w:rsidRPr="00732FF9" w:rsidRDefault="00D651F9" w:rsidP="00D651F9">
      <w:pPr>
        <w:spacing w:line="360" w:lineRule="auto"/>
        <w:rPr>
          <w:rFonts w:ascii="Arial" w:hAnsi="Arial" w:cs="Arial"/>
          <w:color w:val="000000" w:themeColor="text1"/>
        </w:rPr>
      </w:pPr>
      <w:r w:rsidRPr="00732FF9">
        <w:rPr>
          <w:rFonts w:ascii="Arial" w:hAnsi="Arial" w:cs="Arial"/>
          <w:color w:val="000000" w:themeColor="text1"/>
        </w:rPr>
        <w:t xml:space="preserve">[22] CIPD, “Generative AI at work: can it deliver the productivity boost the UK needs?,” 2026. [Online]. Available: </w:t>
      </w:r>
      <w:hyperlink r:id="rId19" w:history="1">
        <w:r w:rsidRPr="00732FF9">
          <w:rPr>
            <w:rStyle w:val="Hyperlink"/>
            <w:rFonts w:ascii="Arial" w:hAnsi="Arial" w:cs="Arial"/>
            <w:color w:val="000000" w:themeColor="text1"/>
          </w:rPr>
          <w:t>https://www.cipd.org/en/about/blogs/can-AI-deliver-productivity-boost-UK-needs/</w:t>
        </w:r>
      </w:hyperlink>
      <w:r w:rsidRPr="00732FF9">
        <w:rPr>
          <w:rFonts w:ascii="Arial" w:hAnsi="Arial" w:cs="Arial"/>
          <w:color w:val="000000" w:themeColor="text1"/>
        </w:rPr>
        <w:t xml:space="preserve">  [Accessed April 7, 2026].</w:t>
      </w:r>
    </w:p>
    <w:p w14:paraId="652518C5" w14:textId="77777777" w:rsidR="00101186" w:rsidRPr="00732FF9" w:rsidRDefault="00101186" w:rsidP="00101186">
      <w:pPr>
        <w:spacing w:line="360" w:lineRule="auto"/>
        <w:rPr>
          <w:rFonts w:ascii="Arial" w:hAnsi="Arial" w:cs="Arial"/>
          <w:color w:val="000000" w:themeColor="text1"/>
        </w:rPr>
      </w:pPr>
    </w:p>
    <w:p w14:paraId="7DA88671" w14:textId="77777777" w:rsidR="00101186" w:rsidRDefault="00101186" w:rsidP="00101186">
      <w:pPr>
        <w:spacing w:line="360" w:lineRule="auto"/>
        <w:rPr>
          <w:rFonts w:ascii="Arial" w:hAnsi="Arial" w:cs="Arial"/>
          <w:color w:val="000000" w:themeColor="text1"/>
        </w:rPr>
      </w:pPr>
    </w:p>
    <w:p w14:paraId="75844EC9" w14:textId="77777777" w:rsidR="00101186" w:rsidRDefault="00101186" w:rsidP="00101186">
      <w:pPr>
        <w:spacing w:line="360" w:lineRule="auto"/>
        <w:rPr>
          <w:rFonts w:ascii="Arial" w:hAnsi="Arial" w:cs="Arial"/>
          <w:color w:val="000000" w:themeColor="text1"/>
        </w:rPr>
      </w:pPr>
    </w:p>
    <w:p w14:paraId="6B0E422F" w14:textId="77777777" w:rsidR="0064394D" w:rsidRDefault="0064394D" w:rsidP="0064394D">
      <w:pPr>
        <w:pStyle w:val="Heading1"/>
        <w:spacing w:line="360" w:lineRule="auto"/>
        <w:rPr>
          <w:rFonts w:ascii="Arial" w:hAnsi="Arial" w:cs="Arial"/>
          <w:color w:val="000000" w:themeColor="text1"/>
          <w:sz w:val="32"/>
          <w:szCs w:val="32"/>
        </w:rPr>
        <w:sectPr w:rsidR="0064394D" w:rsidSect="00731E12">
          <w:pgSz w:w="12240" w:h="15840"/>
          <w:pgMar w:top="1701" w:right="1440" w:bottom="1701" w:left="1440" w:header="720" w:footer="720" w:gutter="0"/>
          <w:cols w:space="720"/>
          <w:noEndnote/>
        </w:sectPr>
      </w:pPr>
    </w:p>
    <w:p w14:paraId="3DE513DD" w14:textId="57C26BD2" w:rsidR="00101186" w:rsidRPr="0064394D" w:rsidRDefault="00101186" w:rsidP="0064394D">
      <w:pPr>
        <w:pStyle w:val="Heading1"/>
        <w:spacing w:line="360" w:lineRule="auto"/>
        <w:rPr>
          <w:rFonts w:ascii="Arial" w:hAnsi="Arial" w:cs="Arial"/>
          <w:color w:val="000000" w:themeColor="text1"/>
          <w:sz w:val="32"/>
          <w:szCs w:val="32"/>
        </w:rPr>
      </w:pPr>
      <w:bookmarkStart w:id="17" w:name="_Toc227354553"/>
      <w:r w:rsidRPr="0064394D">
        <w:rPr>
          <w:rFonts w:ascii="Arial" w:hAnsi="Arial" w:cs="Arial"/>
          <w:color w:val="000000" w:themeColor="text1"/>
          <w:sz w:val="32"/>
          <w:szCs w:val="32"/>
        </w:rPr>
        <w:lastRenderedPageBreak/>
        <w:t>Appendix A: HR Technology Investment Appraisal Summary</w:t>
      </w:r>
      <w:bookmarkEnd w:id="17"/>
      <w:r w:rsidRPr="0064394D">
        <w:rPr>
          <w:rFonts w:ascii="Arial" w:hAnsi="Arial" w:cs="Arial"/>
          <w:color w:val="000000" w:themeColor="text1"/>
          <w:sz w:val="32"/>
          <w:szCs w:val="32"/>
        </w:rPr>
        <w:t xml:space="preserve">  </w:t>
      </w:r>
    </w:p>
    <w:tbl>
      <w:tblPr>
        <w:tblW w:w="10860" w:type="dxa"/>
        <w:tblInd w:w="-714" w:type="dxa"/>
        <w:tblLook w:val="04A0" w:firstRow="1" w:lastRow="0" w:firstColumn="1" w:lastColumn="0" w:noHBand="0" w:noVBand="1"/>
      </w:tblPr>
      <w:tblGrid>
        <w:gridCol w:w="2460"/>
        <w:gridCol w:w="4200"/>
        <w:gridCol w:w="4200"/>
      </w:tblGrid>
      <w:tr w:rsidR="00732FF9" w:rsidRPr="00732FF9" w14:paraId="46FB0D12" w14:textId="77777777" w:rsidTr="00732FF9">
        <w:trPr>
          <w:trHeight w:val="480"/>
        </w:trPr>
        <w:tc>
          <w:tcPr>
            <w:tcW w:w="2460" w:type="dxa"/>
            <w:tcBorders>
              <w:top w:val="single" w:sz="4" w:space="0" w:color="auto"/>
              <w:left w:val="single" w:sz="4" w:space="0" w:color="auto"/>
              <w:bottom w:val="single" w:sz="4" w:space="0" w:color="auto"/>
              <w:right w:val="single" w:sz="4" w:space="0" w:color="auto"/>
            </w:tcBorders>
            <w:shd w:val="clear" w:color="000000" w:fill="000000"/>
            <w:vAlign w:val="center"/>
            <w:hideMark/>
          </w:tcPr>
          <w:p w14:paraId="5ADC528D" w14:textId="77777777" w:rsidR="00732FF9" w:rsidRPr="00732FF9" w:rsidRDefault="00732FF9" w:rsidP="00732FF9">
            <w:pPr>
              <w:spacing w:after="0" w:line="240" w:lineRule="auto"/>
              <w:jc w:val="center"/>
              <w:rPr>
                <w:rFonts w:ascii="Arial" w:eastAsia="Times New Roman" w:hAnsi="Arial" w:cs="Arial"/>
                <w:b/>
                <w:bCs/>
                <w:color w:val="FFFFFF"/>
                <w:kern w:val="0"/>
                <w:sz w:val="22"/>
                <w:szCs w:val="22"/>
                <w14:ligatures w14:val="none"/>
              </w:rPr>
            </w:pPr>
            <w:r w:rsidRPr="00732FF9">
              <w:rPr>
                <w:rFonts w:ascii="Arial" w:eastAsia="Times New Roman" w:hAnsi="Arial" w:cs="Arial"/>
                <w:b/>
                <w:bCs/>
                <w:color w:val="FFFFFF"/>
                <w:kern w:val="0"/>
                <w:sz w:val="22"/>
                <w:szCs w:val="22"/>
                <w14:ligatures w14:val="none"/>
              </w:rPr>
              <w:t>Criteria</w:t>
            </w:r>
          </w:p>
        </w:tc>
        <w:tc>
          <w:tcPr>
            <w:tcW w:w="4200" w:type="dxa"/>
            <w:tcBorders>
              <w:top w:val="single" w:sz="4" w:space="0" w:color="auto"/>
              <w:left w:val="nil"/>
              <w:bottom w:val="single" w:sz="4" w:space="0" w:color="auto"/>
              <w:right w:val="single" w:sz="4" w:space="0" w:color="auto"/>
            </w:tcBorders>
            <w:shd w:val="clear" w:color="000000" w:fill="000000"/>
            <w:vAlign w:val="center"/>
            <w:hideMark/>
          </w:tcPr>
          <w:p w14:paraId="5157D672" w14:textId="77777777" w:rsidR="00732FF9" w:rsidRPr="00732FF9" w:rsidRDefault="00732FF9" w:rsidP="00732FF9">
            <w:pPr>
              <w:spacing w:after="0" w:line="240" w:lineRule="auto"/>
              <w:jc w:val="center"/>
              <w:rPr>
                <w:rFonts w:ascii="Arial" w:eastAsia="Times New Roman" w:hAnsi="Arial" w:cs="Arial"/>
                <w:b/>
                <w:bCs/>
                <w:color w:val="FFFFFF"/>
                <w:kern w:val="0"/>
                <w:sz w:val="22"/>
                <w:szCs w:val="22"/>
                <w14:ligatures w14:val="none"/>
              </w:rPr>
            </w:pPr>
            <w:r w:rsidRPr="00732FF9">
              <w:rPr>
                <w:rFonts w:ascii="Arial" w:eastAsia="Times New Roman" w:hAnsi="Arial" w:cs="Arial"/>
                <w:b/>
                <w:bCs/>
                <w:color w:val="FFFFFF"/>
                <w:kern w:val="0"/>
                <w:sz w:val="22"/>
                <w:szCs w:val="22"/>
                <w14:ligatures w14:val="none"/>
              </w:rPr>
              <w:t>Culture Amp (Employee Engagement)</w:t>
            </w:r>
          </w:p>
        </w:tc>
        <w:tc>
          <w:tcPr>
            <w:tcW w:w="4200" w:type="dxa"/>
            <w:tcBorders>
              <w:top w:val="single" w:sz="4" w:space="0" w:color="auto"/>
              <w:left w:val="nil"/>
              <w:bottom w:val="single" w:sz="4" w:space="0" w:color="auto"/>
              <w:right w:val="single" w:sz="4" w:space="0" w:color="auto"/>
            </w:tcBorders>
            <w:shd w:val="clear" w:color="000000" w:fill="000000"/>
            <w:vAlign w:val="center"/>
            <w:hideMark/>
          </w:tcPr>
          <w:p w14:paraId="31CAAA7B" w14:textId="77777777" w:rsidR="00732FF9" w:rsidRPr="00732FF9" w:rsidRDefault="00732FF9" w:rsidP="00732FF9">
            <w:pPr>
              <w:spacing w:after="0" w:line="240" w:lineRule="auto"/>
              <w:jc w:val="center"/>
              <w:rPr>
                <w:rFonts w:ascii="Arial" w:eastAsia="Times New Roman" w:hAnsi="Arial" w:cs="Arial"/>
                <w:b/>
                <w:bCs/>
                <w:color w:val="FFFFFF"/>
                <w:kern w:val="0"/>
                <w:sz w:val="22"/>
                <w:szCs w:val="22"/>
                <w14:ligatures w14:val="none"/>
              </w:rPr>
            </w:pPr>
            <w:r w:rsidRPr="00732FF9">
              <w:rPr>
                <w:rFonts w:ascii="Arial" w:eastAsia="Times New Roman" w:hAnsi="Arial" w:cs="Arial"/>
                <w:b/>
                <w:bCs/>
                <w:color w:val="FFFFFF"/>
                <w:kern w:val="0"/>
                <w:sz w:val="22"/>
                <w:szCs w:val="22"/>
                <w14:ligatures w14:val="none"/>
              </w:rPr>
              <w:t>Workday HCM (Retention Analytics)</w:t>
            </w:r>
          </w:p>
        </w:tc>
      </w:tr>
      <w:tr w:rsidR="00732FF9" w:rsidRPr="00732FF9" w14:paraId="19A06AA5" w14:textId="77777777" w:rsidTr="00732FF9">
        <w:trPr>
          <w:trHeight w:val="600"/>
        </w:trPr>
        <w:tc>
          <w:tcPr>
            <w:tcW w:w="2460" w:type="dxa"/>
            <w:tcBorders>
              <w:top w:val="nil"/>
              <w:left w:val="single" w:sz="4" w:space="0" w:color="auto"/>
              <w:bottom w:val="single" w:sz="4" w:space="0" w:color="auto"/>
              <w:right w:val="single" w:sz="4" w:space="0" w:color="auto"/>
            </w:tcBorders>
            <w:shd w:val="clear" w:color="000000" w:fill="ADADAD"/>
            <w:vAlign w:val="center"/>
            <w:hideMark/>
          </w:tcPr>
          <w:p w14:paraId="283143F5" w14:textId="77777777" w:rsidR="00732FF9" w:rsidRPr="00732FF9" w:rsidRDefault="00732FF9" w:rsidP="00732FF9">
            <w:pPr>
              <w:spacing w:after="0" w:line="240" w:lineRule="auto"/>
              <w:jc w:val="right"/>
              <w:rPr>
                <w:rFonts w:ascii="Arial" w:eastAsia="Times New Roman" w:hAnsi="Arial" w:cs="Arial"/>
                <w:b/>
                <w:bCs/>
                <w:color w:val="000000"/>
                <w:kern w:val="0"/>
                <w:sz w:val="22"/>
                <w:szCs w:val="22"/>
                <w14:ligatures w14:val="none"/>
              </w:rPr>
            </w:pPr>
            <w:r w:rsidRPr="00732FF9">
              <w:rPr>
                <w:rFonts w:ascii="Arial" w:eastAsia="Times New Roman" w:hAnsi="Arial" w:cs="Arial"/>
                <w:b/>
                <w:bCs/>
                <w:color w:val="000000"/>
                <w:kern w:val="0"/>
                <w:sz w:val="22"/>
                <w:szCs w:val="22"/>
                <w14:ligatures w14:val="none"/>
              </w:rPr>
              <w:t>Primary Purpose</w:t>
            </w:r>
          </w:p>
        </w:tc>
        <w:tc>
          <w:tcPr>
            <w:tcW w:w="4200" w:type="dxa"/>
            <w:tcBorders>
              <w:top w:val="nil"/>
              <w:left w:val="nil"/>
              <w:bottom w:val="single" w:sz="4" w:space="0" w:color="auto"/>
              <w:right w:val="single" w:sz="4" w:space="0" w:color="auto"/>
            </w:tcBorders>
            <w:vAlign w:val="center"/>
            <w:hideMark/>
          </w:tcPr>
          <w:p w14:paraId="0508CE5F"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Enables continuous employee engagement and real-time feedback mechanisms</w:t>
            </w:r>
          </w:p>
        </w:tc>
        <w:tc>
          <w:tcPr>
            <w:tcW w:w="4200" w:type="dxa"/>
            <w:tcBorders>
              <w:top w:val="nil"/>
              <w:left w:val="nil"/>
              <w:bottom w:val="single" w:sz="4" w:space="0" w:color="auto"/>
              <w:right w:val="single" w:sz="4" w:space="0" w:color="auto"/>
            </w:tcBorders>
            <w:vAlign w:val="center"/>
            <w:hideMark/>
          </w:tcPr>
          <w:p w14:paraId="3DE1C71D"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Utilises predictive analytics to support proactive employee retention strategies</w:t>
            </w:r>
          </w:p>
        </w:tc>
      </w:tr>
      <w:tr w:rsidR="00732FF9" w:rsidRPr="00732FF9" w14:paraId="01B9F7D4" w14:textId="77777777" w:rsidTr="00732FF9">
        <w:trPr>
          <w:trHeight w:val="900"/>
        </w:trPr>
        <w:tc>
          <w:tcPr>
            <w:tcW w:w="2460" w:type="dxa"/>
            <w:tcBorders>
              <w:top w:val="nil"/>
              <w:left w:val="single" w:sz="4" w:space="0" w:color="auto"/>
              <w:bottom w:val="single" w:sz="4" w:space="0" w:color="auto"/>
              <w:right w:val="single" w:sz="4" w:space="0" w:color="auto"/>
            </w:tcBorders>
            <w:shd w:val="clear" w:color="000000" w:fill="ADADAD"/>
            <w:vAlign w:val="center"/>
            <w:hideMark/>
          </w:tcPr>
          <w:p w14:paraId="3A27FDE1" w14:textId="77777777" w:rsidR="00732FF9" w:rsidRPr="00732FF9" w:rsidRDefault="00732FF9" w:rsidP="00732FF9">
            <w:pPr>
              <w:spacing w:after="0" w:line="240" w:lineRule="auto"/>
              <w:jc w:val="right"/>
              <w:rPr>
                <w:rFonts w:ascii="Arial" w:eastAsia="Times New Roman" w:hAnsi="Arial" w:cs="Arial"/>
                <w:b/>
                <w:bCs/>
                <w:color w:val="000000"/>
                <w:kern w:val="0"/>
                <w:sz w:val="22"/>
                <w:szCs w:val="22"/>
                <w14:ligatures w14:val="none"/>
              </w:rPr>
            </w:pPr>
            <w:r w:rsidRPr="00732FF9">
              <w:rPr>
                <w:rFonts w:ascii="Arial" w:eastAsia="Times New Roman" w:hAnsi="Arial" w:cs="Arial"/>
                <w:b/>
                <w:bCs/>
                <w:color w:val="000000"/>
                <w:kern w:val="0"/>
                <w:sz w:val="22"/>
                <w:szCs w:val="22"/>
                <w14:ligatures w14:val="none"/>
              </w:rPr>
              <w:t>Key Features</w:t>
            </w:r>
          </w:p>
        </w:tc>
        <w:tc>
          <w:tcPr>
            <w:tcW w:w="4200" w:type="dxa"/>
            <w:tcBorders>
              <w:top w:val="nil"/>
              <w:left w:val="nil"/>
              <w:bottom w:val="single" w:sz="4" w:space="0" w:color="auto"/>
              <w:right w:val="single" w:sz="4" w:space="0" w:color="auto"/>
            </w:tcBorders>
            <w:vAlign w:val="center"/>
            <w:hideMark/>
          </w:tcPr>
          <w:p w14:paraId="2B437496"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Pulse surveys, real-time feedback, and engagement analytics that support ongoing monitoring of employee sentiment</w:t>
            </w:r>
          </w:p>
        </w:tc>
        <w:tc>
          <w:tcPr>
            <w:tcW w:w="4200" w:type="dxa"/>
            <w:tcBorders>
              <w:top w:val="nil"/>
              <w:left w:val="nil"/>
              <w:bottom w:val="single" w:sz="4" w:space="0" w:color="auto"/>
              <w:right w:val="single" w:sz="4" w:space="0" w:color="auto"/>
            </w:tcBorders>
            <w:vAlign w:val="center"/>
            <w:hideMark/>
          </w:tcPr>
          <w:p w14:paraId="55DC5BC8"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Workforce analytics, turnover prediction, and integrated HR data systems enabling advanced workforce insights</w:t>
            </w:r>
          </w:p>
        </w:tc>
      </w:tr>
      <w:tr w:rsidR="00732FF9" w:rsidRPr="00732FF9" w14:paraId="64DCACA4" w14:textId="77777777" w:rsidTr="00732FF9">
        <w:trPr>
          <w:trHeight w:val="1200"/>
        </w:trPr>
        <w:tc>
          <w:tcPr>
            <w:tcW w:w="2460" w:type="dxa"/>
            <w:tcBorders>
              <w:top w:val="nil"/>
              <w:left w:val="single" w:sz="4" w:space="0" w:color="auto"/>
              <w:bottom w:val="single" w:sz="4" w:space="0" w:color="auto"/>
              <w:right w:val="single" w:sz="4" w:space="0" w:color="auto"/>
            </w:tcBorders>
            <w:shd w:val="clear" w:color="000000" w:fill="ADADAD"/>
            <w:vAlign w:val="center"/>
            <w:hideMark/>
          </w:tcPr>
          <w:p w14:paraId="56653045" w14:textId="77777777" w:rsidR="00732FF9" w:rsidRPr="00732FF9" w:rsidRDefault="00732FF9" w:rsidP="00732FF9">
            <w:pPr>
              <w:spacing w:after="0" w:line="240" w:lineRule="auto"/>
              <w:jc w:val="right"/>
              <w:rPr>
                <w:rFonts w:ascii="Arial" w:eastAsia="Times New Roman" w:hAnsi="Arial" w:cs="Arial"/>
                <w:b/>
                <w:bCs/>
                <w:color w:val="000000"/>
                <w:kern w:val="0"/>
                <w:sz w:val="22"/>
                <w:szCs w:val="22"/>
                <w14:ligatures w14:val="none"/>
              </w:rPr>
            </w:pPr>
            <w:r w:rsidRPr="00732FF9">
              <w:rPr>
                <w:rFonts w:ascii="Arial" w:eastAsia="Times New Roman" w:hAnsi="Arial" w:cs="Arial"/>
                <w:b/>
                <w:bCs/>
                <w:color w:val="000000"/>
                <w:kern w:val="0"/>
                <w:sz w:val="22"/>
                <w:szCs w:val="22"/>
                <w14:ligatures w14:val="none"/>
              </w:rPr>
              <w:t>Organisational Value</w:t>
            </w:r>
          </w:p>
        </w:tc>
        <w:tc>
          <w:tcPr>
            <w:tcW w:w="4200" w:type="dxa"/>
            <w:tcBorders>
              <w:top w:val="nil"/>
              <w:left w:val="nil"/>
              <w:bottom w:val="single" w:sz="4" w:space="0" w:color="auto"/>
              <w:right w:val="single" w:sz="4" w:space="0" w:color="auto"/>
            </w:tcBorders>
            <w:vAlign w:val="center"/>
            <w:hideMark/>
          </w:tcPr>
          <w:p w14:paraId="02F9A003"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Improves internal communication and enables early identification of engagement issues, supporting proactive managerial intervention</w:t>
            </w:r>
          </w:p>
        </w:tc>
        <w:tc>
          <w:tcPr>
            <w:tcW w:w="4200" w:type="dxa"/>
            <w:tcBorders>
              <w:top w:val="nil"/>
              <w:left w:val="nil"/>
              <w:bottom w:val="single" w:sz="4" w:space="0" w:color="auto"/>
              <w:right w:val="single" w:sz="4" w:space="0" w:color="auto"/>
            </w:tcBorders>
            <w:vAlign w:val="center"/>
            <w:hideMark/>
          </w:tcPr>
          <w:p w14:paraId="3D7C4E82"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Reduces employee turnover and enables proactive, data-driven HR decision-making</w:t>
            </w:r>
          </w:p>
        </w:tc>
      </w:tr>
      <w:tr w:rsidR="00732FF9" w:rsidRPr="00732FF9" w14:paraId="43A5B31D" w14:textId="77777777" w:rsidTr="00732FF9">
        <w:trPr>
          <w:trHeight w:val="900"/>
        </w:trPr>
        <w:tc>
          <w:tcPr>
            <w:tcW w:w="2460" w:type="dxa"/>
            <w:tcBorders>
              <w:top w:val="nil"/>
              <w:left w:val="single" w:sz="4" w:space="0" w:color="auto"/>
              <w:bottom w:val="single" w:sz="4" w:space="0" w:color="auto"/>
              <w:right w:val="single" w:sz="4" w:space="0" w:color="auto"/>
            </w:tcBorders>
            <w:shd w:val="clear" w:color="000000" w:fill="ADADAD"/>
            <w:vAlign w:val="center"/>
            <w:hideMark/>
          </w:tcPr>
          <w:p w14:paraId="00D7F124" w14:textId="77777777" w:rsidR="00732FF9" w:rsidRPr="00732FF9" w:rsidRDefault="00732FF9" w:rsidP="00732FF9">
            <w:pPr>
              <w:spacing w:after="0" w:line="240" w:lineRule="auto"/>
              <w:jc w:val="right"/>
              <w:rPr>
                <w:rFonts w:ascii="Arial" w:eastAsia="Times New Roman" w:hAnsi="Arial" w:cs="Arial"/>
                <w:b/>
                <w:bCs/>
                <w:color w:val="000000"/>
                <w:kern w:val="0"/>
                <w:sz w:val="22"/>
                <w:szCs w:val="22"/>
                <w14:ligatures w14:val="none"/>
              </w:rPr>
            </w:pPr>
            <w:r w:rsidRPr="00732FF9">
              <w:rPr>
                <w:rFonts w:ascii="Arial" w:eastAsia="Times New Roman" w:hAnsi="Arial" w:cs="Arial"/>
                <w:b/>
                <w:bCs/>
                <w:color w:val="000000"/>
                <w:kern w:val="0"/>
                <w:sz w:val="22"/>
                <w:szCs w:val="22"/>
                <w14:ligatures w14:val="none"/>
              </w:rPr>
              <w:t>Competitive Advantage</w:t>
            </w:r>
          </w:p>
        </w:tc>
        <w:tc>
          <w:tcPr>
            <w:tcW w:w="4200" w:type="dxa"/>
            <w:tcBorders>
              <w:top w:val="nil"/>
              <w:left w:val="nil"/>
              <w:bottom w:val="single" w:sz="4" w:space="0" w:color="auto"/>
              <w:right w:val="single" w:sz="4" w:space="0" w:color="auto"/>
            </w:tcBorders>
            <w:vAlign w:val="center"/>
            <w:hideMark/>
          </w:tcPr>
          <w:p w14:paraId="774A9238"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Enhances employee experience and productivity, contributing to improved operational performance</w:t>
            </w:r>
          </w:p>
        </w:tc>
        <w:tc>
          <w:tcPr>
            <w:tcW w:w="4200" w:type="dxa"/>
            <w:tcBorders>
              <w:top w:val="nil"/>
              <w:left w:val="nil"/>
              <w:bottom w:val="single" w:sz="4" w:space="0" w:color="auto"/>
              <w:right w:val="single" w:sz="4" w:space="0" w:color="auto"/>
            </w:tcBorders>
            <w:vAlign w:val="center"/>
            <w:hideMark/>
          </w:tcPr>
          <w:p w14:paraId="02D86BA1"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Strengthens workforce stability and enhances strategic workforce planning capability</w:t>
            </w:r>
          </w:p>
        </w:tc>
      </w:tr>
      <w:tr w:rsidR="00732FF9" w:rsidRPr="00732FF9" w14:paraId="53AF7699" w14:textId="77777777" w:rsidTr="00732FF9">
        <w:trPr>
          <w:trHeight w:val="900"/>
        </w:trPr>
        <w:tc>
          <w:tcPr>
            <w:tcW w:w="2460" w:type="dxa"/>
            <w:tcBorders>
              <w:top w:val="nil"/>
              <w:left w:val="single" w:sz="4" w:space="0" w:color="auto"/>
              <w:bottom w:val="single" w:sz="4" w:space="0" w:color="auto"/>
              <w:right w:val="single" w:sz="4" w:space="0" w:color="auto"/>
            </w:tcBorders>
            <w:shd w:val="clear" w:color="000000" w:fill="ADADAD"/>
            <w:vAlign w:val="center"/>
            <w:hideMark/>
          </w:tcPr>
          <w:p w14:paraId="46D53F25" w14:textId="77777777" w:rsidR="00732FF9" w:rsidRPr="00732FF9" w:rsidRDefault="00732FF9" w:rsidP="00732FF9">
            <w:pPr>
              <w:spacing w:after="0" w:line="240" w:lineRule="auto"/>
              <w:jc w:val="right"/>
              <w:rPr>
                <w:rFonts w:ascii="Arial" w:eastAsia="Times New Roman" w:hAnsi="Arial" w:cs="Arial"/>
                <w:b/>
                <w:bCs/>
                <w:color w:val="000000"/>
                <w:kern w:val="0"/>
                <w:sz w:val="22"/>
                <w:szCs w:val="22"/>
                <w14:ligatures w14:val="none"/>
              </w:rPr>
            </w:pPr>
            <w:r w:rsidRPr="00732FF9">
              <w:rPr>
                <w:rFonts w:ascii="Arial" w:eastAsia="Times New Roman" w:hAnsi="Arial" w:cs="Arial"/>
                <w:b/>
                <w:bCs/>
                <w:color w:val="000000"/>
                <w:kern w:val="0"/>
                <w:sz w:val="22"/>
                <w:szCs w:val="22"/>
                <w14:ligatures w14:val="none"/>
              </w:rPr>
              <w:t>Support for Sustainability</w:t>
            </w:r>
          </w:p>
        </w:tc>
        <w:tc>
          <w:tcPr>
            <w:tcW w:w="4200" w:type="dxa"/>
            <w:tcBorders>
              <w:top w:val="nil"/>
              <w:left w:val="nil"/>
              <w:bottom w:val="single" w:sz="4" w:space="0" w:color="auto"/>
              <w:right w:val="single" w:sz="4" w:space="0" w:color="auto"/>
            </w:tcBorders>
            <w:vAlign w:val="center"/>
            <w:hideMark/>
          </w:tcPr>
          <w:p w14:paraId="7DE45697"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Promotes employee well-being, inclusion, and a supportive organisational culture</w:t>
            </w:r>
          </w:p>
        </w:tc>
        <w:tc>
          <w:tcPr>
            <w:tcW w:w="4200" w:type="dxa"/>
            <w:tcBorders>
              <w:top w:val="nil"/>
              <w:left w:val="nil"/>
              <w:bottom w:val="single" w:sz="4" w:space="0" w:color="auto"/>
              <w:right w:val="single" w:sz="4" w:space="0" w:color="auto"/>
            </w:tcBorders>
            <w:vAlign w:val="center"/>
            <w:hideMark/>
          </w:tcPr>
          <w:p w14:paraId="3BDACB21"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Supports long-term workforce planning and improves resource efficiency through reduced turnover</w:t>
            </w:r>
          </w:p>
        </w:tc>
      </w:tr>
      <w:tr w:rsidR="00732FF9" w:rsidRPr="00732FF9" w14:paraId="3A5CCC26" w14:textId="77777777" w:rsidTr="00732FF9">
        <w:trPr>
          <w:trHeight w:val="900"/>
        </w:trPr>
        <w:tc>
          <w:tcPr>
            <w:tcW w:w="2460" w:type="dxa"/>
            <w:tcBorders>
              <w:top w:val="nil"/>
              <w:left w:val="single" w:sz="4" w:space="0" w:color="auto"/>
              <w:bottom w:val="single" w:sz="4" w:space="0" w:color="auto"/>
              <w:right w:val="single" w:sz="4" w:space="0" w:color="auto"/>
            </w:tcBorders>
            <w:shd w:val="clear" w:color="000000" w:fill="ADADAD"/>
            <w:vAlign w:val="center"/>
            <w:hideMark/>
          </w:tcPr>
          <w:p w14:paraId="0D659B9C" w14:textId="77777777" w:rsidR="00732FF9" w:rsidRPr="00732FF9" w:rsidRDefault="00732FF9" w:rsidP="00732FF9">
            <w:pPr>
              <w:spacing w:after="0" w:line="240" w:lineRule="auto"/>
              <w:jc w:val="right"/>
              <w:rPr>
                <w:rFonts w:ascii="Arial" w:eastAsia="Times New Roman" w:hAnsi="Arial" w:cs="Arial"/>
                <w:b/>
                <w:bCs/>
                <w:color w:val="000000"/>
                <w:kern w:val="0"/>
                <w:sz w:val="22"/>
                <w:szCs w:val="22"/>
                <w14:ligatures w14:val="none"/>
              </w:rPr>
            </w:pPr>
            <w:r w:rsidRPr="00732FF9">
              <w:rPr>
                <w:rFonts w:ascii="Arial" w:eastAsia="Times New Roman" w:hAnsi="Arial" w:cs="Arial"/>
                <w:b/>
                <w:bCs/>
                <w:color w:val="000000"/>
                <w:kern w:val="0"/>
                <w:sz w:val="22"/>
                <w:szCs w:val="22"/>
                <w14:ligatures w14:val="none"/>
              </w:rPr>
              <w:t>Alignment with Organisational Needs</w:t>
            </w:r>
          </w:p>
        </w:tc>
        <w:tc>
          <w:tcPr>
            <w:tcW w:w="4200" w:type="dxa"/>
            <w:tcBorders>
              <w:top w:val="nil"/>
              <w:left w:val="nil"/>
              <w:bottom w:val="single" w:sz="4" w:space="0" w:color="auto"/>
              <w:right w:val="single" w:sz="4" w:space="0" w:color="auto"/>
            </w:tcBorders>
            <w:vAlign w:val="center"/>
            <w:hideMark/>
          </w:tcPr>
          <w:p w14:paraId="0E0F62DA"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Effectively addresses communication gaps and low morale within warehouse-based roles</w:t>
            </w:r>
          </w:p>
        </w:tc>
        <w:tc>
          <w:tcPr>
            <w:tcW w:w="4200" w:type="dxa"/>
            <w:tcBorders>
              <w:top w:val="nil"/>
              <w:left w:val="nil"/>
              <w:bottom w:val="single" w:sz="4" w:space="0" w:color="auto"/>
              <w:right w:val="single" w:sz="4" w:space="0" w:color="auto"/>
            </w:tcBorders>
            <w:vAlign w:val="center"/>
            <w:hideMark/>
          </w:tcPr>
          <w:p w14:paraId="7F4FFAFE"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Identifies turnover risks and supports retention in high-churn operational environments</w:t>
            </w:r>
          </w:p>
        </w:tc>
      </w:tr>
      <w:tr w:rsidR="00732FF9" w:rsidRPr="00732FF9" w14:paraId="6D99E68A" w14:textId="77777777" w:rsidTr="00732FF9">
        <w:trPr>
          <w:trHeight w:val="900"/>
        </w:trPr>
        <w:tc>
          <w:tcPr>
            <w:tcW w:w="2460" w:type="dxa"/>
            <w:tcBorders>
              <w:top w:val="nil"/>
              <w:left w:val="single" w:sz="4" w:space="0" w:color="auto"/>
              <w:bottom w:val="single" w:sz="4" w:space="0" w:color="auto"/>
              <w:right w:val="single" w:sz="4" w:space="0" w:color="auto"/>
            </w:tcBorders>
            <w:shd w:val="clear" w:color="000000" w:fill="ADADAD"/>
            <w:vAlign w:val="center"/>
            <w:hideMark/>
          </w:tcPr>
          <w:p w14:paraId="15109A9C" w14:textId="77777777" w:rsidR="00732FF9" w:rsidRPr="00732FF9" w:rsidRDefault="00732FF9" w:rsidP="00732FF9">
            <w:pPr>
              <w:spacing w:after="0" w:line="240" w:lineRule="auto"/>
              <w:jc w:val="right"/>
              <w:rPr>
                <w:rFonts w:ascii="Arial" w:eastAsia="Times New Roman" w:hAnsi="Arial" w:cs="Arial"/>
                <w:b/>
                <w:bCs/>
                <w:color w:val="000000"/>
                <w:kern w:val="0"/>
                <w:sz w:val="22"/>
                <w:szCs w:val="22"/>
                <w14:ligatures w14:val="none"/>
              </w:rPr>
            </w:pPr>
            <w:r w:rsidRPr="00732FF9">
              <w:rPr>
                <w:rFonts w:ascii="Arial" w:eastAsia="Times New Roman" w:hAnsi="Arial" w:cs="Arial"/>
                <w:b/>
                <w:bCs/>
                <w:color w:val="000000"/>
                <w:kern w:val="0"/>
                <w:sz w:val="22"/>
                <w:szCs w:val="22"/>
                <w14:ligatures w14:val="none"/>
              </w:rPr>
              <w:t>Costs (Estimated)</w:t>
            </w:r>
          </w:p>
        </w:tc>
        <w:tc>
          <w:tcPr>
            <w:tcW w:w="4200" w:type="dxa"/>
            <w:tcBorders>
              <w:top w:val="nil"/>
              <w:left w:val="nil"/>
              <w:bottom w:val="single" w:sz="4" w:space="0" w:color="auto"/>
              <w:right w:val="single" w:sz="4" w:space="0" w:color="auto"/>
            </w:tcBorders>
            <w:vAlign w:val="center"/>
            <w:hideMark/>
          </w:tcPr>
          <w:p w14:paraId="39080D1E"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Medium (£5–10 per employee/month), representing a relatively accessible investment</w:t>
            </w:r>
          </w:p>
        </w:tc>
        <w:tc>
          <w:tcPr>
            <w:tcW w:w="4200" w:type="dxa"/>
            <w:tcBorders>
              <w:top w:val="nil"/>
              <w:left w:val="nil"/>
              <w:bottom w:val="single" w:sz="4" w:space="0" w:color="auto"/>
              <w:right w:val="single" w:sz="4" w:space="0" w:color="auto"/>
            </w:tcBorders>
            <w:vAlign w:val="center"/>
            <w:hideMark/>
          </w:tcPr>
          <w:p w14:paraId="04EC0574"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High (significant initial investment, integration, and ongoing system costs)</w:t>
            </w:r>
          </w:p>
        </w:tc>
      </w:tr>
      <w:tr w:rsidR="00732FF9" w:rsidRPr="00732FF9" w14:paraId="6128BA36" w14:textId="77777777" w:rsidTr="00732FF9">
        <w:trPr>
          <w:trHeight w:val="900"/>
        </w:trPr>
        <w:tc>
          <w:tcPr>
            <w:tcW w:w="2460" w:type="dxa"/>
            <w:tcBorders>
              <w:top w:val="nil"/>
              <w:left w:val="single" w:sz="4" w:space="0" w:color="auto"/>
              <w:bottom w:val="single" w:sz="4" w:space="0" w:color="auto"/>
              <w:right w:val="single" w:sz="4" w:space="0" w:color="auto"/>
            </w:tcBorders>
            <w:shd w:val="clear" w:color="000000" w:fill="ADADAD"/>
            <w:vAlign w:val="center"/>
            <w:hideMark/>
          </w:tcPr>
          <w:p w14:paraId="442E2D33" w14:textId="77777777" w:rsidR="00732FF9" w:rsidRPr="00732FF9" w:rsidRDefault="00732FF9" w:rsidP="00732FF9">
            <w:pPr>
              <w:spacing w:after="0" w:line="240" w:lineRule="auto"/>
              <w:jc w:val="right"/>
              <w:rPr>
                <w:rFonts w:ascii="Arial" w:eastAsia="Times New Roman" w:hAnsi="Arial" w:cs="Arial"/>
                <w:b/>
                <w:bCs/>
                <w:color w:val="000000"/>
                <w:kern w:val="0"/>
                <w:sz w:val="22"/>
                <w:szCs w:val="22"/>
                <w14:ligatures w14:val="none"/>
              </w:rPr>
            </w:pPr>
            <w:r w:rsidRPr="00732FF9">
              <w:rPr>
                <w:rFonts w:ascii="Arial" w:eastAsia="Times New Roman" w:hAnsi="Arial" w:cs="Arial"/>
                <w:b/>
                <w:bCs/>
                <w:color w:val="000000"/>
                <w:kern w:val="0"/>
                <w:sz w:val="22"/>
                <w:szCs w:val="22"/>
                <w14:ligatures w14:val="none"/>
              </w:rPr>
              <w:t>Implementation Complexity</w:t>
            </w:r>
          </w:p>
        </w:tc>
        <w:tc>
          <w:tcPr>
            <w:tcW w:w="4200" w:type="dxa"/>
            <w:tcBorders>
              <w:top w:val="nil"/>
              <w:left w:val="nil"/>
              <w:bottom w:val="single" w:sz="4" w:space="0" w:color="auto"/>
              <w:right w:val="single" w:sz="4" w:space="0" w:color="auto"/>
            </w:tcBorders>
            <w:vAlign w:val="center"/>
            <w:hideMark/>
          </w:tcPr>
          <w:p w14:paraId="3A88DB1D"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Moderate, with relatively user-friendly implementation and faster organisational adoption</w:t>
            </w:r>
          </w:p>
        </w:tc>
        <w:tc>
          <w:tcPr>
            <w:tcW w:w="4200" w:type="dxa"/>
            <w:tcBorders>
              <w:top w:val="nil"/>
              <w:left w:val="nil"/>
              <w:bottom w:val="single" w:sz="4" w:space="0" w:color="auto"/>
              <w:right w:val="single" w:sz="4" w:space="0" w:color="auto"/>
            </w:tcBorders>
            <w:vAlign w:val="center"/>
            <w:hideMark/>
          </w:tcPr>
          <w:p w14:paraId="2F4ABC5B"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High, requiring system integration, staff training, and organisational change management</w:t>
            </w:r>
          </w:p>
        </w:tc>
      </w:tr>
      <w:tr w:rsidR="00732FF9" w:rsidRPr="00732FF9" w14:paraId="6812D804" w14:textId="77777777" w:rsidTr="00732FF9">
        <w:trPr>
          <w:trHeight w:val="900"/>
        </w:trPr>
        <w:tc>
          <w:tcPr>
            <w:tcW w:w="2460" w:type="dxa"/>
            <w:tcBorders>
              <w:top w:val="nil"/>
              <w:left w:val="single" w:sz="4" w:space="0" w:color="auto"/>
              <w:bottom w:val="single" w:sz="4" w:space="0" w:color="auto"/>
              <w:right w:val="single" w:sz="4" w:space="0" w:color="auto"/>
            </w:tcBorders>
            <w:shd w:val="clear" w:color="000000" w:fill="ADADAD"/>
            <w:vAlign w:val="center"/>
            <w:hideMark/>
          </w:tcPr>
          <w:p w14:paraId="727C8A92" w14:textId="77777777" w:rsidR="00732FF9" w:rsidRPr="00732FF9" w:rsidRDefault="00732FF9" w:rsidP="00732FF9">
            <w:pPr>
              <w:spacing w:after="0" w:line="240" w:lineRule="auto"/>
              <w:jc w:val="right"/>
              <w:rPr>
                <w:rFonts w:ascii="Arial" w:eastAsia="Times New Roman" w:hAnsi="Arial" w:cs="Arial"/>
                <w:b/>
                <w:bCs/>
                <w:color w:val="000000"/>
                <w:kern w:val="0"/>
                <w:sz w:val="22"/>
                <w:szCs w:val="22"/>
                <w14:ligatures w14:val="none"/>
              </w:rPr>
            </w:pPr>
            <w:r w:rsidRPr="00732FF9">
              <w:rPr>
                <w:rFonts w:ascii="Arial" w:eastAsia="Times New Roman" w:hAnsi="Arial" w:cs="Arial"/>
                <w:b/>
                <w:bCs/>
                <w:color w:val="000000"/>
                <w:kern w:val="0"/>
                <w:sz w:val="22"/>
                <w:szCs w:val="22"/>
                <w14:ligatures w14:val="none"/>
              </w:rPr>
              <w:t>Risks / Disadvantages</w:t>
            </w:r>
          </w:p>
        </w:tc>
        <w:tc>
          <w:tcPr>
            <w:tcW w:w="4200" w:type="dxa"/>
            <w:tcBorders>
              <w:top w:val="nil"/>
              <w:left w:val="nil"/>
              <w:bottom w:val="single" w:sz="4" w:space="0" w:color="auto"/>
              <w:right w:val="single" w:sz="4" w:space="0" w:color="auto"/>
            </w:tcBorders>
            <w:vAlign w:val="center"/>
            <w:hideMark/>
          </w:tcPr>
          <w:p w14:paraId="2EDD04E4"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Risk of survey fatigue and potential data privacy concerns if not carefully managed</w:t>
            </w:r>
          </w:p>
        </w:tc>
        <w:tc>
          <w:tcPr>
            <w:tcW w:w="4200" w:type="dxa"/>
            <w:tcBorders>
              <w:top w:val="nil"/>
              <w:left w:val="nil"/>
              <w:bottom w:val="single" w:sz="4" w:space="0" w:color="auto"/>
              <w:right w:val="single" w:sz="4" w:space="0" w:color="auto"/>
            </w:tcBorders>
            <w:vAlign w:val="center"/>
            <w:hideMark/>
          </w:tcPr>
          <w:p w14:paraId="7011706C"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Risk of algorithmic bias, employee surveillance concerns, and high financial commitment</w:t>
            </w:r>
          </w:p>
        </w:tc>
      </w:tr>
      <w:tr w:rsidR="00732FF9" w:rsidRPr="00732FF9" w14:paraId="456F7F9B" w14:textId="77777777" w:rsidTr="00732FF9">
        <w:trPr>
          <w:trHeight w:val="900"/>
        </w:trPr>
        <w:tc>
          <w:tcPr>
            <w:tcW w:w="2460" w:type="dxa"/>
            <w:tcBorders>
              <w:top w:val="nil"/>
              <w:left w:val="single" w:sz="4" w:space="0" w:color="auto"/>
              <w:bottom w:val="single" w:sz="4" w:space="0" w:color="auto"/>
              <w:right w:val="single" w:sz="4" w:space="0" w:color="auto"/>
            </w:tcBorders>
            <w:shd w:val="clear" w:color="000000" w:fill="ADADAD"/>
            <w:vAlign w:val="center"/>
            <w:hideMark/>
          </w:tcPr>
          <w:p w14:paraId="35F60A2A" w14:textId="77777777" w:rsidR="00732FF9" w:rsidRPr="00732FF9" w:rsidRDefault="00732FF9" w:rsidP="00732FF9">
            <w:pPr>
              <w:spacing w:after="0" w:line="240" w:lineRule="auto"/>
              <w:jc w:val="right"/>
              <w:rPr>
                <w:rFonts w:ascii="Arial" w:eastAsia="Times New Roman" w:hAnsi="Arial" w:cs="Arial"/>
                <w:b/>
                <w:bCs/>
                <w:color w:val="000000"/>
                <w:kern w:val="0"/>
                <w:sz w:val="22"/>
                <w:szCs w:val="22"/>
                <w14:ligatures w14:val="none"/>
              </w:rPr>
            </w:pPr>
            <w:r w:rsidRPr="00732FF9">
              <w:rPr>
                <w:rFonts w:ascii="Arial" w:eastAsia="Times New Roman" w:hAnsi="Arial" w:cs="Arial"/>
                <w:b/>
                <w:bCs/>
                <w:color w:val="000000"/>
                <w:kern w:val="0"/>
                <w:sz w:val="22"/>
                <w:szCs w:val="22"/>
                <w14:ligatures w14:val="none"/>
              </w:rPr>
              <w:t>Ethical Considerations</w:t>
            </w:r>
          </w:p>
        </w:tc>
        <w:tc>
          <w:tcPr>
            <w:tcW w:w="4200" w:type="dxa"/>
            <w:tcBorders>
              <w:top w:val="nil"/>
              <w:left w:val="nil"/>
              <w:bottom w:val="single" w:sz="4" w:space="0" w:color="auto"/>
              <w:right w:val="single" w:sz="4" w:space="0" w:color="auto"/>
            </w:tcBorders>
            <w:vAlign w:val="center"/>
            <w:hideMark/>
          </w:tcPr>
          <w:p w14:paraId="3AF0B8A3"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Requires transparency in data usage, employee consent, and compliance with GDPR regulations</w:t>
            </w:r>
          </w:p>
        </w:tc>
        <w:tc>
          <w:tcPr>
            <w:tcW w:w="4200" w:type="dxa"/>
            <w:tcBorders>
              <w:top w:val="nil"/>
              <w:left w:val="nil"/>
              <w:bottom w:val="single" w:sz="4" w:space="0" w:color="auto"/>
              <w:right w:val="single" w:sz="4" w:space="0" w:color="auto"/>
            </w:tcBorders>
            <w:vAlign w:val="center"/>
            <w:hideMark/>
          </w:tcPr>
          <w:p w14:paraId="3FE814B7"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Requires careful management of algorithmic fairness, data protection, and avoidance of bias in decision-making</w:t>
            </w:r>
          </w:p>
        </w:tc>
      </w:tr>
      <w:tr w:rsidR="00732FF9" w:rsidRPr="00732FF9" w14:paraId="2072EBE1" w14:textId="77777777" w:rsidTr="00732FF9">
        <w:trPr>
          <w:trHeight w:val="900"/>
        </w:trPr>
        <w:tc>
          <w:tcPr>
            <w:tcW w:w="2460" w:type="dxa"/>
            <w:tcBorders>
              <w:top w:val="nil"/>
              <w:left w:val="single" w:sz="4" w:space="0" w:color="auto"/>
              <w:bottom w:val="single" w:sz="4" w:space="0" w:color="auto"/>
              <w:right w:val="single" w:sz="4" w:space="0" w:color="auto"/>
            </w:tcBorders>
            <w:shd w:val="clear" w:color="000000" w:fill="ADADAD"/>
            <w:vAlign w:val="center"/>
            <w:hideMark/>
          </w:tcPr>
          <w:p w14:paraId="617F2FF4" w14:textId="77777777" w:rsidR="00732FF9" w:rsidRPr="00732FF9" w:rsidRDefault="00732FF9" w:rsidP="00732FF9">
            <w:pPr>
              <w:spacing w:after="0" w:line="240" w:lineRule="auto"/>
              <w:jc w:val="right"/>
              <w:rPr>
                <w:rFonts w:ascii="Arial" w:eastAsia="Times New Roman" w:hAnsi="Arial" w:cs="Arial"/>
                <w:b/>
                <w:bCs/>
                <w:color w:val="000000"/>
                <w:kern w:val="0"/>
                <w:sz w:val="22"/>
                <w:szCs w:val="22"/>
                <w14:ligatures w14:val="none"/>
              </w:rPr>
            </w:pPr>
            <w:r w:rsidRPr="00732FF9">
              <w:rPr>
                <w:rFonts w:ascii="Arial" w:eastAsia="Times New Roman" w:hAnsi="Arial" w:cs="Arial"/>
                <w:b/>
                <w:bCs/>
                <w:color w:val="000000"/>
                <w:kern w:val="0"/>
                <w:sz w:val="22"/>
                <w:szCs w:val="22"/>
                <w14:ligatures w14:val="none"/>
              </w:rPr>
              <w:t>Overall Impact</w:t>
            </w:r>
          </w:p>
        </w:tc>
        <w:tc>
          <w:tcPr>
            <w:tcW w:w="4200" w:type="dxa"/>
            <w:tcBorders>
              <w:top w:val="nil"/>
              <w:left w:val="nil"/>
              <w:bottom w:val="single" w:sz="4" w:space="0" w:color="auto"/>
              <w:right w:val="single" w:sz="4" w:space="0" w:color="auto"/>
            </w:tcBorders>
            <w:vAlign w:val="center"/>
            <w:hideMark/>
          </w:tcPr>
          <w:p w14:paraId="675F8AE4"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Significantly improves employee engagement levels and strengthens organisational culture</w:t>
            </w:r>
          </w:p>
        </w:tc>
        <w:tc>
          <w:tcPr>
            <w:tcW w:w="4200" w:type="dxa"/>
            <w:tcBorders>
              <w:top w:val="nil"/>
              <w:left w:val="nil"/>
              <w:bottom w:val="single" w:sz="4" w:space="0" w:color="auto"/>
              <w:right w:val="single" w:sz="4" w:space="0" w:color="auto"/>
            </w:tcBorders>
            <w:vAlign w:val="center"/>
            <w:hideMark/>
          </w:tcPr>
          <w:p w14:paraId="57603234" w14:textId="77777777" w:rsidR="00732FF9" w:rsidRPr="00732FF9" w:rsidRDefault="00732FF9" w:rsidP="00732FF9">
            <w:pPr>
              <w:spacing w:after="0" w:line="240" w:lineRule="auto"/>
              <w:jc w:val="center"/>
              <w:rPr>
                <w:rFonts w:ascii="Arial" w:eastAsia="Times New Roman" w:hAnsi="Arial" w:cs="Arial"/>
                <w:color w:val="000000"/>
                <w:kern w:val="0"/>
                <w:sz w:val="22"/>
                <w:szCs w:val="22"/>
                <w14:ligatures w14:val="none"/>
              </w:rPr>
            </w:pPr>
            <w:r w:rsidRPr="00732FF9">
              <w:rPr>
                <w:rFonts w:ascii="Arial" w:eastAsia="Times New Roman" w:hAnsi="Arial" w:cs="Arial"/>
                <w:color w:val="000000"/>
                <w:kern w:val="0"/>
                <w:sz w:val="22"/>
                <w:szCs w:val="22"/>
                <w14:ligatures w14:val="none"/>
              </w:rPr>
              <w:t>Enhances employee retention and strengthens strategic workforce management capability</w:t>
            </w:r>
          </w:p>
        </w:tc>
      </w:tr>
    </w:tbl>
    <w:p w14:paraId="62A9D3EA" w14:textId="2F024821" w:rsidR="00101186" w:rsidRPr="003620FC" w:rsidRDefault="00101186" w:rsidP="00101186">
      <w:pPr>
        <w:spacing w:line="360" w:lineRule="auto"/>
        <w:rPr>
          <w:rFonts w:ascii="Arial" w:hAnsi="Arial" w:cs="Arial"/>
          <w:color w:val="000000" w:themeColor="text1"/>
        </w:rPr>
      </w:pPr>
    </w:p>
    <w:sectPr w:rsidR="00101186" w:rsidRPr="003620FC" w:rsidSect="00731E12">
      <w:pgSz w:w="12240" w:h="15840"/>
      <w:pgMar w:top="1701" w:right="1440" w:bottom="1701"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58AAA" w14:textId="77777777" w:rsidR="00A53691" w:rsidRDefault="00A53691" w:rsidP="00086D38">
      <w:pPr>
        <w:spacing w:after="0" w:line="240" w:lineRule="auto"/>
      </w:pPr>
      <w:r>
        <w:separator/>
      </w:r>
    </w:p>
  </w:endnote>
  <w:endnote w:type="continuationSeparator" w:id="0">
    <w:p w14:paraId="1A71F26F" w14:textId="77777777" w:rsidR="00A53691" w:rsidRDefault="00A53691" w:rsidP="00086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34EEE" w14:textId="77777777" w:rsidR="00A53691" w:rsidRDefault="00A53691" w:rsidP="00086D38">
      <w:pPr>
        <w:spacing w:after="0" w:line="240" w:lineRule="auto"/>
      </w:pPr>
      <w:r>
        <w:separator/>
      </w:r>
    </w:p>
  </w:footnote>
  <w:footnote w:type="continuationSeparator" w:id="0">
    <w:p w14:paraId="2AD2DE67" w14:textId="77777777" w:rsidR="00A53691" w:rsidRDefault="00A53691" w:rsidP="00086D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A018B" w14:textId="1EE94463" w:rsidR="00731E12" w:rsidRDefault="00731E12" w:rsidP="00731E12">
    <w:pPr>
      <w:pStyle w:val="Header"/>
      <w:ind w:left="-284" w:firstLine="284"/>
    </w:pPr>
    <w:r>
      <w:rPr>
        <w:noProof/>
      </w:rPr>
      <w:drawing>
        <wp:anchor distT="0" distB="0" distL="114300" distR="114300" simplePos="0" relativeHeight="251658240" behindDoc="1" locked="0" layoutInCell="1" allowOverlap="1" wp14:anchorId="438AE0AB" wp14:editId="6AD21B54">
          <wp:simplePos x="0" y="0"/>
          <wp:positionH relativeFrom="column">
            <wp:posOffset>-567863</wp:posOffset>
          </wp:positionH>
          <wp:positionV relativeFrom="paragraph">
            <wp:posOffset>-179647</wp:posOffset>
          </wp:positionV>
          <wp:extent cx="1205230" cy="399415"/>
          <wp:effectExtent l="0" t="0" r="1270" b="0"/>
          <wp:wrapNone/>
          <wp:docPr id="33107738" name="Picture 1" descr="Prifysgol Cymru Y Drindod Dewi Sant (University of Wales Trinity Saint  David) – UniNet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UniNet proj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5230" cy="399415"/>
                  </a:xfrm>
                  <a:prstGeom prst="rect">
                    <a:avLst/>
                  </a:prstGeom>
                  <a:noFill/>
                  <a:ln>
                    <a:noFill/>
                  </a:ln>
                </pic:spPr>
              </pic:pic>
            </a:graphicData>
          </a:graphic>
          <wp14:sizeRelV relativeFrom="margin">
            <wp14:pctHeight>0</wp14:pctHeight>
          </wp14:sizeRelV>
        </wp:anchor>
      </w:drawing>
    </w:r>
    <w:r>
      <w:fldChar w:fldCharType="begin"/>
    </w:r>
    <w:r>
      <w:instrText xml:space="preserve"> INCLUDEPICTURE "/Users/cristianbatrinu/Library/Group Containers/UBF8T346G9.ms/WebArchiveCopyPasteTempFiles/com.microsoft.Word/16_uwtsd_logo.png" \* MERGEFORMATINET </w:instrText>
    </w:r>
    <w:r>
      <w:fldChar w:fldCharType="separate"/>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FFFFFFFF"/>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FFFFFFFF"/>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FFFFFFFF"/>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FFFFFFF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FFFFFFFF"/>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11"/>
    <w:multiLevelType w:val="hybridMultilevel"/>
    <w:tmpl w:val="FFFFFFFF"/>
    <w:lvl w:ilvl="0" w:tplc="0000064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2"/>
    <w:multiLevelType w:val="hybridMultilevel"/>
    <w:tmpl w:val="FFFFFFFF"/>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FC367C6"/>
    <w:multiLevelType w:val="multilevel"/>
    <w:tmpl w:val="C164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592AA8"/>
    <w:multiLevelType w:val="hybridMultilevel"/>
    <w:tmpl w:val="5A5857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3BC4C42"/>
    <w:multiLevelType w:val="multilevel"/>
    <w:tmpl w:val="959C1F3C"/>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FA3651"/>
    <w:multiLevelType w:val="hybridMultilevel"/>
    <w:tmpl w:val="18E2D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8313664"/>
    <w:multiLevelType w:val="hybridMultilevel"/>
    <w:tmpl w:val="774296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4911290"/>
    <w:multiLevelType w:val="multilevel"/>
    <w:tmpl w:val="BF2C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FC003D"/>
    <w:multiLevelType w:val="hybridMultilevel"/>
    <w:tmpl w:val="7DFCC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300410"/>
    <w:multiLevelType w:val="multilevel"/>
    <w:tmpl w:val="14B4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E53484"/>
    <w:multiLevelType w:val="multilevel"/>
    <w:tmpl w:val="EE20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060830"/>
    <w:multiLevelType w:val="hybridMultilevel"/>
    <w:tmpl w:val="509E1F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9D1535"/>
    <w:multiLevelType w:val="hybridMultilevel"/>
    <w:tmpl w:val="75B642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89B6365"/>
    <w:multiLevelType w:val="multilevel"/>
    <w:tmpl w:val="D24E9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9B07D5"/>
    <w:multiLevelType w:val="hybridMultilevel"/>
    <w:tmpl w:val="5E0A41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26F590E"/>
    <w:multiLevelType w:val="multilevel"/>
    <w:tmpl w:val="6860B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136543"/>
    <w:multiLevelType w:val="multilevel"/>
    <w:tmpl w:val="23222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564B6A"/>
    <w:multiLevelType w:val="multilevel"/>
    <w:tmpl w:val="E6BA0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051CE8"/>
    <w:multiLevelType w:val="multilevel"/>
    <w:tmpl w:val="5DDC5842"/>
    <w:lvl w:ilvl="0">
      <w:start w:val="1"/>
      <w:numFmt w:val="decimal"/>
      <w:lvlText w:val="%1."/>
      <w:lvlJc w:val="left"/>
      <w:pPr>
        <w:ind w:left="720" w:hanging="360"/>
      </w:pPr>
      <w:rPr>
        <w:rFonts w:hint="default"/>
        <w:sz w:val="22"/>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8A1396"/>
    <w:multiLevelType w:val="hybridMultilevel"/>
    <w:tmpl w:val="41061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007DB8"/>
    <w:multiLevelType w:val="multilevel"/>
    <w:tmpl w:val="B1C4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85246C"/>
    <w:multiLevelType w:val="multilevel"/>
    <w:tmpl w:val="CE227266"/>
    <w:lvl w:ilvl="0">
      <w:start w:val="1"/>
      <w:numFmt w:val="decimal"/>
      <w:lvlText w:val="%1."/>
      <w:lvlJc w:val="left"/>
      <w:pPr>
        <w:ind w:left="720" w:hanging="360"/>
      </w:pPr>
      <w:rPr>
        <w:rFonts w:asciiTheme="minorHAnsi" w:eastAsiaTheme="minorHAnsi" w:hAnsiTheme="minorHAnsi"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61785">
    <w:abstractNumId w:val="0"/>
  </w:num>
  <w:num w:numId="2" w16cid:durableId="1666780356">
    <w:abstractNumId w:val="1"/>
  </w:num>
  <w:num w:numId="3" w16cid:durableId="1718890535">
    <w:abstractNumId w:val="2"/>
  </w:num>
  <w:num w:numId="4" w16cid:durableId="78525707">
    <w:abstractNumId w:val="3"/>
  </w:num>
  <w:num w:numId="5" w16cid:durableId="849611793">
    <w:abstractNumId w:val="4"/>
  </w:num>
  <w:num w:numId="6" w16cid:durableId="724572142">
    <w:abstractNumId w:val="5"/>
  </w:num>
  <w:num w:numId="7" w16cid:durableId="903415655">
    <w:abstractNumId w:val="6"/>
  </w:num>
  <w:num w:numId="8" w16cid:durableId="436339889">
    <w:abstractNumId w:val="7"/>
  </w:num>
  <w:num w:numId="9" w16cid:durableId="648168711">
    <w:abstractNumId w:val="8"/>
  </w:num>
  <w:num w:numId="10" w16cid:durableId="1582788689">
    <w:abstractNumId w:val="9"/>
  </w:num>
  <w:num w:numId="11" w16cid:durableId="671759774">
    <w:abstractNumId w:val="10"/>
  </w:num>
  <w:num w:numId="12" w16cid:durableId="244733021">
    <w:abstractNumId w:val="11"/>
  </w:num>
  <w:num w:numId="13" w16cid:durableId="700787705">
    <w:abstractNumId w:val="12"/>
  </w:num>
  <w:num w:numId="14" w16cid:durableId="835539525">
    <w:abstractNumId w:val="13"/>
  </w:num>
  <w:num w:numId="15" w16cid:durableId="1789011421">
    <w:abstractNumId w:val="14"/>
  </w:num>
  <w:num w:numId="16" w16cid:durableId="1268780060">
    <w:abstractNumId w:val="15"/>
  </w:num>
  <w:num w:numId="17" w16cid:durableId="877740690">
    <w:abstractNumId w:val="16"/>
  </w:num>
  <w:num w:numId="18" w16cid:durableId="617028999">
    <w:abstractNumId w:val="17"/>
  </w:num>
  <w:num w:numId="19" w16cid:durableId="571504071">
    <w:abstractNumId w:val="25"/>
  </w:num>
  <w:num w:numId="20" w16cid:durableId="740638842">
    <w:abstractNumId w:val="34"/>
  </w:num>
  <w:num w:numId="21" w16cid:durableId="1613706431">
    <w:abstractNumId w:val="29"/>
  </w:num>
  <w:num w:numId="22" w16cid:durableId="1929732641">
    <w:abstractNumId w:val="20"/>
  </w:num>
  <w:num w:numId="23" w16cid:durableId="43720658">
    <w:abstractNumId w:val="37"/>
  </w:num>
  <w:num w:numId="24" w16cid:durableId="606742620">
    <w:abstractNumId w:val="19"/>
  </w:num>
  <w:num w:numId="25" w16cid:durableId="422262114">
    <w:abstractNumId w:val="27"/>
  </w:num>
  <w:num w:numId="26" w16cid:durableId="121266924">
    <w:abstractNumId w:val="30"/>
  </w:num>
  <w:num w:numId="27" w16cid:durableId="1991403724">
    <w:abstractNumId w:val="28"/>
  </w:num>
  <w:num w:numId="28" w16cid:durableId="734551907">
    <w:abstractNumId w:val="22"/>
  </w:num>
  <w:num w:numId="29" w16cid:durableId="909264832">
    <w:abstractNumId w:val="35"/>
  </w:num>
  <w:num w:numId="30" w16cid:durableId="1761178666">
    <w:abstractNumId w:val="33"/>
  </w:num>
  <w:num w:numId="31" w16cid:durableId="961038741">
    <w:abstractNumId w:val="31"/>
  </w:num>
  <w:num w:numId="32" w16cid:durableId="644702683">
    <w:abstractNumId w:val="23"/>
  </w:num>
  <w:num w:numId="33" w16cid:durableId="511798339">
    <w:abstractNumId w:val="36"/>
  </w:num>
  <w:num w:numId="34" w16cid:durableId="1901744751">
    <w:abstractNumId w:val="18"/>
  </w:num>
  <w:num w:numId="35" w16cid:durableId="604582275">
    <w:abstractNumId w:val="32"/>
  </w:num>
  <w:num w:numId="36" w16cid:durableId="374619756">
    <w:abstractNumId w:val="26"/>
  </w:num>
  <w:num w:numId="37" w16cid:durableId="1527451630">
    <w:abstractNumId w:val="24"/>
  </w:num>
  <w:num w:numId="38" w16cid:durableId="83637949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805"/>
    <w:rsid w:val="00007844"/>
    <w:rsid w:val="00010625"/>
    <w:rsid w:val="000724A1"/>
    <w:rsid w:val="00086D38"/>
    <w:rsid w:val="00097DD5"/>
    <w:rsid w:val="000D7DB7"/>
    <w:rsid w:val="00101186"/>
    <w:rsid w:val="00131B2F"/>
    <w:rsid w:val="001E412F"/>
    <w:rsid w:val="002118FC"/>
    <w:rsid w:val="00231566"/>
    <w:rsid w:val="002557C2"/>
    <w:rsid w:val="00257B7C"/>
    <w:rsid w:val="0028288E"/>
    <w:rsid w:val="002B2A12"/>
    <w:rsid w:val="002D1F45"/>
    <w:rsid w:val="003620FC"/>
    <w:rsid w:val="003D3B2B"/>
    <w:rsid w:val="004834AF"/>
    <w:rsid w:val="004D2ED3"/>
    <w:rsid w:val="004E4A0E"/>
    <w:rsid w:val="004F0900"/>
    <w:rsid w:val="00546C60"/>
    <w:rsid w:val="005E2A98"/>
    <w:rsid w:val="005F7A18"/>
    <w:rsid w:val="0064394D"/>
    <w:rsid w:val="00681496"/>
    <w:rsid w:val="006B16C1"/>
    <w:rsid w:val="00731E12"/>
    <w:rsid w:val="00732FF9"/>
    <w:rsid w:val="0075519E"/>
    <w:rsid w:val="007A170B"/>
    <w:rsid w:val="008218A8"/>
    <w:rsid w:val="008275B1"/>
    <w:rsid w:val="00912743"/>
    <w:rsid w:val="009B1691"/>
    <w:rsid w:val="00A53691"/>
    <w:rsid w:val="00A56038"/>
    <w:rsid w:val="00A61F12"/>
    <w:rsid w:val="00AA1C2E"/>
    <w:rsid w:val="00AB1606"/>
    <w:rsid w:val="00AE30F7"/>
    <w:rsid w:val="00BC7015"/>
    <w:rsid w:val="00C15BA2"/>
    <w:rsid w:val="00C24BF0"/>
    <w:rsid w:val="00C33209"/>
    <w:rsid w:val="00C37F29"/>
    <w:rsid w:val="00C975E6"/>
    <w:rsid w:val="00CD5765"/>
    <w:rsid w:val="00CF6313"/>
    <w:rsid w:val="00D21FAD"/>
    <w:rsid w:val="00D2402A"/>
    <w:rsid w:val="00D45D5F"/>
    <w:rsid w:val="00D651F9"/>
    <w:rsid w:val="00DA2B5E"/>
    <w:rsid w:val="00DA3F8F"/>
    <w:rsid w:val="00E162EE"/>
    <w:rsid w:val="00E75805"/>
    <w:rsid w:val="00EE706A"/>
    <w:rsid w:val="00F059A3"/>
    <w:rsid w:val="00F50F98"/>
    <w:rsid w:val="00FA19A0"/>
  </w:rsids>
  <m:mathPr>
    <m:mathFont m:val="Cambria Math"/>
    <m:brkBin m:val="before"/>
    <m:brkBinSub m:val="--"/>
    <m:smallFrac m:val="0"/>
    <m:dispDef/>
    <m:lMargin m:val="0"/>
    <m:rMargin m:val="0"/>
    <m:defJc m:val="centerGroup"/>
    <m:wrapIndent m:val="1440"/>
    <m:intLim m:val="subSup"/>
    <m:naryLim m:val="undOvr"/>
  </m:mathPr>
  <w:themeFontLang w:val="en-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8618D"/>
  <w15:chartTrackingRefBased/>
  <w15:docId w15:val="{C5442352-AD8F-FF4A-A753-76898D855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8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758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758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758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58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58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8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8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8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8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58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758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758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58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58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8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8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805"/>
    <w:rPr>
      <w:rFonts w:eastAsiaTheme="majorEastAsia" w:cstheme="majorBidi"/>
      <w:color w:val="272727" w:themeColor="text1" w:themeTint="D8"/>
    </w:rPr>
  </w:style>
  <w:style w:type="paragraph" w:styleId="Title">
    <w:name w:val="Title"/>
    <w:basedOn w:val="Normal"/>
    <w:next w:val="Normal"/>
    <w:link w:val="TitleChar"/>
    <w:uiPriority w:val="10"/>
    <w:qFormat/>
    <w:rsid w:val="00E758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8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8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8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805"/>
    <w:pPr>
      <w:spacing w:before="160"/>
      <w:jc w:val="center"/>
    </w:pPr>
    <w:rPr>
      <w:i/>
      <w:iCs/>
      <w:color w:val="404040" w:themeColor="text1" w:themeTint="BF"/>
    </w:rPr>
  </w:style>
  <w:style w:type="character" w:customStyle="1" w:styleId="QuoteChar">
    <w:name w:val="Quote Char"/>
    <w:basedOn w:val="DefaultParagraphFont"/>
    <w:link w:val="Quote"/>
    <w:uiPriority w:val="29"/>
    <w:rsid w:val="00E75805"/>
    <w:rPr>
      <w:i/>
      <w:iCs/>
      <w:color w:val="404040" w:themeColor="text1" w:themeTint="BF"/>
    </w:rPr>
  </w:style>
  <w:style w:type="paragraph" w:styleId="ListParagraph">
    <w:name w:val="List Paragraph"/>
    <w:basedOn w:val="Normal"/>
    <w:uiPriority w:val="34"/>
    <w:qFormat/>
    <w:rsid w:val="00E75805"/>
    <w:pPr>
      <w:ind w:left="720"/>
      <w:contextualSpacing/>
    </w:pPr>
  </w:style>
  <w:style w:type="character" w:styleId="IntenseEmphasis">
    <w:name w:val="Intense Emphasis"/>
    <w:basedOn w:val="DefaultParagraphFont"/>
    <w:uiPriority w:val="21"/>
    <w:qFormat/>
    <w:rsid w:val="00E75805"/>
    <w:rPr>
      <w:i/>
      <w:iCs/>
      <w:color w:val="0F4761" w:themeColor="accent1" w:themeShade="BF"/>
    </w:rPr>
  </w:style>
  <w:style w:type="paragraph" w:styleId="IntenseQuote">
    <w:name w:val="Intense Quote"/>
    <w:basedOn w:val="Normal"/>
    <w:next w:val="Normal"/>
    <w:link w:val="IntenseQuoteChar"/>
    <w:uiPriority w:val="30"/>
    <w:qFormat/>
    <w:rsid w:val="00E758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5805"/>
    <w:rPr>
      <w:i/>
      <w:iCs/>
      <w:color w:val="0F4761" w:themeColor="accent1" w:themeShade="BF"/>
    </w:rPr>
  </w:style>
  <w:style w:type="character" w:styleId="IntenseReference">
    <w:name w:val="Intense Reference"/>
    <w:basedOn w:val="DefaultParagraphFont"/>
    <w:uiPriority w:val="32"/>
    <w:qFormat/>
    <w:rsid w:val="00E75805"/>
    <w:rPr>
      <w:b/>
      <w:bCs/>
      <w:smallCaps/>
      <w:color w:val="0F4761" w:themeColor="accent1" w:themeShade="BF"/>
      <w:spacing w:val="5"/>
    </w:rPr>
  </w:style>
  <w:style w:type="paragraph" w:styleId="NormalWeb">
    <w:name w:val="Normal (Web)"/>
    <w:basedOn w:val="Normal"/>
    <w:uiPriority w:val="99"/>
    <w:semiHidden/>
    <w:unhideWhenUsed/>
    <w:rsid w:val="006B16C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B16C1"/>
    <w:rPr>
      <w:b/>
      <w:bCs/>
    </w:rPr>
  </w:style>
  <w:style w:type="character" w:styleId="Hyperlink">
    <w:name w:val="Hyperlink"/>
    <w:basedOn w:val="DefaultParagraphFont"/>
    <w:uiPriority w:val="99"/>
    <w:unhideWhenUsed/>
    <w:rsid w:val="006B16C1"/>
    <w:rPr>
      <w:color w:val="0000FF"/>
      <w:u w:val="single"/>
    </w:rPr>
  </w:style>
  <w:style w:type="character" w:styleId="FollowedHyperlink">
    <w:name w:val="FollowedHyperlink"/>
    <w:basedOn w:val="DefaultParagraphFont"/>
    <w:uiPriority w:val="99"/>
    <w:semiHidden/>
    <w:unhideWhenUsed/>
    <w:rsid w:val="00681496"/>
    <w:rPr>
      <w:color w:val="96607D" w:themeColor="followedHyperlink"/>
      <w:u w:val="single"/>
    </w:rPr>
  </w:style>
  <w:style w:type="character" w:styleId="UnresolvedMention">
    <w:name w:val="Unresolved Mention"/>
    <w:basedOn w:val="DefaultParagraphFont"/>
    <w:uiPriority w:val="99"/>
    <w:semiHidden/>
    <w:unhideWhenUsed/>
    <w:rsid w:val="002D1F45"/>
    <w:rPr>
      <w:color w:val="605E5C"/>
      <w:shd w:val="clear" w:color="auto" w:fill="E1DFDD"/>
    </w:rPr>
  </w:style>
  <w:style w:type="character" w:customStyle="1" w:styleId="given-name">
    <w:name w:val="given-name"/>
    <w:basedOn w:val="DefaultParagraphFont"/>
    <w:rsid w:val="00EE706A"/>
  </w:style>
  <w:style w:type="character" w:customStyle="1" w:styleId="apple-converted-space">
    <w:name w:val="apple-converted-space"/>
    <w:basedOn w:val="DefaultParagraphFont"/>
    <w:rsid w:val="00EE706A"/>
  </w:style>
  <w:style w:type="character" w:customStyle="1" w:styleId="text">
    <w:name w:val="text"/>
    <w:basedOn w:val="DefaultParagraphFont"/>
    <w:rsid w:val="00EE706A"/>
  </w:style>
  <w:style w:type="character" w:customStyle="1" w:styleId="author-ref">
    <w:name w:val="author-ref"/>
    <w:basedOn w:val="DefaultParagraphFont"/>
    <w:rsid w:val="00EE706A"/>
  </w:style>
  <w:style w:type="character" w:styleId="Emphasis">
    <w:name w:val="Emphasis"/>
    <w:basedOn w:val="DefaultParagraphFont"/>
    <w:uiPriority w:val="20"/>
    <w:qFormat/>
    <w:rsid w:val="00FA19A0"/>
    <w:rPr>
      <w:i/>
      <w:iCs/>
    </w:rPr>
  </w:style>
  <w:style w:type="paragraph" w:styleId="Header">
    <w:name w:val="header"/>
    <w:basedOn w:val="Normal"/>
    <w:link w:val="HeaderChar"/>
    <w:uiPriority w:val="99"/>
    <w:unhideWhenUsed/>
    <w:rsid w:val="00086D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6D38"/>
  </w:style>
  <w:style w:type="paragraph" w:styleId="Footer">
    <w:name w:val="footer"/>
    <w:basedOn w:val="Normal"/>
    <w:link w:val="FooterChar"/>
    <w:uiPriority w:val="99"/>
    <w:unhideWhenUsed/>
    <w:rsid w:val="00086D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6D38"/>
  </w:style>
  <w:style w:type="paragraph" w:styleId="TOCHeading">
    <w:name w:val="TOC Heading"/>
    <w:basedOn w:val="Heading1"/>
    <w:next w:val="Normal"/>
    <w:uiPriority w:val="39"/>
    <w:unhideWhenUsed/>
    <w:qFormat/>
    <w:rsid w:val="00BC7015"/>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BC7015"/>
    <w:pPr>
      <w:spacing w:before="120" w:after="0"/>
      <w:ind w:left="240"/>
    </w:pPr>
    <w:rPr>
      <w:b/>
      <w:bCs/>
      <w:sz w:val="22"/>
      <w:szCs w:val="22"/>
    </w:rPr>
  </w:style>
  <w:style w:type="paragraph" w:styleId="TOC3">
    <w:name w:val="toc 3"/>
    <w:basedOn w:val="Normal"/>
    <w:next w:val="Normal"/>
    <w:autoRedefine/>
    <w:uiPriority w:val="39"/>
    <w:unhideWhenUsed/>
    <w:rsid w:val="00BC7015"/>
    <w:pPr>
      <w:spacing w:after="0"/>
      <w:ind w:left="480"/>
    </w:pPr>
    <w:rPr>
      <w:sz w:val="20"/>
      <w:szCs w:val="20"/>
    </w:rPr>
  </w:style>
  <w:style w:type="paragraph" w:styleId="TOC1">
    <w:name w:val="toc 1"/>
    <w:basedOn w:val="Normal"/>
    <w:next w:val="Normal"/>
    <w:autoRedefine/>
    <w:uiPriority w:val="39"/>
    <w:unhideWhenUsed/>
    <w:rsid w:val="00BC7015"/>
    <w:pPr>
      <w:spacing w:before="120" w:after="0"/>
    </w:pPr>
    <w:rPr>
      <w:b/>
      <w:bCs/>
      <w:i/>
      <w:iCs/>
    </w:rPr>
  </w:style>
  <w:style w:type="paragraph" w:styleId="TOC4">
    <w:name w:val="toc 4"/>
    <w:basedOn w:val="Normal"/>
    <w:next w:val="Normal"/>
    <w:autoRedefine/>
    <w:uiPriority w:val="39"/>
    <w:semiHidden/>
    <w:unhideWhenUsed/>
    <w:rsid w:val="00BC7015"/>
    <w:pPr>
      <w:spacing w:after="0"/>
      <w:ind w:left="720"/>
    </w:pPr>
    <w:rPr>
      <w:sz w:val="20"/>
      <w:szCs w:val="20"/>
    </w:rPr>
  </w:style>
  <w:style w:type="paragraph" w:styleId="TOC5">
    <w:name w:val="toc 5"/>
    <w:basedOn w:val="Normal"/>
    <w:next w:val="Normal"/>
    <w:autoRedefine/>
    <w:uiPriority w:val="39"/>
    <w:semiHidden/>
    <w:unhideWhenUsed/>
    <w:rsid w:val="00BC7015"/>
    <w:pPr>
      <w:spacing w:after="0"/>
      <w:ind w:left="960"/>
    </w:pPr>
    <w:rPr>
      <w:sz w:val="20"/>
      <w:szCs w:val="20"/>
    </w:rPr>
  </w:style>
  <w:style w:type="paragraph" w:styleId="TOC6">
    <w:name w:val="toc 6"/>
    <w:basedOn w:val="Normal"/>
    <w:next w:val="Normal"/>
    <w:autoRedefine/>
    <w:uiPriority w:val="39"/>
    <w:semiHidden/>
    <w:unhideWhenUsed/>
    <w:rsid w:val="00BC7015"/>
    <w:pPr>
      <w:spacing w:after="0"/>
      <w:ind w:left="1200"/>
    </w:pPr>
    <w:rPr>
      <w:sz w:val="20"/>
      <w:szCs w:val="20"/>
    </w:rPr>
  </w:style>
  <w:style w:type="paragraph" w:styleId="TOC7">
    <w:name w:val="toc 7"/>
    <w:basedOn w:val="Normal"/>
    <w:next w:val="Normal"/>
    <w:autoRedefine/>
    <w:uiPriority w:val="39"/>
    <w:semiHidden/>
    <w:unhideWhenUsed/>
    <w:rsid w:val="00BC7015"/>
    <w:pPr>
      <w:spacing w:after="0"/>
      <w:ind w:left="1440"/>
    </w:pPr>
    <w:rPr>
      <w:sz w:val="20"/>
      <w:szCs w:val="20"/>
    </w:rPr>
  </w:style>
  <w:style w:type="paragraph" w:styleId="TOC8">
    <w:name w:val="toc 8"/>
    <w:basedOn w:val="Normal"/>
    <w:next w:val="Normal"/>
    <w:autoRedefine/>
    <w:uiPriority w:val="39"/>
    <w:semiHidden/>
    <w:unhideWhenUsed/>
    <w:rsid w:val="00BC7015"/>
    <w:pPr>
      <w:spacing w:after="0"/>
      <w:ind w:left="1680"/>
    </w:pPr>
    <w:rPr>
      <w:sz w:val="20"/>
      <w:szCs w:val="20"/>
    </w:rPr>
  </w:style>
  <w:style w:type="paragraph" w:styleId="TOC9">
    <w:name w:val="toc 9"/>
    <w:basedOn w:val="Normal"/>
    <w:next w:val="Normal"/>
    <w:autoRedefine/>
    <w:uiPriority w:val="39"/>
    <w:semiHidden/>
    <w:unhideWhenUsed/>
    <w:rsid w:val="00BC7015"/>
    <w:pPr>
      <w:spacing w:after="0"/>
      <w:ind w:left="1920"/>
    </w:pPr>
    <w:rPr>
      <w:sz w:val="20"/>
      <w:szCs w:val="20"/>
    </w:rPr>
  </w:style>
  <w:style w:type="character" w:styleId="SubtleEmphasis">
    <w:name w:val="Subtle Emphasis"/>
    <w:basedOn w:val="DefaultParagraphFont"/>
    <w:uiPriority w:val="19"/>
    <w:qFormat/>
    <w:rsid w:val="0075519E"/>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ipd.org/uk/knowledge/factsheets/turnover-retention-factsheet/" TargetMode="External"/><Relationship Id="rId18" Type="http://schemas.openxmlformats.org/officeDocument/2006/relationships/hyperlink" Target="https://www.deloitte.com/us/en/insights/focus/human-capital-trends/2025/organizational-agility-and-creating-stability-at-work.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data-protection" TargetMode="External"/><Relationship Id="rId17" Type="http://schemas.openxmlformats.org/officeDocument/2006/relationships/hyperlink" Target="https://www.cipd.org/en/views-and-insights/thought-leadership/insight/evolution-people-profession/" TargetMode="External"/><Relationship Id="rId2" Type="http://schemas.openxmlformats.org/officeDocument/2006/relationships/numbering" Target="numbering.xml"/><Relationship Id="rId16" Type="http://schemas.openxmlformats.org/officeDocument/2006/relationships/hyperlink" Target="https://www.cipd.org/en/knowledge/factsheets/emerging-future-work-factshee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rkday.com/en-us/products/employee-voice/overview.html" TargetMode="External"/><Relationship Id="rId5" Type="http://schemas.openxmlformats.org/officeDocument/2006/relationships/webSettings" Target="webSettings.xml"/><Relationship Id="rId15" Type="http://schemas.openxmlformats.org/officeDocument/2006/relationships/hyperlink" Target="https://www.sap.com/products/hcm.html" TargetMode="External"/><Relationship Id="rId10" Type="http://schemas.openxmlformats.org/officeDocument/2006/relationships/hyperlink" Target="https://www.cipd.org/uk/knowledge/factsheets/engagement-factsheet/" TargetMode="External"/><Relationship Id="rId19" Type="http://schemas.openxmlformats.org/officeDocument/2006/relationships/hyperlink" Target="https://www.cipd.org/en/about/blogs/can-AI-deliver-productivity-boost-UK-needs/" TargetMode="External"/><Relationship Id="rId4" Type="http://schemas.openxmlformats.org/officeDocument/2006/relationships/settings" Target="settings.xml"/><Relationship Id="rId9" Type="http://schemas.openxmlformats.org/officeDocument/2006/relationships/hyperlink" Target="https://www.cultureamp.com/platform/engage" TargetMode="External"/><Relationship Id="rId14" Type="http://schemas.openxmlformats.org/officeDocument/2006/relationships/hyperlink" Target="https://www.workday.com/en-us/products/human-capital-management/overview.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1FF1457-6249-524F-99BF-ECC2F9EA4E98}">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19DA3-C4BC-AC46-A828-C2A58DDBC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18</Pages>
  <Words>4394</Words>
  <Characters>25046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MOV Memories</dc:creator>
  <cp:keywords/>
  <dc:description/>
  <cp:lastModifiedBy>MOV Memories</cp:lastModifiedBy>
  <cp:revision>8</cp:revision>
  <dcterms:created xsi:type="dcterms:W3CDTF">2026-04-05T11:59:00Z</dcterms:created>
  <dcterms:modified xsi:type="dcterms:W3CDTF">2026-04-17T18:45:00Z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documentId_4617</vt:lpwstr>
  </property>
  <property fmtid="{D5CDD505-2E9C-101B-9397-08002B2CF9AE}" pid="3" name="grammarly_documentContext">
    <vt:lpwstr>{"goals":["inform","describe"],"domain":"academic","emotions":["analytical"],"dialect":"british","audience":"expert","style":"formal"}</vt:lpwstr>
  </property>
  <property fmtid="{D5CDD505-2E9C-101B-9397-08002B2CF9AE}" pid="4" name="GrammarlyDocumentId">
    <vt:lpwstr>fe298d9589a8a17f7a41f760559a727d4e0223f4f909658f38973f5058bbbb61</vt:lpwstr>
  </property>
</Properties>
</file>