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62F4BD" w14:textId="77777777" w:rsidR="0060620E" w:rsidRDefault="0060620E" w:rsidP="002F210B">
      <w:pPr>
        <w:spacing w:line="480" w:lineRule="auto"/>
        <w:rPr>
          <w:rStyle w:val="Emphasis"/>
        </w:rPr>
      </w:pPr>
    </w:p>
    <w:p w14:paraId="0AC94A27" w14:textId="442BE616" w:rsidR="008A1425" w:rsidRDefault="0060620E" w:rsidP="00CA788E">
      <w:pPr>
        <w:spacing w:line="480" w:lineRule="auto"/>
        <w:rPr>
          <w:rStyle w:val="Emphasis"/>
          <w:i w:val="0"/>
          <w:iCs w:val="0"/>
        </w:rPr>
      </w:pPr>
      <w:r>
        <w:rPr>
          <w:rStyle w:val="Emphasis"/>
          <w:i w:val="0"/>
          <w:iCs w:val="0"/>
        </w:rPr>
        <w:t>Nathaniel DesRosiers, the author of Another Temple, Another Vessel</w:t>
      </w:r>
      <w:r w:rsidR="00AC337D">
        <w:rPr>
          <w:rStyle w:val="Emphasis"/>
          <w:i w:val="0"/>
          <w:iCs w:val="0"/>
        </w:rPr>
        <w:t>: Josephus, the Arch of Titus, and Roman Triumphal Propaganda</w:t>
      </w:r>
      <w:r w:rsidR="00ED40A2">
        <w:rPr>
          <w:rStyle w:val="FootnoteReference"/>
        </w:rPr>
        <w:footnoteReference w:id="1"/>
      </w:r>
      <w:r w:rsidR="00ED40A2">
        <w:rPr>
          <w:rStyle w:val="Emphasis"/>
          <w:i w:val="0"/>
          <w:iCs w:val="0"/>
        </w:rPr>
        <w:t xml:space="preserve"> </w:t>
      </w:r>
      <w:r>
        <w:rPr>
          <w:rStyle w:val="Emphasis"/>
          <w:i w:val="0"/>
          <w:iCs w:val="0"/>
        </w:rPr>
        <w:t xml:space="preserve">believes that </w:t>
      </w:r>
      <w:r w:rsidR="00C96416">
        <w:rPr>
          <w:rStyle w:val="Emphasis"/>
          <w:i w:val="0"/>
          <w:iCs w:val="0"/>
        </w:rPr>
        <w:t>scholarship on</w:t>
      </w:r>
      <w:r w:rsidR="00A82972">
        <w:rPr>
          <w:rStyle w:val="Emphasis"/>
          <w:i w:val="0"/>
          <w:iCs w:val="0"/>
        </w:rPr>
        <w:t xml:space="preserve"> </w:t>
      </w:r>
      <w:r w:rsidR="00C96416">
        <w:rPr>
          <w:rStyle w:val="Emphasis"/>
          <w:i w:val="0"/>
          <w:iCs w:val="0"/>
        </w:rPr>
        <w:t>the Triumph of Vespasian and Titus in</w:t>
      </w:r>
      <w:r w:rsidR="006A5AAB">
        <w:rPr>
          <w:rStyle w:val="Emphasis"/>
          <w:i w:val="0"/>
          <w:iCs w:val="0"/>
        </w:rPr>
        <w:t xml:space="preserve"> 71CE in</w:t>
      </w:r>
      <w:r w:rsidR="00C96416">
        <w:rPr>
          <w:rStyle w:val="Emphasis"/>
          <w:i w:val="0"/>
          <w:iCs w:val="0"/>
        </w:rPr>
        <w:t xml:space="preserve"> Rome</w:t>
      </w:r>
      <w:r>
        <w:rPr>
          <w:rStyle w:val="Emphasis"/>
          <w:i w:val="0"/>
          <w:iCs w:val="0"/>
        </w:rPr>
        <w:t xml:space="preserve">, </w:t>
      </w:r>
      <w:r w:rsidR="00C96416">
        <w:rPr>
          <w:rStyle w:val="Emphasis"/>
          <w:i w:val="0"/>
          <w:iCs w:val="0"/>
        </w:rPr>
        <w:t>has</w:t>
      </w:r>
      <w:r>
        <w:rPr>
          <w:rStyle w:val="Emphasis"/>
          <w:i w:val="0"/>
          <w:iCs w:val="0"/>
        </w:rPr>
        <w:t xml:space="preserve"> </w:t>
      </w:r>
      <w:r w:rsidR="00A82972">
        <w:rPr>
          <w:rStyle w:val="Emphasis"/>
          <w:i w:val="0"/>
          <w:iCs w:val="0"/>
        </w:rPr>
        <w:t xml:space="preserve">been </w:t>
      </w:r>
      <w:r w:rsidR="0015133F">
        <w:rPr>
          <w:rStyle w:val="Emphasis"/>
          <w:i w:val="0"/>
          <w:iCs w:val="0"/>
        </w:rPr>
        <w:t xml:space="preserve">overdependent on </w:t>
      </w:r>
      <w:r w:rsidR="00A82972">
        <w:rPr>
          <w:rStyle w:val="Emphasis"/>
          <w:i w:val="0"/>
          <w:iCs w:val="0"/>
        </w:rPr>
        <w:t xml:space="preserve">the </w:t>
      </w:r>
      <w:r w:rsidR="006A5AAB">
        <w:rPr>
          <w:rStyle w:val="Emphasis"/>
          <w:i w:val="0"/>
          <w:iCs w:val="0"/>
        </w:rPr>
        <w:t xml:space="preserve"> </w:t>
      </w:r>
      <w:r w:rsidR="00610D83">
        <w:rPr>
          <w:rStyle w:val="Emphasis"/>
          <w:i w:val="0"/>
          <w:iCs w:val="0"/>
        </w:rPr>
        <w:t xml:space="preserve">narrative of the event </w:t>
      </w:r>
      <w:r w:rsidR="00A82972">
        <w:rPr>
          <w:rStyle w:val="Emphasis"/>
          <w:i w:val="0"/>
          <w:iCs w:val="0"/>
        </w:rPr>
        <w:t xml:space="preserve">by Josephus </w:t>
      </w:r>
      <w:r w:rsidR="00ED40A2">
        <w:rPr>
          <w:rStyle w:val="Emphasis"/>
          <w:i w:val="0"/>
          <w:iCs w:val="0"/>
        </w:rPr>
        <w:t>book The</w:t>
      </w:r>
      <w:r w:rsidR="00A82972">
        <w:rPr>
          <w:rStyle w:val="Emphasis"/>
          <w:i w:val="0"/>
          <w:iCs w:val="0"/>
        </w:rPr>
        <w:t xml:space="preserve"> </w:t>
      </w:r>
      <w:r w:rsidR="00A82972" w:rsidRPr="006765BD">
        <w:rPr>
          <w:rStyle w:val="Emphasis"/>
          <w:i w:val="0"/>
          <w:iCs w:val="0"/>
          <w:highlight w:val="yellow"/>
        </w:rPr>
        <w:t xml:space="preserve">Jewish War </w:t>
      </w:r>
      <w:r w:rsidR="00ED40A2">
        <w:rPr>
          <w:rStyle w:val="Emphasis"/>
          <w:i w:val="0"/>
          <w:iCs w:val="0"/>
          <w:highlight w:val="yellow"/>
        </w:rPr>
        <w:t>Vol.</w:t>
      </w:r>
      <w:r w:rsidR="00A82972" w:rsidRPr="006765BD">
        <w:rPr>
          <w:rStyle w:val="Emphasis"/>
          <w:i w:val="0"/>
          <w:iCs w:val="0"/>
          <w:highlight w:val="yellow"/>
        </w:rPr>
        <w:t>7.</w:t>
      </w:r>
      <w:r w:rsidR="00C96416">
        <w:rPr>
          <w:rStyle w:val="Emphasis"/>
          <w:i w:val="0"/>
          <w:iCs w:val="0"/>
        </w:rPr>
        <w:t xml:space="preserve"> despite the existence of a second primary source, the Arch of Titus </w:t>
      </w:r>
      <w:r w:rsidR="006765BD">
        <w:rPr>
          <w:rStyle w:val="Emphasis"/>
          <w:i w:val="0"/>
          <w:iCs w:val="0"/>
        </w:rPr>
        <w:t xml:space="preserve">that was </w:t>
      </w:r>
      <w:r w:rsidR="00C96416">
        <w:rPr>
          <w:rStyle w:val="Emphasis"/>
          <w:i w:val="0"/>
          <w:iCs w:val="0"/>
        </w:rPr>
        <w:t xml:space="preserve">built in 81CE to commemorate the event. </w:t>
      </w:r>
      <w:r w:rsidR="008A1425">
        <w:rPr>
          <w:rStyle w:val="Emphasis"/>
          <w:i w:val="0"/>
          <w:iCs w:val="0"/>
        </w:rPr>
        <w:t>The author stated aim in this article aim is to encourage scholars to use the perspective of the Romans, based on the historical, religious and political context of the time to reveal new insights</w:t>
      </w:r>
      <w:r w:rsidR="00BE60AC">
        <w:rPr>
          <w:rStyle w:val="Emphasis"/>
          <w:i w:val="0"/>
          <w:iCs w:val="0"/>
        </w:rPr>
        <w:t xml:space="preserve"> into the Arch, and the Triumph.</w:t>
      </w:r>
      <w:r w:rsidR="008A1425">
        <w:rPr>
          <w:rStyle w:val="Emphasis"/>
          <w:i w:val="0"/>
          <w:iCs w:val="0"/>
        </w:rPr>
        <w:t xml:space="preserve">  </w:t>
      </w:r>
    </w:p>
    <w:p w14:paraId="2A99F7FD" w14:textId="5C10639B" w:rsidR="00C8606D" w:rsidRDefault="00BE60AC" w:rsidP="00CA788E">
      <w:pPr>
        <w:spacing w:line="480" w:lineRule="auto"/>
        <w:rPr>
          <w:rStyle w:val="Emphasis"/>
          <w:i w:val="0"/>
          <w:iCs w:val="0"/>
        </w:rPr>
      </w:pPr>
      <w:r>
        <w:rPr>
          <w:rStyle w:val="Emphasis"/>
          <w:i w:val="0"/>
          <w:iCs w:val="0"/>
        </w:rPr>
        <w:t>There are two key friezes on the arch. On t</w:t>
      </w:r>
      <w:r w:rsidR="00E90DFB">
        <w:rPr>
          <w:rStyle w:val="Emphasis"/>
          <w:i w:val="0"/>
          <w:iCs w:val="0"/>
        </w:rPr>
        <w:t>he North</w:t>
      </w:r>
      <w:r>
        <w:rPr>
          <w:rStyle w:val="Emphasis"/>
          <w:i w:val="0"/>
          <w:iCs w:val="0"/>
        </w:rPr>
        <w:t xml:space="preserve">, </w:t>
      </w:r>
      <w:r w:rsidR="00E90DFB">
        <w:rPr>
          <w:rStyle w:val="Emphasis"/>
          <w:i w:val="0"/>
          <w:iCs w:val="0"/>
        </w:rPr>
        <w:t xml:space="preserve">Titus is portrayed on his chariot crowned by Victory while the South side shows </w:t>
      </w:r>
      <w:r w:rsidR="00AB5BF8">
        <w:rPr>
          <w:rStyle w:val="Emphasis"/>
          <w:i w:val="0"/>
          <w:iCs w:val="0"/>
        </w:rPr>
        <w:t xml:space="preserve">the Triumph, with </w:t>
      </w:r>
      <w:r w:rsidR="00AB5BF8">
        <w:rPr>
          <w:rStyle w:val="Emphasis"/>
          <w:i w:val="0"/>
          <w:iCs w:val="0"/>
        </w:rPr>
        <w:t xml:space="preserve">soldiers buckling under the weight </w:t>
      </w:r>
      <w:r w:rsidR="00AB5BF8">
        <w:rPr>
          <w:rStyle w:val="Emphasis"/>
          <w:i w:val="0"/>
          <w:iCs w:val="0"/>
        </w:rPr>
        <w:t xml:space="preserve">of </w:t>
      </w:r>
      <w:r w:rsidR="00E90DFB">
        <w:rPr>
          <w:rStyle w:val="Emphasis"/>
          <w:i w:val="0"/>
          <w:iCs w:val="0"/>
        </w:rPr>
        <w:t>treasures that include</w:t>
      </w:r>
      <w:r w:rsidR="00A71DD9">
        <w:rPr>
          <w:rStyle w:val="Emphasis"/>
          <w:i w:val="0"/>
          <w:iCs w:val="0"/>
        </w:rPr>
        <w:t xml:space="preserve"> the gold </w:t>
      </w:r>
      <w:r w:rsidR="00E90DFB">
        <w:rPr>
          <w:rStyle w:val="Emphasis"/>
          <w:i w:val="0"/>
          <w:iCs w:val="0"/>
        </w:rPr>
        <w:t>menorah</w:t>
      </w:r>
      <w:r w:rsidR="00AB5BF8">
        <w:rPr>
          <w:rStyle w:val="Emphasis"/>
          <w:i w:val="0"/>
          <w:iCs w:val="0"/>
        </w:rPr>
        <w:t>, table of offering and silver trumpets</w:t>
      </w:r>
      <w:r w:rsidR="00A71DD9">
        <w:rPr>
          <w:rStyle w:val="Emphasis"/>
          <w:i w:val="0"/>
          <w:iCs w:val="0"/>
        </w:rPr>
        <w:t xml:space="preserve"> taken</w:t>
      </w:r>
      <w:r w:rsidR="00E90DFB">
        <w:rPr>
          <w:rStyle w:val="Emphasis"/>
          <w:i w:val="0"/>
          <w:iCs w:val="0"/>
        </w:rPr>
        <w:t xml:space="preserve"> from the Temple in Jerusalem.</w:t>
      </w:r>
      <w:r w:rsidR="00AB5BF8">
        <w:rPr>
          <w:rStyle w:val="Emphasis"/>
          <w:i w:val="0"/>
          <w:iCs w:val="0"/>
        </w:rPr>
        <w:t xml:space="preserve"> With these items originally painted in gold and silver, the original painted arch would have been a major visual </w:t>
      </w:r>
      <w:r w:rsidR="00827544">
        <w:rPr>
          <w:rStyle w:val="Emphasis"/>
          <w:i w:val="0"/>
          <w:iCs w:val="0"/>
        </w:rPr>
        <w:t xml:space="preserve">propaganda </w:t>
      </w:r>
      <w:r w:rsidR="00AB5BF8">
        <w:rPr>
          <w:rStyle w:val="Emphasis"/>
          <w:i w:val="0"/>
          <w:iCs w:val="0"/>
        </w:rPr>
        <w:t xml:space="preserve">statement. </w:t>
      </w:r>
      <w:r w:rsidR="006A5AAB">
        <w:rPr>
          <w:rStyle w:val="Emphasis"/>
          <w:i w:val="0"/>
          <w:iCs w:val="0"/>
        </w:rPr>
        <w:t xml:space="preserve">Josephus attended the Triumph and </w:t>
      </w:r>
      <w:r w:rsidR="00AC337D">
        <w:rPr>
          <w:rStyle w:val="Emphasis"/>
          <w:i w:val="0"/>
          <w:iCs w:val="0"/>
        </w:rPr>
        <w:t>provided</w:t>
      </w:r>
      <w:r w:rsidR="006A5AAB">
        <w:rPr>
          <w:rStyle w:val="Emphasis"/>
          <w:i w:val="0"/>
          <w:iCs w:val="0"/>
        </w:rPr>
        <w:t xml:space="preserve"> an eye-witness account in which he refers to numerous heaps of golden temple vessels</w:t>
      </w:r>
      <w:r w:rsidR="00582C0C">
        <w:rPr>
          <w:rStyle w:val="Emphasis"/>
          <w:i w:val="0"/>
          <w:iCs w:val="0"/>
        </w:rPr>
        <w:t xml:space="preserve"> and the Menorah</w:t>
      </w:r>
      <w:r w:rsidR="006A5AAB">
        <w:rPr>
          <w:rStyle w:val="Emphasis"/>
          <w:i w:val="0"/>
          <w:iCs w:val="0"/>
        </w:rPr>
        <w:t xml:space="preserve"> being carried through the streets</w:t>
      </w:r>
      <w:r w:rsidR="008A1425">
        <w:rPr>
          <w:rStyle w:val="Emphasis"/>
          <w:i w:val="0"/>
          <w:iCs w:val="0"/>
        </w:rPr>
        <w:t xml:space="preserve">. </w:t>
      </w:r>
      <w:r w:rsidR="00C8606D">
        <w:rPr>
          <w:rStyle w:val="Emphasis"/>
          <w:i w:val="0"/>
          <w:iCs w:val="0"/>
        </w:rPr>
        <w:t>Working under the patronage of Vespasian and Titus it</w:t>
      </w:r>
      <w:r w:rsidR="00827544">
        <w:rPr>
          <w:rStyle w:val="Emphasis"/>
          <w:i w:val="0"/>
          <w:iCs w:val="0"/>
        </w:rPr>
        <w:t xml:space="preserve"> can be presumed that his narrative was </w:t>
      </w:r>
      <w:r w:rsidR="00C8606D">
        <w:rPr>
          <w:rStyle w:val="Emphasis"/>
          <w:i w:val="0"/>
          <w:iCs w:val="0"/>
        </w:rPr>
        <w:t>officially approved.</w:t>
      </w:r>
    </w:p>
    <w:p w14:paraId="727ACB2B" w14:textId="40E35EB8" w:rsidR="008A1425" w:rsidRDefault="0072410F" w:rsidP="00CA788E">
      <w:pPr>
        <w:spacing w:line="480" w:lineRule="auto"/>
        <w:rPr>
          <w:rStyle w:val="Emphasis"/>
          <w:i w:val="0"/>
          <w:iCs w:val="0"/>
        </w:rPr>
      </w:pPr>
      <w:r>
        <w:rPr>
          <w:rStyle w:val="Emphasis"/>
          <w:i w:val="0"/>
          <w:iCs w:val="0"/>
        </w:rPr>
        <w:t>It is suggested that</w:t>
      </w:r>
      <w:r w:rsidR="008A1425">
        <w:rPr>
          <w:rStyle w:val="Emphasis"/>
          <w:i w:val="0"/>
          <w:iCs w:val="0"/>
        </w:rPr>
        <w:t xml:space="preserve"> </w:t>
      </w:r>
      <w:r>
        <w:rPr>
          <w:rStyle w:val="Emphasis"/>
          <w:i w:val="0"/>
          <w:iCs w:val="0"/>
        </w:rPr>
        <w:t xml:space="preserve">Josephus’ account </w:t>
      </w:r>
      <w:r w:rsidR="0068373C">
        <w:rPr>
          <w:rStyle w:val="Emphasis"/>
          <w:i w:val="0"/>
          <w:iCs w:val="0"/>
        </w:rPr>
        <w:t>has affected</w:t>
      </w:r>
      <w:r>
        <w:rPr>
          <w:rStyle w:val="Emphasis"/>
          <w:i w:val="0"/>
          <w:iCs w:val="0"/>
        </w:rPr>
        <w:t xml:space="preserve"> </w:t>
      </w:r>
      <w:r w:rsidR="0068373C">
        <w:rPr>
          <w:rStyle w:val="Emphasis"/>
          <w:i w:val="0"/>
          <w:iCs w:val="0"/>
        </w:rPr>
        <w:t>the interpretation of the Triumph because of the amount of space given to describing</w:t>
      </w:r>
      <w:r w:rsidR="00582C0C">
        <w:rPr>
          <w:rStyle w:val="Emphasis"/>
          <w:i w:val="0"/>
          <w:iCs w:val="0"/>
        </w:rPr>
        <w:t xml:space="preserve"> the </w:t>
      </w:r>
      <w:r w:rsidR="009853F3">
        <w:rPr>
          <w:rStyle w:val="Emphasis"/>
          <w:i w:val="0"/>
          <w:iCs w:val="0"/>
        </w:rPr>
        <w:t>valuable vessels</w:t>
      </w:r>
      <w:r w:rsidR="0068373C">
        <w:rPr>
          <w:rStyle w:val="Emphasis"/>
          <w:i w:val="0"/>
          <w:iCs w:val="0"/>
        </w:rPr>
        <w:t xml:space="preserve"> and </w:t>
      </w:r>
      <w:r w:rsidR="009853F3">
        <w:rPr>
          <w:rStyle w:val="Emphasis"/>
          <w:i w:val="0"/>
          <w:iCs w:val="0"/>
        </w:rPr>
        <w:t xml:space="preserve">his ability to associate them with </w:t>
      </w:r>
      <w:r>
        <w:rPr>
          <w:rStyle w:val="Emphasis"/>
          <w:i w:val="0"/>
          <w:iCs w:val="0"/>
        </w:rPr>
        <w:t>Jewish greatness and Temple</w:t>
      </w:r>
      <w:r w:rsidR="00582C0C">
        <w:rPr>
          <w:rStyle w:val="Emphasis"/>
          <w:i w:val="0"/>
          <w:iCs w:val="0"/>
        </w:rPr>
        <w:t xml:space="preserve"> </w:t>
      </w:r>
      <w:r w:rsidR="0068373C">
        <w:rPr>
          <w:rStyle w:val="Emphasis"/>
          <w:i w:val="0"/>
          <w:iCs w:val="0"/>
        </w:rPr>
        <w:t>grandeur</w:t>
      </w:r>
      <w:r w:rsidR="009853F3">
        <w:rPr>
          <w:rStyle w:val="Emphasis"/>
          <w:i w:val="0"/>
          <w:iCs w:val="0"/>
        </w:rPr>
        <w:t xml:space="preserve">. </w:t>
      </w:r>
      <w:r w:rsidR="009853F3" w:rsidRPr="00A5168C">
        <w:rPr>
          <w:rStyle w:val="Emphasis"/>
          <w:i w:val="0"/>
          <w:iCs w:val="0"/>
        </w:rPr>
        <w:t xml:space="preserve">The author holds Josephus responsible for </w:t>
      </w:r>
      <w:r w:rsidR="00827544" w:rsidRPr="00A5168C">
        <w:rPr>
          <w:rStyle w:val="Emphasis"/>
          <w:i w:val="0"/>
          <w:iCs w:val="0"/>
        </w:rPr>
        <w:t>influencing recent</w:t>
      </w:r>
      <w:r w:rsidR="009853F3" w:rsidRPr="00A5168C">
        <w:rPr>
          <w:rStyle w:val="Emphasis"/>
          <w:i w:val="0"/>
          <w:iCs w:val="0"/>
        </w:rPr>
        <w:t xml:space="preserve"> articles portraying the</w:t>
      </w:r>
      <w:r w:rsidR="00582C0C" w:rsidRPr="00A5168C">
        <w:rPr>
          <w:rStyle w:val="Emphasis"/>
          <w:i w:val="0"/>
          <w:iCs w:val="0"/>
        </w:rPr>
        <w:t xml:space="preserve"> Triumph</w:t>
      </w:r>
      <w:r w:rsidRPr="00A5168C">
        <w:rPr>
          <w:rStyle w:val="Emphasis"/>
          <w:i w:val="0"/>
          <w:iCs w:val="0"/>
        </w:rPr>
        <w:t xml:space="preserve"> </w:t>
      </w:r>
      <w:r w:rsidR="009853F3" w:rsidRPr="00A5168C">
        <w:rPr>
          <w:rStyle w:val="Emphasis"/>
          <w:i w:val="0"/>
          <w:iCs w:val="0"/>
        </w:rPr>
        <w:t>as</w:t>
      </w:r>
      <w:r w:rsidR="00582C0C" w:rsidRPr="00A5168C">
        <w:rPr>
          <w:rStyle w:val="Emphasis"/>
          <w:i w:val="0"/>
          <w:iCs w:val="0"/>
        </w:rPr>
        <w:t xml:space="preserve"> the</w:t>
      </w:r>
      <w:r w:rsidR="00BE60AC" w:rsidRPr="00A5168C">
        <w:rPr>
          <w:rStyle w:val="Emphasis"/>
          <w:i w:val="0"/>
          <w:iCs w:val="0"/>
        </w:rPr>
        <w:t xml:space="preserve"> ‘capture of the</w:t>
      </w:r>
      <w:r w:rsidR="00BE60AC">
        <w:rPr>
          <w:rStyle w:val="Emphasis"/>
          <w:i w:val="0"/>
          <w:iCs w:val="0"/>
        </w:rPr>
        <w:t xml:space="preserve"> Jewish God’.</w:t>
      </w:r>
    </w:p>
    <w:p w14:paraId="5AFD96CB" w14:textId="6E84F01F" w:rsidR="00AA532C" w:rsidRDefault="00BE60AC" w:rsidP="00AA532C">
      <w:pPr>
        <w:spacing w:line="480" w:lineRule="auto"/>
      </w:pPr>
      <w:r>
        <w:rPr>
          <w:rStyle w:val="Emphasis"/>
          <w:i w:val="0"/>
          <w:iCs w:val="0"/>
        </w:rPr>
        <w:lastRenderedPageBreak/>
        <w:t>Th</w:t>
      </w:r>
      <w:r w:rsidR="00827544">
        <w:rPr>
          <w:rStyle w:val="Emphasis"/>
          <w:i w:val="0"/>
          <w:iCs w:val="0"/>
        </w:rPr>
        <w:t>is</w:t>
      </w:r>
      <w:r>
        <w:rPr>
          <w:rStyle w:val="Emphasis"/>
          <w:i w:val="0"/>
          <w:iCs w:val="0"/>
        </w:rPr>
        <w:t xml:space="preserve"> claim </w:t>
      </w:r>
      <w:r w:rsidR="00582C0C">
        <w:rPr>
          <w:rStyle w:val="Emphasis"/>
          <w:i w:val="0"/>
          <w:iCs w:val="0"/>
        </w:rPr>
        <w:t>requires that the Romans viewed the temple appointments</w:t>
      </w:r>
      <w:r>
        <w:rPr>
          <w:rStyle w:val="Emphasis"/>
          <w:i w:val="0"/>
          <w:iCs w:val="0"/>
        </w:rPr>
        <w:t xml:space="preserve"> as a sacred stand-in for the Jewish god.</w:t>
      </w:r>
      <w:r w:rsidR="00AA532C">
        <w:rPr>
          <w:rStyle w:val="Emphasis"/>
          <w:i w:val="0"/>
          <w:iCs w:val="0"/>
        </w:rPr>
        <w:t xml:space="preserve"> </w:t>
      </w:r>
      <w:r>
        <w:rPr>
          <w:rStyle w:val="Emphasis"/>
          <w:i w:val="0"/>
          <w:iCs w:val="0"/>
        </w:rPr>
        <w:t xml:space="preserve">DesRosiers’ rebuttal rests on three points: </w:t>
      </w:r>
      <w:r w:rsidR="00AA532C">
        <w:t>no Roman sources</w:t>
      </w:r>
      <w:r>
        <w:t xml:space="preserve"> have been found that</w:t>
      </w:r>
      <w:r w:rsidR="00AA532C">
        <w:t xml:space="preserve"> support the assumption </w:t>
      </w:r>
      <w:r w:rsidR="008954FD">
        <w:t xml:space="preserve">for Romans thinking that </w:t>
      </w:r>
      <w:r w:rsidR="00AA532C">
        <w:t xml:space="preserve">temple vessels </w:t>
      </w:r>
      <w:r w:rsidR="008954FD">
        <w:t>may represent</w:t>
      </w:r>
      <w:r w:rsidR="00AA532C">
        <w:t xml:space="preserve"> the Jewish God</w:t>
      </w:r>
      <w:r w:rsidR="00582C0C">
        <w:t>;</w:t>
      </w:r>
      <w:r w:rsidR="00AA532C">
        <w:t xml:space="preserve"> Romans </w:t>
      </w:r>
      <w:r w:rsidR="008954FD">
        <w:t xml:space="preserve">associated military success with the gods, </w:t>
      </w:r>
      <w:r w:rsidR="003D05BF">
        <w:t xml:space="preserve">and out of respect, </w:t>
      </w:r>
      <w:r w:rsidR="008954FD">
        <w:t>did not loot cultic statues and images</w:t>
      </w:r>
      <w:r w:rsidR="00582C0C">
        <w:t xml:space="preserve">; and </w:t>
      </w:r>
      <w:r w:rsidR="008954FD">
        <w:t xml:space="preserve">a special rite called an evocatio was associated with capturing a god in which the god exchanged his homeland to reside in Rome with a full set of devotions and celebrations and there is no evidence of this having taken place. </w:t>
      </w:r>
      <w:r w:rsidR="00AA532C">
        <w:t xml:space="preserve">Josephus did not report </w:t>
      </w:r>
      <w:r w:rsidR="008954FD">
        <w:t>it.</w:t>
      </w:r>
      <w:r w:rsidR="00AA532C">
        <w:t xml:space="preserve"> </w:t>
      </w:r>
      <w:r w:rsidR="00582C0C">
        <w:t>Finally</w:t>
      </w:r>
      <w:r w:rsidR="00AA532C">
        <w:t xml:space="preserve"> </w:t>
      </w:r>
      <w:r w:rsidR="008954FD">
        <w:t>in the view of</w:t>
      </w:r>
      <w:r w:rsidR="00AA532C">
        <w:t xml:space="preserve"> </w:t>
      </w:r>
      <w:r w:rsidR="008954FD">
        <w:t>Tacitus, a Roman</w:t>
      </w:r>
      <w:r w:rsidR="00AA532C">
        <w:t xml:space="preserve"> historian </w:t>
      </w:r>
      <w:r w:rsidR="008954FD">
        <w:t xml:space="preserve">of the Flavian era and </w:t>
      </w:r>
      <w:r w:rsidR="00AA532C">
        <w:t>contemporar</w:t>
      </w:r>
      <w:r w:rsidR="008954FD">
        <w:t>y</w:t>
      </w:r>
      <w:r w:rsidR="00AA532C">
        <w:t xml:space="preserve"> of Josephus, </w:t>
      </w:r>
      <w:r w:rsidR="008954FD">
        <w:t>the</w:t>
      </w:r>
      <w:r w:rsidR="00AA532C">
        <w:t xml:space="preserve"> prevailing view of Judaism was </w:t>
      </w:r>
      <w:r w:rsidR="00582C0C">
        <w:t>very</w:t>
      </w:r>
      <w:r w:rsidR="0072410F">
        <w:t xml:space="preserve"> </w:t>
      </w:r>
      <w:r w:rsidR="00AA532C">
        <w:t xml:space="preserve">negative </w:t>
      </w:r>
      <w:r w:rsidR="00582C0C">
        <w:t>and at best</w:t>
      </w:r>
      <w:r w:rsidR="0072410F">
        <w:t xml:space="preserve"> no more than a</w:t>
      </w:r>
      <w:r w:rsidR="00AA532C">
        <w:t xml:space="preserve"> ‘superstitio’ meaning superstition or irrational religious awe.</w:t>
      </w:r>
      <w:r w:rsidR="0072410F">
        <w:rPr>
          <w:rStyle w:val="FootnoteReference"/>
        </w:rPr>
        <w:footnoteReference w:id="2"/>
      </w:r>
    </w:p>
    <w:p w14:paraId="2B486ABF" w14:textId="4904FF4D" w:rsidR="0030636B" w:rsidRDefault="0030636B" w:rsidP="0030636B">
      <w:pPr>
        <w:spacing w:line="480" w:lineRule="auto"/>
      </w:pPr>
      <w:r>
        <w:t xml:space="preserve">In the second half of the article DesRosiers begins a reassessment in the broader context of the political, historical and economic circumstances of Rome. After a short contextual brief, he </w:t>
      </w:r>
      <w:r>
        <w:rPr>
          <w:rStyle w:val="Emphasis"/>
          <w:i w:val="0"/>
          <w:iCs w:val="0"/>
        </w:rPr>
        <w:t>concludes that it was built as a statement confirming that Titus and the Flavian dynasty were a stabilising force, bringing economic and political restoration</w:t>
      </w:r>
      <w:r w:rsidR="008C07BA">
        <w:rPr>
          <w:rStyle w:val="Emphasis"/>
          <w:i w:val="0"/>
          <w:iCs w:val="0"/>
        </w:rPr>
        <w:t xml:space="preserve">. </w:t>
      </w:r>
      <w:r>
        <w:rPr>
          <w:rStyle w:val="Emphasis"/>
          <w:i w:val="0"/>
          <w:iCs w:val="0"/>
        </w:rPr>
        <w:t xml:space="preserve">The </w:t>
      </w:r>
      <w:r>
        <w:rPr>
          <w:rStyle w:val="Emphasis"/>
          <w:i w:val="0"/>
          <w:iCs w:val="0"/>
        </w:rPr>
        <w:t>iconography of the Arch</w:t>
      </w:r>
      <w:r>
        <w:rPr>
          <w:rStyle w:val="Emphasis"/>
          <w:i w:val="0"/>
          <w:iCs w:val="0"/>
        </w:rPr>
        <w:t xml:space="preserve"> communicated renewal and not just the defeat of an enemy of the empire</w:t>
      </w:r>
      <w:r>
        <w:rPr>
          <w:rStyle w:val="Emphasis"/>
          <w:i w:val="0"/>
          <w:iCs w:val="0"/>
        </w:rPr>
        <w:t xml:space="preserve"> because t</w:t>
      </w:r>
      <w:r>
        <w:t>he prize of treasures taken from the Temple represented an enormous injection of capital for Rome and the Flavian dynasty.</w:t>
      </w:r>
    </w:p>
    <w:p w14:paraId="24F28304" w14:textId="77777777" w:rsidR="0030636B" w:rsidRDefault="0030636B" w:rsidP="0030636B">
      <w:pPr>
        <w:spacing w:line="480" w:lineRule="auto"/>
      </w:pPr>
    </w:p>
    <w:p w14:paraId="37B1167B" w14:textId="77777777" w:rsidR="0030636B" w:rsidRDefault="0030636B" w:rsidP="0030636B">
      <w:pPr>
        <w:spacing w:line="480" w:lineRule="auto"/>
      </w:pPr>
    </w:p>
    <w:p w14:paraId="79348E58" w14:textId="77777777" w:rsidR="0030636B" w:rsidRDefault="0030636B" w:rsidP="0030636B">
      <w:pPr>
        <w:spacing w:line="480" w:lineRule="auto"/>
      </w:pPr>
    </w:p>
    <w:p w14:paraId="4EF6CB41" w14:textId="2B61ADE1" w:rsidR="00EE3803" w:rsidRDefault="007C44D0" w:rsidP="00414E00">
      <w:pPr>
        <w:spacing w:line="480" w:lineRule="auto"/>
        <w:rPr>
          <w:rStyle w:val="Emphasis"/>
          <w:i w:val="0"/>
          <w:iCs w:val="0"/>
        </w:rPr>
      </w:pPr>
      <w:r w:rsidRPr="00414E00">
        <w:rPr>
          <w:rStyle w:val="Emphasis"/>
          <w:i w:val="0"/>
          <w:iCs w:val="0"/>
        </w:rPr>
        <w:lastRenderedPageBreak/>
        <w:t xml:space="preserve">Contrary to his stated aims, DesRosiers’ article </w:t>
      </w:r>
      <w:r w:rsidR="00744F30">
        <w:rPr>
          <w:rStyle w:val="Emphasis"/>
          <w:i w:val="0"/>
          <w:iCs w:val="0"/>
        </w:rPr>
        <w:t xml:space="preserve">revisits the contribution of </w:t>
      </w:r>
      <w:r w:rsidRPr="00414E00">
        <w:rPr>
          <w:rStyle w:val="Emphasis"/>
          <w:i w:val="0"/>
          <w:iCs w:val="0"/>
        </w:rPr>
        <w:t>Josephus’ writing, his assumptions and statements</w:t>
      </w:r>
      <w:r w:rsidR="00744F30">
        <w:rPr>
          <w:rStyle w:val="Emphasis"/>
          <w:i w:val="0"/>
          <w:iCs w:val="0"/>
        </w:rPr>
        <w:t xml:space="preserve"> to the ideas of the capture of the Jewish God. Some historical background is provided through the works of </w:t>
      </w:r>
      <w:r w:rsidR="00744F30">
        <w:t xml:space="preserve">scholars </w:t>
      </w:r>
      <w:r w:rsidR="00744F30" w:rsidRPr="00414E00">
        <w:rPr>
          <w:rStyle w:val="Emphasis"/>
          <w:i w:val="0"/>
          <w:iCs w:val="0"/>
        </w:rPr>
        <w:t xml:space="preserve"> </w:t>
      </w:r>
      <w:r w:rsidR="00744F30">
        <w:rPr>
          <w:rStyle w:val="Emphasis"/>
          <w:i w:val="0"/>
          <w:iCs w:val="0"/>
        </w:rPr>
        <w:t xml:space="preserve">who have looked at descriptions of other triumphs by Pliny and Plutarch </w:t>
      </w:r>
      <w:r w:rsidR="00EE3803">
        <w:rPr>
          <w:rStyle w:val="Emphasis"/>
          <w:i w:val="0"/>
          <w:iCs w:val="0"/>
        </w:rPr>
        <w:t>and who confirm</w:t>
      </w:r>
      <w:r w:rsidR="00744F30">
        <w:rPr>
          <w:rStyle w:val="Emphasis"/>
          <w:i w:val="0"/>
          <w:iCs w:val="0"/>
        </w:rPr>
        <w:t xml:space="preserve"> that the golden vessels were more likely seen as wealth and not inherently sacred representations of the Jewish God.</w:t>
      </w:r>
      <w:r w:rsidR="00EE3803">
        <w:rPr>
          <w:rStyle w:val="Emphasis"/>
          <w:i w:val="0"/>
          <w:iCs w:val="0"/>
        </w:rPr>
        <w:t xml:space="preserve"> Therefore the article provides a useful commentary on the capture of the Jewish God.</w:t>
      </w:r>
    </w:p>
    <w:p w14:paraId="017A8507" w14:textId="410B3982" w:rsidR="00F33C39" w:rsidRDefault="00F33C39" w:rsidP="00F33C39">
      <w:pPr>
        <w:spacing w:line="480" w:lineRule="auto"/>
        <w:rPr>
          <w:rStyle w:val="Emphasis"/>
          <w:i w:val="0"/>
          <w:iCs w:val="0"/>
        </w:rPr>
      </w:pPr>
      <w:r w:rsidRPr="00F33C39">
        <w:rPr>
          <w:rStyle w:val="Emphasis"/>
          <w:i w:val="0"/>
          <w:iCs w:val="0"/>
        </w:rPr>
        <w:t xml:space="preserve">The inclusion of what Romans thought </w:t>
      </w:r>
      <w:r w:rsidR="00413330">
        <w:rPr>
          <w:rStyle w:val="Emphasis"/>
          <w:i w:val="0"/>
          <w:iCs w:val="0"/>
        </w:rPr>
        <w:t>about the Jewish God and the possibility of inviting him to join their</w:t>
      </w:r>
      <w:r w:rsidRPr="00F33C39">
        <w:rPr>
          <w:rStyle w:val="Emphasis"/>
          <w:i w:val="0"/>
          <w:iCs w:val="0"/>
        </w:rPr>
        <w:t xml:space="preserve"> Pantheon</w:t>
      </w:r>
      <w:r w:rsidR="00EE3803">
        <w:rPr>
          <w:rStyle w:val="Emphasis"/>
          <w:i w:val="0"/>
          <w:iCs w:val="0"/>
        </w:rPr>
        <w:t xml:space="preserve"> </w:t>
      </w:r>
      <w:r w:rsidR="00413330">
        <w:rPr>
          <w:rStyle w:val="Emphasis"/>
          <w:i w:val="0"/>
          <w:iCs w:val="0"/>
        </w:rPr>
        <w:t xml:space="preserve">is valuable. It distinguishes between </w:t>
      </w:r>
      <w:r w:rsidR="00C12458">
        <w:rPr>
          <w:rStyle w:val="Emphasis"/>
          <w:i w:val="0"/>
          <w:iCs w:val="0"/>
        </w:rPr>
        <w:t>the motivation</w:t>
      </w:r>
      <w:r w:rsidR="00EE3803">
        <w:rPr>
          <w:rStyle w:val="Emphasis"/>
          <w:i w:val="0"/>
          <w:iCs w:val="0"/>
        </w:rPr>
        <w:t xml:space="preserve"> </w:t>
      </w:r>
      <w:r w:rsidR="00413330">
        <w:rPr>
          <w:rStyle w:val="Emphasis"/>
          <w:i w:val="0"/>
          <w:iCs w:val="0"/>
        </w:rPr>
        <w:t>for and the</w:t>
      </w:r>
      <w:r w:rsidR="00EE3803">
        <w:rPr>
          <w:rStyle w:val="Emphasis"/>
          <w:i w:val="0"/>
          <w:iCs w:val="0"/>
        </w:rPr>
        <w:t xml:space="preserve"> doing </w:t>
      </w:r>
      <w:r w:rsidR="00413330">
        <w:rPr>
          <w:rStyle w:val="Emphasis"/>
          <w:i w:val="0"/>
          <w:iCs w:val="0"/>
        </w:rPr>
        <w:t>of an</w:t>
      </w:r>
      <w:r w:rsidR="00EE3803">
        <w:rPr>
          <w:rStyle w:val="Emphasis"/>
          <w:i w:val="0"/>
          <w:iCs w:val="0"/>
        </w:rPr>
        <w:t xml:space="preserve"> evocatio. </w:t>
      </w:r>
      <w:r w:rsidR="00C12458">
        <w:rPr>
          <w:rStyle w:val="Emphasis"/>
          <w:i w:val="0"/>
          <w:iCs w:val="0"/>
        </w:rPr>
        <w:t>The author’s</w:t>
      </w:r>
      <w:r w:rsidRPr="00F33C39">
        <w:rPr>
          <w:rStyle w:val="Emphasis"/>
          <w:i w:val="0"/>
          <w:iCs w:val="0"/>
        </w:rPr>
        <w:t xml:space="preserve"> reliance on the excursus of the Jews in Tacitus </w:t>
      </w:r>
      <w:r w:rsidRPr="00F33C39">
        <w:rPr>
          <w:rStyle w:val="FootnoteReference"/>
        </w:rPr>
        <w:footnoteReference w:id="3"/>
      </w:r>
      <w:r w:rsidRPr="00F33C39">
        <w:rPr>
          <w:rStyle w:val="Emphasis"/>
          <w:i w:val="0"/>
          <w:iCs w:val="0"/>
        </w:rPr>
        <w:t xml:space="preserve"> does not provide the evidence</w:t>
      </w:r>
      <w:r w:rsidR="00EE3803">
        <w:rPr>
          <w:rStyle w:val="Emphasis"/>
          <w:i w:val="0"/>
          <w:iCs w:val="0"/>
        </w:rPr>
        <w:t xml:space="preserve"> that the Romans disliked the Jewish God or thought of him as spiteful (later in the article)</w:t>
      </w:r>
      <w:r w:rsidRPr="00F33C39">
        <w:rPr>
          <w:rStyle w:val="Emphasis"/>
          <w:i w:val="0"/>
          <w:iCs w:val="0"/>
        </w:rPr>
        <w:t xml:space="preserve">. </w:t>
      </w:r>
      <w:r w:rsidR="00C12458">
        <w:rPr>
          <w:rStyle w:val="Emphasis"/>
          <w:i w:val="0"/>
          <w:iCs w:val="0"/>
        </w:rPr>
        <w:t>He</w:t>
      </w:r>
      <w:r w:rsidRPr="00F33C39">
        <w:rPr>
          <w:rStyle w:val="Emphasis"/>
          <w:i w:val="0"/>
          <w:iCs w:val="0"/>
        </w:rPr>
        <w:t xml:space="preserve"> quotes </w:t>
      </w:r>
      <w:r w:rsidR="00EE3803">
        <w:rPr>
          <w:rStyle w:val="Emphasis"/>
          <w:i w:val="0"/>
          <w:iCs w:val="0"/>
        </w:rPr>
        <w:t xml:space="preserve">from </w:t>
      </w:r>
      <w:r w:rsidR="00EE3803" w:rsidRPr="00EE3803">
        <w:rPr>
          <w:rStyle w:val="Emphasis"/>
        </w:rPr>
        <w:t>Histories</w:t>
      </w:r>
      <w:r w:rsidR="00EE3803">
        <w:rPr>
          <w:rStyle w:val="Emphasis"/>
          <w:i w:val="0"/>
          <w:iCs w:val="0"/>
        </w:rPr>
        <w:t xml:space="preserve"> on</w:t>
      </w:r>
      <w:r w:rsidRPr="00F33C39">
        <w:rPr>
          <w:rStyle w:val="Emphasis"/>
          <w:i w:val="0"/>
          <w:iCs w:val="0"/>
        </w:rPr>
        <w:t xml:space="preserve"> Jewish customs being “abominable” and that they showed contempt for the gods relates to Roman converts. The sentence states that the converts are taught to despise all gods and disown their country</w:t>
      </w:r>
      <w:r w:rsidR="00EE3803">
        <w:rPr>
          <w:rStyle w:val="FootnoteReference"/>
        </w:rPr>
        <w:footnoteReference w:id="4"/>
      </w:r>
      <w:r w:rsidRPr="00F33C39">
        <w:rPr>
          <w:rStyle w:val="Emphasis"/>
          <w:i w:val="0"/>
          <w:iCs w:val="0"/>
        </w:rPr>
        <w:t xml:space="preserve"> is a highly emotional one set among </w:t>
      </w:r>
      <w:r w:rsidR="00EE3803">
        <w:rPr>
          <w:rStyle w:val="Emphasis"/>
          <w:i w:val="0"/>
          <w:iCs w:val="0"/>
        </w:rPr>
        <w:t>mostly</w:t>
      </w:r>
      <w:r w:rsidRPr="00F33C39">
        <w:rPr>
          <w:rStyle w:val="Emphasis"/>
          <w:i w:val="0"/>
          <w:iCs w:val="0"/>
        </w:rPr>
        <w:t xml:space="preserve"> neutral descriptive statements.  </w:t>
      </w:r>
      <w:r w:rsidR="003D1EDA">
        <w:rPr>
          <w:rStyle w:val="Emphasis"/>
          <w:i w:val="0"/>
          <w:iCs w:val="0"/>
        </w:rPr>
        <w:t>The sentence on converts implies that some</w:t>
      </w:r>
      <w:r w:rsidRPr="00F33C39">
        <w:rPr>
          <w:rStyle w:val="Emphasis"/>
          <w:i w:val="0"/>
          <w:iCs w:val="0"/>
        </w:rPr>
        <w:t xml:space="preserve"> Romans </w:t>
      </w:r>
      <w:r w:rsidR="003D1EDA">
        <w:rPr>
          <w:rStyle w:val="Emphasis"/>
          <w:i w:val="0"/>
          <w:iCs w:val="0"/>
        </w:rPr>
        <w:t>had</w:t>
      </w:r>
      <w:r w:rsidRPr="00F33C39">
        <w:rPr>
          <w:rStyle w:val="Emphasis"/>
          <w:i w:val="0"/>
          <w:iCs w:val="0"/>
        </w:rPr>
        <w:t xml:space="preserve"> converted to Judaism</w:t>
      </w:r>
      <w:r w:rsidR="003D1EDA">
        <w:rPr>
          <w:rStyle w:val="Emphasis"/>
          <w:i w:val="0"/>
          <w:iCs w:val="0"/>
        </w:rPr>
        <w:t xml:space="preserve"> so it must have been acceptable in some parts of Roman society. </w:t>
      </w:r>
      <w:r w:rsidR="00EE3803">
        <w:rPr>
          <w:rStyle w:val="Emphasis"/>
          <w:i w:val="0"/>
          <w:iCs w:val="0"/>
        </w:rPr>
        <w:t xml:space="preserve">Tacitus </w:t>
      </w:r>
      <w:r w:rsidR="00EE3803">
        <w:rPr>
          <w:rStyle w:val="Emphasis"/>
          <w:i w:val="0"/>
          <w:iCs w:val="0"/>
        </w:rPr>
        <w:t>does not write</w:t>
      </w:r>
      <w:r w:rsidR="00EE3803">
        <w:rPr>
          <w:rStyle w:val="Emphasis"/>
          <w:i w:val="0"/>
          <w:iCs w:val="0"/>
        </w:rPr>
        <w:t xml:space="preserve"> about</w:t>
      </w:r>
      <w:r w:rsidR="00EE3803" w:rsidRPr="00F33C39">
        <w:rPr>
          <w:rStyle w:val="Emphasis"/>
          <w:i w:val="0"/>
          <w:iCs w:val="0"/>
        </w:rPr>
        <w:t xml:space="preserve"> what other Romans thought </w:t>
      </w:r>
      <w:r w:rsidR="00EE3803">
        <w:rPr>
          <w:rStyle w:val="Emphasis"/>
          <w:i w:val="0"/>
          <w:iCs w:val="0"/>
        </w:rPr>
        <w:t xml:space="preserve">about </w:t>
      </w:r>
      <w:r w:rsidR="00EE3803">
        <w:rPr>
          <w:rStyle w:val="Emphasis"/>
          <w:i w:val="0"/>
          <w:iCs w:val="0"/>
        </w:rPr>
        <w:t>the Jewish</w:t>
      </w:r>
      <w:r w:rsidR="00EE3803">
        <w:rPr>
          <w:rStyle w:val="Emphasis"/>
          <w:i w:val="0"/>
          <w:iCs w:val="0"/>
        </w:rPr>
        <w:t xml:space="preserve"> god</w:t>
      </w:r>
      <w:r w:rsidR="00B17247">
        <w:rPr>
          <w:rStyle w:val="Emphasis"/>
          <w:i w:val="0"/>
          <w:iCs w:val="0"/>
        </w:rPr>
        <w:t>. T</w:t>
      </w:r>
      <w:r w:rsidRPr="00F33C39">
        <w:rPr>
          <w:rStyle w:val="Emphasis"/>
          <w:i w:val="0"/>
          <w:iCs w:val="0"/>
        </w:rPr>
        <w:t xml:space="preserve">he </w:t>
      </w:r>
      <w:r w:rsidR="00B17247">
        <w:rPr>
          <w:rStyle w:val="Emphasis"/>
          <w:i w:val="0"/>
          <w:iCs w:val="0"/>
        </w:rPr>
        <w:t xml:space="preserve">emotionally charged </w:t>
      </w:r>
      <w:r w:rsidRPr="00F33C39">
        <w:rPr>
          <w:rStyle w:val="Emphasis"/>
          <w:i w:val="0"/>
          <w:iCs w:val="0"/>
        </w:rPr>
        <w:t xml:space="preserve">style of writing in this sentence </w:t>
      </w:r>
      <w:r w:rsidR="00F175D0">
        <w:rPr>
          <w:rStyle w:val="Emphasis"/>
          <w:i w:val="0"/>
          <w:iCs w:val="0"/>
        </w:rPr>
        <w:t>(and the</w:t>
      </w:r>
      <w:r w:rsidRPr="00F33C39">
        <w:rPr>
          <w:rStyle w:val="Emphasis"/>
          <w:i w:val="0"/>
          <w:iCs w:val="0"/>
        </w:rPr>
        <w:t xml:space="preserve"> first sentence</w:t>
      </w:r>
      <w:r w:rsidR="00F175D0">
        <w:rPr>
          <w:rStyle w:val="Emphasis"/>
          <w:i w:val="0"/>
          <w:iCs w:val="0"/>
        </w:rPr>
        <w:t xml:space="preserve">) </w:t>
      </w:r>
      <w:r w:rsidR="00EE3803">
        <w:rPr>
          <w:rStyle w:val="Emphasis"/>
          <w:i w:val="0"/>
          <w:iCs w:val="0"/>
        </w:rPr>
        <w:t xml:space="preserve">of </w:t>
      </w:r>
      <w:r w:rsidR="00C12458">
        <w:rPr>
          <w:rStyle w:val="Emphasis"/>
          <w:i w:val="0"/>
          <w:iCs w:val="0"/>
        </w:rPr>
        <w:t>section (</w:t>
      </w:r>
      <w:r w:rsidR="00B17247">
        <w:rPr>
          <w:rStyle w:val="Emphasis"/>
          <w:i w:val="0"/>
          <w:iCs w:val="0"/>
        </w:rPr>
        <w:t>5:5)</w:t>
      </w:r>
      <w:r w:rsidR="00EE3803">
        <w:rPr>
          <w:rStyle w:val="Emphasis"/>
          <w:i w:val="0"/>
          <w:iCs w:val="0"/>
        </w:rPr>
        <w:t xml:space="preserve"> are at odds with</w:t>
      </w:r>
      <w:r w:rsidRPr="00F33C39">
        <w:rPr>
          <w:rStyle w:val="Emphasis"/>
          <w:i w:val="0"/>
          <w:iCs w:val="0"/>
        </w:rPr>
        <w:t xml:space="preserve"> the detached, descriptive and </w:t>
      </w:r>
      <w:r w:rsidR="00EE3803">
        <w:rPr>
          <w:rStyle w:val="Emphasis"/>
          <w:i w:val="0"/>
          <w:iCs w:val="0"/>
        </w:rPr>
        <w:t>unemotional</w:t>
      </w:r>
      <w:r w:rsidRPr="00F33C39">
        <w:rPr>
          <w:rStyle w:val="Emphasis"/>
          <w:i w:val="0"/>
          <w:iCs w:val="0"/>
        </w:rPr>
        <w:t xml:space="preserve"> style </w:t>
      </w:r>
      <w:r w:rsidR="00B17247">
        <w:rPr>
          <w:rStyle w:val="Emphasis"/>
          <w:i w:val="0"/>
          <w:iCs w:val="0"/>
        </w:rPr>
        <w:t xml:space="preserve">in </w:t>
      </w:r>
      <w:r w:rsidR="00191557">
        <w:rPr>
          <w:rStyle w:val="Emphasis"/>
          <w:i w:val="0"/>
          <w:iCs w:val="0"/>
        </w:rPr>
        <w:t xml:space="preserve">the </w:t>
      </w:r>
      <w:r w:rsidR="00F175D0">
        <w:rPr>
          <w:rStyle w:val="Emphasis"/>
          <w:i w:val="0"/>
          <w:iCs w:val="0"/>
        </w:rPr>
        <w:t xml:space="preserve">later sentences </w:t>
      </w:r>
      <w:r w:rsidR="00B81FDF">
        <w:rPr>
          <w:rStyle w:val="Emphasis"/>
          <w:i w:val="0"/>
          <w:iCs w:val="0"/>
        </w:rPr>
        <w:t>like</w:t>
      </w:r>
      <w:r w:rsidR="00B17247">
        <w:rPr>
          <w:rStyle w:val="Emphasis"/>
          <w:i w:val="0"/>
          <w:iCs w:val="0"/>
        </w:rPr>
        <w:t xml:space="preserve"> ‘</w:t>
      </w:r>
      <w:r w:rsidR="00B81FDF">
        <w:rPr>
          <w:rStyle w:val="Emphasis"/>
          <w:i w:val="0"/>
          <w:iCs w:val="0"/>
        </w:rPr>
        <w:t>T</w:t>
      </w:r>
      <w:r w:rsidR="00B17247">
        <w:rPr>
          <w:rStyle w:val="Emphasis"/>
          <w:i w:val="0"/>
          <w:iCs w:val="0"/>
        </w:rPr>
        <w:t xml:space="preserve">he Jews have purely mental conceptions of </w:t>
      </w:r>
      <w:r w:rsidR="00A131C9">
        <w:rPr>
          <w:rStyle w:val="Emphasis"/>
          <w:i w:val="0"/>
          <w:iCs w:val="0"/>
        </w:rPr>
        <w:t>D</w:t>
      </w:r>
      <w:r w:rsidR="00B17247">
        <w:rPr>
          <w:rStyle w:val="Emphasis"/>
          <w:i w:val="0"/>
          <w:iCs w:val="0"/>
        </w:rPr>
        <w:t>eity</w:t>
      </w:r>
      <w:r w:rsidR="00B81FDF">
        <w:rPr>
          <w:rStyle w:val="Emphasis"/>
          <w:i w:val="0"/>
          <w:iCs w:val="0"/>
        </w:rPr>
        <w:t>,</w:t>
      </w:r>
      <w:r w:rsidR="00B17247">
        <w:rPr>
          <w:rStyle w:val="Emphasis"/>
          <w:i w:val="0"/>
          <w:iCs w:val="0"/>
        </w:rPr>
        <w:t xml:space="preserve">’ </w:t>
      </w:r>
      <w:r w:rsidR="00A131C9">
        <w:rPr>
          <w:rStyle w:val="Emphasis"/>
          <w:i w:val="0"/>
          <w:iCs w:val="0"/>
        </w:rPr>
        <w:t xml:space="preserve"> </w:t>
      </w:r>
      <w:r w:rsidR="00B81FDF">
        <w:rPr>
          <w:rStyle w:val="Emphasis"/>
          <w:i w:val="0"/>
          <w:iCs w:val="0"/>
        </w:rPr>
        <w:t>or the writing in subsequent sections. This</w:t>
      </w:r>
      <w:r w:rsidR="00A131C9">
        <w:rPr>
          <w:rStyle w:val="Emphasis"/>
          <w:i w:val="0"/>
          <w:iCs w:val="0"/>
        </w:rPr>
        <w:t xml:space="preserve"> casts</w:t>
      </w:r>
      <w:r w:rsidR="00B17247">
        <w:rPr>
          <w:rStyle w:val="Emphasis"/>
          <w:i w:val="0"/>
          <w:iCs w:val="0"/>
        </w:rPr>
        <w:t xml:space="preserve"> doubt on whether the two statements have been written by the same </w:t>
      </w:r>
      <w:r w:rsidR="00B81FDF">
        <w:rPr>
          <w:rStyle w:val="Emphasis"/>
          <w:i w:val="0"/>
          <w:iCs w:val="0"/>
        </w:rPr>
        <w:t>person and</w:t>
      </w:r>
      <w:r w:rsidR="00B17247">
        <w:rPr>
          <w:rStyle w:val="Emphasis"/>
          <w:i w:val="0"/>
          <w:iCs w:val="0"/>
        </w:rPr>
        <w:t xml:space="preserve"> makes the reference</w:t>
      </w:r>
      <w:r w:rsidRPr="00F33C39">
        <w:rPr>
          <w:rStyle w:val="Emphasis"/>
          <w:i w:val="0"/>
          <w:iCs w:val="0"/>
        </w:rPr>
        <w:t xml:space="preserve"> unreliable</w:t>
      </w:r>
      <w:r w:rsidR="00B81FDF">
        <w:rPr>
          <w:rStyle w:val="Emphasis"/>
          <w:i w:val="0"/>
          <w:iCs w:val="0"/>
        </w:rPr>
        <w:t>.</w:t>
      </w:r>
    </w:p>
    <w:p w14:paraId="7BC4DD6E" w14:textId="77777777" w:rsidR="00915034" w:rsidRDefault="00915034" w:rsidP="00F33C39">
      <w:pPr>
        <w:spacing w:line="480" w:lineRule="auto"/>
        <w:rPr>
          <w:rStyle w:val="Emphasis"/>
          <w:i w:val="0"/>
          <w:iCs w:val="0"/>
        </w:rPr>
      </w:pPr>
    </w:p>
    <w:p w14:paraId="7A52B475" w14:textId="658FD370" w:rsidR="00F33C39" w:rsidRDefault="007C44D0" w:rsidP="00414E00">
      <w:pPr>
        <w:spacing w:line="480" w:lineRule="auto"/>
      </w:pPr>
      <w:r w:rsidRPr="00414E00">
        <w:rPr>
          <w:rStyle w:val="Emphasis"/>
          <w:i w:val="0"/>
          <w:iCs w:val="0"/>
        </w:rPr>
        <w:t xml:space="preserve">The </w:t>
      </w:r>
      <w:r w:rsidR="00414E00">
        <w:rPr>
          <w:rStyle w:val="Emphasis"/>
          <w:i w:val="0"/>
          <w:iCs w:val="0"/>
        </w:rPr>
        <w:t>historic and political context provided for the Arch is general</w:t>
      </w:r>
      <w:r w:rsidR="00413330">
        <w:rPr>
          <w:rStyle w:val="Emphasis"/>
          <w:i w:val="0"/>
          <w:iCs w:val="0"/>
        </w:rPr>
        <w:t>ly useful but stops with the death of Nero before the accession of Vespasian. This informs</w:t>
      </w:r>
      <w:r w:rsidR="00905EF0">
        <w:rPr>
          <w:rStyle w:val="Emphasis"/>
          <w:i w:val="0"/>
          <w:iCs w:val="0"/>
        </w:rPr>
        <w:t xml:space="preserve"> the Triumph</w:t>
      </w:r>
      <w:r w:rsidR="003D1EDA">
        <w:rPr>
          <w:rStyle w:val="Emphasis"/>
          <w:i w:val="0"/>
          <w:iCs w:val="0"/>
        </w:rPr>
        <w:t xml:space="preserve"> in 71CE </w:t>
      </w:r>
      <w:r w:rsidR="00413330">
        <w:rPr>
          <w:rStyle w:val="Emphasis"/>
          <w:i w:val="0"/>
          <w:iCs w:val="0"/>
        </w:rPr>
        <w:t>but</w:t>
      </w:r>
      <w:r w:rsidR="003D1EDA">
        <w:rPr>
          <w:rStyle w:val="Emphasis"/>
          <w:i w:val="0"/>
          <w:iCs w:val="0"/>
        </w:rPr>
        <w:t xml:space="preserve"> does not take into account that</w:t>
      </w:r>
      <w:r w:rsidR="00905EF0">
        <w:rPr>
          <w:rStyle w:val="Emphasis"/>
          <w:i w:val="0"/>
          <w:iCs w:val="0"/>
        </w:rPr>
        <w:t xml:space="preserve"> ten years of</w:t>
      </w:r>
      <w:r w:rsidR="00F33C39">
        <w:rPr>
          <w:rStyle w:val="Emphasis"/>
          <w:i w:val="0"/>
          <w:iCs w:val="0"/>
        </w:rPr>
        <w:t xml:space="preserve"> Flavian rule</w:t>
      </w:r>
      <w:r w:rsidR="00413330">
        <w:rPr>
          <w:rStyle w:val="Emphasis"/>
          <w:i w:val="0"/>
          <w:iCs w:val="0"/>
        </w:rPr>
        <w:t>, politics and economy</w:t>
      </w:r>
      <w:r w:rsidR="00F33C39">
        <w:rPr>
          <w:rStyle w:val="Emphasis"/>
          <w:i w:val="0"/>
          <w:iCs w:val="0"/>
        </w:rPr>
        <w:t xml:space="preserve"> had passed by the time the Arch was built. This leads to the omission of Domitian</w:t>
      </w:r>
      <w:r w:rsidR="00744F30">
        <w:rPr>
          <w:rStyle w:val="Emphasis"/>
          <w:i w:val="0"/>
          <w:iCs w:val="0"/>
        </w:rPr>
        <w:t xml:space="preserve">, brother of Titus who succeeded him and </w:t>
      </w:r>
      <w:r w:rsidR="00414E00" w:rsidRPr="00414E00">
        <w:t xml:space="preserve">built the Arch. He had not been involved in the Jewish war and unlike his </w:t>
      </w:r>
      <w:r w:rsidR="00A8716A">
        <w:t xml:space="preserve">elder </w:t>
      </w:r>
      <w:r w:rsidR="00414E00" w:rsidRPr="00414E00">
        <w:t>brother, was very unpopular</w:t>
      </w:r>
      <w:r w:rsidR="00405A0D">
        <w:t>. The question is whose propaganda</w:t>
      </w:r>
      <w:r w:rsidR="00414E00" w:rsidRPr="00414E00">
        <w:t xml:space="preserve"> </w:t>
      </w:r>
      <w:r w:rsidR="00405A0D">
        <w:t>is on t</w:t>
      </w:r>
      <w:r w:rsidR="00414E00" w:rsidRPr="00414E00">
        <w:t>he Arch</w:t>
      </w:r>
      <w:r w:rsidR="00405A0D">
        <w:t xml:space="preserve"> as </w:t>
      </w:r>
      <w:r w:rsidR="00905EF0">
        <w:t>Titus was in any case apotheosized (made a god)</w:t>
      </w:r>
      <w:r w:rsidR="00F33C39">
        <w:t xml:space="preserve"> </w:t>
      </w:r>
      <w:r w:rsidR="00744F30">
        <w:t xml:space="preserve">and no longer in need of </w:t>
      </w:r>
      <w:r w:rsidR="00413330">
        <w:t>promoting himself</w:t>
      </w:r>
      <w:r w:rsidR="00744F30">
        <w:t>.</w:t>
      </w:r>
      <w:r w:rsidR="00DC3D89" w:rsidRPr="00DC3D89">
        <w:t xml:space="preserve"> </w:t>
      </w:r>
      <w:r w:rsidR="00DC3D89">
        <w:t>His reinterpretation of the Triumph and the Arch through from a Roman viewpoint is somewhat limited relying on events up to the death of Nero.</w:t>
      </w:r>
    </w:p>
    <w:p w14:paraId="3F7E181A" w14:textId="33E6F01A" w:rsidR="00744F30" w:rsidRPr="00414E00" w:rsidRDefault="00413330" w:rsidP="00414E00">
      <w:pPr>
        <w:spacing w:line="480" w:lineRule="auto"/>
      </w:pPr>
      <w:r>
        <w:t xml:space="preserve">The author briefly </w:t>
      </w:r>
      <w:r w:rsidR="00B20303">
        <w:t>says little about</w:t>
      </w:r>
      <w:r>
        <w:t xml:space="preserve"> the iconography </w:t>
      </w:r>
      <w:r w:rsidR="00B20303">
        <w:t>despite providing</w:t>
      </w:r>
      <w:r>
        <w:t xml:space="preserve"> photographs </w:t>
      </w:r>
      <w:r w:rsidR="008C07BA">
        <w:t>of the Arch</w:t>
      </w:r>
      <w:r w:rsidR="00B20303">
        <w:t xml:space="preserve">. For </w:t>
      </w:r>
      <w:r w:rsidR="00C12458">
        <w:t>example,</w:t>
      </w:r>
      <w:r w:rsidR="00B20303">
        <w:t xml:space="preserve"> it does not explain why </w:t>
      </w:r>
      <w:r w:rsidR="00A8716A">
        <w:t xml:space="preserve">Josephus </w:t>
      </w:r>
      <w:r w:rsidR="00B20303">
        <w:t>described</w:t>
      </w:r>
      <w:r w:rsidR="00A8716A">
        <w:t xml:space="preserve"> captive</w:t>
      </w:r>
      <w:r w:rsidR="00B20303">
        <w:t>s carrying the bounty</w:t>
      </w:r>
      <w:r w:rsidR="00B20303">
        <w:rPr>
          <w:rStyle w:val="FootnoteReference"/>
        </w:rPr>
        <w:footnoteReference w:id="5"/>
      </w:r>
      <w:r w:rsidR="00B20303">
        <w:t xml:space="preserve"> but shows no Jews, and no slaves.</w:t>
      </w:r>
      <w:r w:rsidR="00A8716A">
        <w:t xml:space="preserve"> </w:t>
      </w:r>
      <w:r w:rsidR="00B20303">
        <w:t xml:space="preserve">There could be scope </w:t>
      </w:r>
      <w:r>
        <w:t xml:space="preserve">for further interpretation if </w:t>
      </w:r>
      <w:r w:rsidR="00B20303">
        <w:t>the iconography had been addressed.</w:t>
      </w:r>
    </w:p>
    <w:p w14:paraId="02AE291C" w14:textId="70B8B6DB" w:rsidR="003F59BB" w:rsidRDefault="00405A0D" w:rsidP="00C12458">
      <w:pPr>
        <w:spacing w:line="480" w:lineRule="auto"/>
      </w:pPr>
      <w:r>
        <w:t xml:space="preserve">In </w:t>
      </w:r>
      <w:r w:rsidR="00903C94">
        <w:t>summary, the author</w:t>
      </w:r>
      <w:r w:rsidR="00903C94">
        <w:t xml:space="preserve"> criticizes a reliance on Josephus that has led some scholars to posit </w:t>
      </w:r>
      <w:r w:rsidR="00903C94">
        <w:t>among other things, t</w:t>
      </w:r>
      <w:r w:rsidR="00DC3D89">
        <w:t xml:space="preserve">hat the Arch and the Triumph showed </w:t>
      </w:r>
      <w:r w:rsidR="00903C94">
        <w:t>the capture of the Jewish god</w:t>
      </w:r>
      <w:r w:rsidR="00903C94">
        <w:t xml:space="preserve">. He writes a rebuttal drawing heavily on Josephus and </w:t>
      </w:r>
      <w:r w:rsidR="008C07BA">
        <w:t xml:space="preserve">partially on accounts of other triumphs. </w:t>
      </w:r>
      <w:r w:rsidR="00DC3D89">
        <w:t xml:space="preserve">The article does not achieve the </w:t>
      </w:r>
      <w:r w:rsidR="0061619C">
        <w:t xml:space="preserve">same level of scholarship </w:t>
      </w:r>
      <w:r w:rsidR="003F59BB">
        <w:t>when</w:t>
      </w:r>
      <w:r w:rsidR="0061619C">
        <w:t xml:space="preserve"> using the historical, religious and political context of the events to interpret what </w:t>
      </w:r>
      <w:r w:rsidR="003F59BB">
        <w:t xml:space="preserve">statement the Arch and Triumph made to the </w:t>
      </w:r>
      <w:r w:rsidR="0061619C">
        <w:t xml:space="preserve">Romans </w:t>
      </w:r>
      <w:r w:rsidR="003F59BB">
        <w:t xml:space="preserve">people but overall the article is </w:t>
      </w:r>
      <w:r w:rsidR="00C12458">
        <w:t>useful to</w:t>
      </w:r>
      <w:r w:rsidR="0061619C">
        <w:t xml:space="preserve"> students of </w:t>
      </w:r>
      <w:r w:rsidR="00903C94">
        <w:t xml:space="preserve">Josephus </w:t>
      </w:r>
      <w:r w:rsidR="00DC3D89">
        <w:t xml:space="preserve">and demonstrates </w:t>
      </w:r>
      <w:r w:rsidR="0061619C">
        <w:t xml:space="preserve">the need to </w:t>
      </w:r>
      <w:r w:rsidR="003F59BB">
        <w:t xml:space="preserve">also </w:t>
      </w:r>
      <w:r w:rsidR="0061619C">
        <w:t>use a</w:t>
      </w:r>
      <w:r w:rsidR="008C07BA">
        <w:t xml:space="preserve">lternative ancient </w:t>
      </w:r>
      <w:r w:rsidR="00DC3D89">
        <w:t xml:space="preserve">historical </w:t>
      </w:r>
      <w:r w:rsidR="008C07BA">
        <w:t>sources.</w:t>
      </w:r>
    </w:p>
    <w:p w14:paraId="1FB7EDF6" w14:textId="77777777" w:rsidR="003F59BB" w:rsidRDefault="003F59BB">
      <w:pPr>
        <w:rPr>
          <w:u w:val="single"/>
        </w:rPr>
      </w:pPr>
      <w:r w:rsidRPr="003F59BB">
        <w:rPr>
          <w:u w:val="single"/>
        </w:rPr>
        <w:lastRenderedPageBreak/>
        <w:t>Bibliography</w:t>
      </w:r>
    </w:p>
    <w:p w14:paraId="1AAEFBB1" w14:textId="67B4C90E" w:rsidR="004C41F1" w:rsidRPr="007123EC" w:rsidRDefault="004C41F1" w:rsidP="004C41F1">
      <w:pPr>
        <w:rPr>
          <w:rFonts w:ascii="Times New Roman" w:eastAsia="Times New Roman" w:hAnsi="Times New Roman" w:cs="Times New Roman"/>
          <w:kern w:val="0"/>
          <w:szCs w:val="24"/>
          <w:lang w:eastAsia="en-GB"/>
          <w14:ligatures w14:val="none"/>
        </w:rPr>
      </w:pPr>
      <w:r w:rsidRPr="004C41F1">
        <w:t>DesRosiers, N., ‘Another Temple, Another Vessel: Josephus, the Arch of Titus, and Roman Triumphal Propaganda’</w:t>
      </w:r>
      <w:r w:rsidR="007123EC">
        <w:t>,</w:t>
      </w:r>
      <w:r w:rsidRPr="004C41F1">
        <w:t xml:space="preserve"> </w:t>
      </w:r>
      <w:r w:rsidRPr="007123EC">
        <w:rPr>
          <w:i/>
          <w:iCs/>
        </w:rPr>
        <w:t>Near Eastern Archaeology</w:t>
      </w:r>
      <w:r w:rsidRPr="004C41F1">
        <w:t xml:space="preserve">, 82(3), (2019)140–147. </w:t>
      </w:r>
      <w:hyperlink r:id="rId7" w:history="1">
        <w:r w:rsidRPr="00AC337D">
          <w:rPr>
            <w:rFonts w:ascii="Calibri" w:hAnsi="Calibri" w:cs="Calibri"/>
            <w:color w:val="0000FF"/>
            <w:sz w:val="22"/>
            <w:u w:val="single"/>
          </w:rPr>
          <w:t>https://doi.org/10.1086/704960</w:t>
        </w:r>
      </w:hyperlink>
      <w:r w:rsidR="007123EC">
        <w:rPr>
          <w:rFonts w:ascii="Calibri" w:hAnsi="Calibri" w:cs="Calibri"/>
          <w:sz w:val="22"/>
        </w:rPr>
        <w:t xml:space="preserve"> </w:t>
      </w:r>
      <w:r w:rsidR="007123EC" w:rsidRPr="007123EC">
        <w:rPr>
          <w:rFonts w:ascii="Times New Roman" w:eastAsia="Times New Roman" w:hAnsi="Times New Roman" w:cs="Times New Roman"/>
          <w:kern w:val="0"/>
          <w:szCs w:val="24"/>
          <w:lang w:eastAsia="en-GB"/>
          <w14:ligatures w14:val="none"/>
        </w:rPr>
        <w:t>[accessed 31 March 2026]</w:t>
      </w:r>
    </w:p>
    <w:p w14:paraId="13948BF6" w14:textId="45FA7FB4" w:rsidR="004C41F1" w:rsidRDefault="004C41F1" w:rsidP="004C41F1">
      <w:pPr>
        <w:rPr>
          <w:u w:val="single"/>
        </w:rPr>
      </w:pPr>
      <w:r w:rsidRPr="004C41F1">
        <w:t>Fine, S. and Sanders, D. H., Schertz, P.J.M. ‘The Spoils of Jerusalem in Color: The Making of a Polychrome Model, in</w:t>
      </w:r>
      <w:r>
        <w:t xml:space="preserve"> </w:t>
      </w:r>
      <w:r w:rsidRPr="004C41F1">
        <w:t>The Arch of Titus</w:t>
      </w:r>
      <w:r>
        <w:t>: From Jerusalem to Rome and Back, ed by Stephen Fine (BRILL</w:t>
      </w:r>
      <w:r w:rsidRPr="0081110C">
        <w:rPr>
          <w:rFonts w:ascii="Times New Roman" w:eastAsia="Times New Roman" w:hAnsi="Times New Roman" w:cs="Times New Roman"/>
          <w:kern w:val="0"/>
          <w:szCs w:val="24"/>
          <w:lang w:eastAsia="en-GB"/>
          <w14:ligatures w14:val="none"/>
        </w:rPr>
        <w:t>, 2021</w:t>
      </w:r>
      <w:r>
        <w:rPr>
          <w:rFonts w:ascii="Times New Roman" w:eastAsia="Times New Roman" w:hAnsi="Times New Roman" w:cs="Times New Roman"/>
          <w:kern w:val="0"/>
          <w:szCs w:val="24"/>
          <w:lang w:eastAsia="en-GB"/>
          <w14:ligatures w14:val="none"/>
        </w:rPr>
        <w:t>),</w:t>
      </w:r>
      <w:r w:rsidRPr="0081110C">
        <w:rPr>
          <w:rFonts w:ascii="Times New Roman" w:eastAsia="Times New Roman" w:hAnsi="Times New Roman" w:cs="Times New Roman"/>
          <w:kern w:val="0"/>
          <w:szCs w:val="24"/>
          <w:lang w:eastAsia="en-GB"/>
          <w14:ligatures w14:val="none"/>
        </w:rPr>
        <w:t xml:space="preserve"> doi: 10.1163/9789004447790_004.</w:t>
      </w:r>
      <w:r>
        <w:rPr>
          <w:rFonts w:ascii="Times New Roman" w:eastAsia="Times New Roman" w:hAnsi="Times New Roman" w:cs="Times New Roman"/>
          <w:kern w:val="0"/>
          <w:szCs w:val="24"/>
          <w:lang w:eastAsia="en-GB"/>
          <w14:ligatures w14:val="none"/>
        </w:rPr>
        <w:t>[accessed 01 April 2026]</w:t>
      </w:r>
    </w:p>
    <w:p w14:paraId="2AE12081" w14:textId="1D930C21" w:rsidR="003F59BB" w:rsidRDefault="003F59BB">
      <w:r>
        <w:t xml:space="preserve">Goodman, Martin. “Trajan and the Origins of Roman Hostility to the Jews.” </w:t>
      </w:r>
      <w:r>
        <w:rPr>
          <w:i/>
          <w:iCs/>
        </w:rPr>
        <w:t>Past &amp; Present</w:t>
      </w:r>
      <w:r>
        <w:t xml:space="preserve">, no. 182, 2004, pp. 3–29. </w:t>
      </w:r>
      <w:r>
        <w:rPr>
          <w:i/>
          <w:iCs/>
        </w:rPr>
        <w:t>JSTOR</w:t>
      </w:r>
      <w:r>
        <w:t xml:space="preserve">, </w:t>
      </w:r>
      <w:hyperlink r:id="rId8" w:history="1">
        <w:r w:rsidRPr="003F59BB">
          <w:rPr>
            <w:color w:val="0000FF"/>
          </w:rPr>
          <w:t>http://www.jstor.org.uwtsd.idm.oclc.org/stable/3600803. Accessed 15 Apr. 2026</w:t>
        </w:r>
      </w:hyperlink>
      <w:r w:rsidRPr="003F59BB">
        <w:rPr>
          <w:color w:val="0000FF"/>
          <w:u w:val="single"/>
        </w:rPr>
        <w:t>.</w:t>
      </w:r>
    </w:p>
    <w:p w14:paraId="2ACAD3F5" w14:textId="187A4203" w:rsidR="003F59BB" w:rsidRDefault="003F59BB">
      <w:r>
        <w:t>Schmidt, E.A. (2010) “The Flavian Triumph and the Arch of Titus: The Jewish God in Flavian Rome.”</w:t>
      </w:r>
      <w:r w:rsidRPr="0008637B">
        <w:t xml:space="preserve"> </w:t>
      </w:r>
      <w:hyperlink r:id="rId9" w:history="1">
        <w:r w:rsidRPr="0008637B">
          <w:rPr>
            <w:color w:val="0000FF"/>
            <w:u w:val="single"/>
          </w:rPr>
          <w:t>eScholarship UC item 9xw0k5kh.pdf</w:t>
        </w:r>
      </w:hyperlink>
      <w:r>
        <w:t xml:space="preserve"> </w:t>
      </w:r>
      <w:r w:rsidR="004C41F1">
        <w:t>[</w:t>
      </w:r>
      <w:r>
        <w:t>accessed 31 March 2026</w:t>
      </w:r>
      <w:r w:rsidR="004C41F1">
        <w:t>]</w:t>
      </w:r>
    </w:p>
    <w:p w14:paraId="2BEFFB4F" w14:textId="6E09978A" w:rsidR="003F59BB" w:rsidRPr="003F59BB" w:rsidRDefault="003F59BB" w:rsidP="003F59BB">
      <w:pPr>
        <w:pStyle w:val="FootnoteText"/>
        <w:rPr>
          <w:sz w:val="24"/>
          <w:szCs w:val="22"/>
        </w:rPr>
      </w:pPr>
      <w:r w:rsidRPr="003F59BB">
        <w:rPr>
          <w:sz w:val="24"/>
          <w:szCs w:val="22"/>
        </w:rPr>
        <w:t xml:space="preserve">Tacitus: </w:t>
      </w:r>
      <w:r w:rsidRPr="003F59BB">
        <w:rPr>
          <w:sz w:val="24"/>
          <w:szCs w:val="22"/>
        </w:rPr>
        <w:t>‘Histories’</w:t>
      </w:r>
      <w:r w:rsidRPr="003F59BB">
        <w:rPr>
          <w:sz w:val="24"/>
          <w:szCs w:val="22"/>
        </w:rPr>
        <w:t xml:space="preserve"> Book 5:5 </w:t>
      </w:r>
      <w:hyperlink r:id="rId10" w:history="1">
        <w:r w:rsidR="004C41F1" w:rsidRPr="00E25976">
          <w:rPr>
            <w:rStyle w:val="Hyperlink"/>
            <w:sz w:val="24"/>
            <w:szCs w:val="22"/>
          </w:rPr>
          <w:t>https://sacred-texts.com/cla/tac/h05000.htm</w:t>
        </w:r>
      </w:hyperlink>
      <w:r w:rsidRPr="003F59BB">
        <w:rPr>
          <w:sz w:val="24"/>
          <w:szCs w:val="22"/>
        </w:rPr>
        <w:t xml:space="preserve"> </w:t>
      </w:r>
      <w:r w:rsidR="004C41F1">
        <w:rPr>
          <w:sz w:val="24"/>
          <w:szCs w:val="22"/>
        </w:rPr>
        <w:t>[</w:t>
      </w:r>
      <w:r w:rsidR="004C41F1" w:rsidRPr="003F59BB">
        <w:rPr>
          <w:sz w:val="24"/>
          <w:szCs w:val="22"/>
        </w:rPr>
        <w:t>accessed</w:t>
      </w:r>
      <w:r w:rsidR="004C41F1">
        <w:rPr>
          <w:sz w:val="24"/>
          <w:szCs w:val="22"/>
        </w:rPr>
        <w:t xml:space="preserve"> </w:t>
      </w:r>
      <w:r w:rsidRPr="003F59BB">
        <w:rPr>
          <w:sz w:val="24"/>
          <w:szCs w:val="22"/>
        </w:rPr>
        <w:t>13 April 2026</w:t>
      </w:r>
      <w:r w:rsidR="004C41F1">
        <w:rPr>
          <w:sz w:val="24"/>
          <w:szCs w:val="22"/>
        </w:rPr>
        <w:t>]</w:t>
      </w:r>
    </w:p>
    <w:p w14:paraId="35D8AEFB" w14:textId="77777777" w:rsidR="0081110C" w:rsidRDefault="0081110C">
      <w:pPr>
        <w:rPr>
          <w:u w:val="single"/>
        </w:rPr>
      </w:pPr>
    </w:p>
    <w:p w14:paraId="794BDC34" w14:textId="5538B789" w:rsidR="003F59BB" w:rsidRDefault="003F59BB">
      <w:pPr>
        <w:rPr>
          <w:u w:val="single"/>
        </w:rPr>
      </w:pPr>
      <w:r w:rsidRPr="003F59BB">
        <w:rPr>
          <w:u w:val="single"/>
        </w:rPr>
        <w:br w:type="page"/>
      </w:r>
    </w:p>
    <w:p w14:paraId="1A062994" w14:textId="77777777" w:rsidR="0081110C" w:rsidRPr="003F59BB" w:rsidRDefault="0081110C">
      <w:pPr>
        <w:rPr>
          <w:u w:val="single"/>
        </w:rPr>
      </w:pPr>
    </w:p>
    <w:p w14:paraId="5AC5C8E4" w14:textId="77777777" w:rsidR="001B560A" w:rsidRDefault="001B560A" w:rsidP="00C12458">
      <w:pPr>
        <w:spacing w:line="480" w:lineRule="auto"/>
        <w:rPr>
          <w:rStyle w:val="Emphasis"/>
          <w:i w:val="0"/>
          <w:iCs w:val="0"/>
        </w:rPr>
      </w:pPr>
    </w:p>
    <w:sectPr w:rsidR="001B560A" w:rsidSect="00282C7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C8187" w14:textId="77777777" w:rsidR="00902C70" w:rsidRDefault="00902C70" w:rsidP="00A82972">
      <w:pPr>
        <w:spacing w:after="0" w:line="240" w:lineRule="auto"/>
      </w:pPr>
      <w:r>
        <w:separator/>
      </w:r>
    </w:p>
  </w:endnote>
  <w:endnote w:type="continuationSeparator" w:id="0">
    <w:p w14:paraId="4A539E24" w14:textId="77777777" w:rsidR="00902C70" w:rsidRDefault="00902C70" w:rsidP="00A829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2DD581" w14:textId="77777777" w:rsidR="00902C70" w:rsidRDefault="00902C70" w:rsidP="00A82972">
      <w:pPr>
        <w:spacing w:after="0" w:line="240" w:lineRule="auto"/>
      </w:pPr>
      <w:r>
        <w:separator/>
      </w:r>
    </w:p>
  </w:footnote>
  <w:footnote w:type="continuationSeparator" w:id="0">
    <w:p w14:paraId="2DE4AC5D" w14:textId="77777777" w:rsidR="00902C70" w:rsidRDefault="00902C70" w:rsidP="00A82972">
      <w:pPr>
        <w:spacing w:after="0" w:line="240" w:lineRule="auto"/>
      </w:pPr>
      <w:r>
        <w:continuationSeparator/>
      </w:r>
    </w:p>
  </w:footnote>
  <w:footnote w:id="1">
    <w:p w14:paraId="14DD9717" w14:textId="25805AA4" w:rsidR="00ED40A2" w:rsidRDefault="00ED40A2">
      <w:pPr>
        <w:pStyle w:val="FootnoteText"/>
      </w:pPr>
      <w:r>
        <w:rPr>
          <w:rStyle w:val="FootnoteReference"/>
        </w:rPr>
        <w:footnoteRef/>
      </w:r>
      <w:r>
        <w:t xml:space="preserve"> </w:t>
      </w:r>
      <w:r w:rsidR="00AC337D" w:rsidRPr="00AC337D">
        <w:rPr>
          <w:rFonts w:ascii="Calibri" w:hAnsi="Calibri" w:cs="Calibri"/>
          <w:sz w:val="22"/>
          <w:szCs w:val="22"/>
        </w:rPr>
        <w:t>DesRosiers, N.</w:t>
      </w:r>
      <w:r w:rsidR="00F175D0">
        <w:rPr>
          <w:rFonts w:ascii="Calibri" w:hAnsi="Calibri" w:cs="Calibri"/>
          <w:sz w:val="22"/>
          <w:szCs w:val="22"/>
        </w:rPr>
        <w:t>,</w:t>
      </w:r>
      <w:r w:rsidR="00AC337D" w:rsidRPr="00AC337D">
        <w:rPr>
          <w:rFonts w:ascii="Calibri" w:hAnsi="Calibri" w:cs="Calibri"/>
          <w:sz w:val="22"/>
          <w:szCs w:val="22"/>
        </w:rPr>
        <w:t xml:space="preserve"> </w:t>
      </w:r>
      <w:r w:rsidR="00F175D0">
        <w:rPr>
          <w:rFonts w:ascii="Calibri" w:hAnsi="Calibri" w:cs="Calibri"/>
          <w:sz w:val="22"/>
          <w:szCs w:val="22"/>
        </w:rPr>
        <w:t>‘</w:t>
      </w:r>
      <w:r w:rsidR="00AC337D" w:rsidRPr="00AC337D">
        <w:rPr>
          <w:rFonts w:ascii="Calibri" w:hAnsi="Calibri" w:cs="Calibri"/>
          <w:sz w:val="22"/>
          <w:szCs w:val="22"/>
        </w:rPr>
        <w:t>Another Temple, Another Vessel: Josephus, the Arch of Titus, and Roman Triumphal Propaganda</w:t>
      </w:r>
      <w:r w:rsidR="00F175D0">
        <w:rPr>
          <w:rFonts w:ascii="Calibri" w:hAnsi="Calibri" w:cs="Calibri"/>
          <w:sz w:val="22"/>
          <w:szCs w:val="22"/>
        </w:rPr>
        <w:t>’</w:t>
      </w:r>
      <w:r w:rsidR="00AC337D" w:rsidRPr="00AC337D">
        <w:rPr>
          <w:rFonts w:ascii="Calibri" w:hAnsi="Calibri" w:cs="Calibri"/>
          <w:sz w:val="22"/>
          <w:szCs w:val="22"/>
        </w:rPr>
        <w:t xml:space="preserve"> </w:t>
      </w:r>
      <w:r w:rsidR="00AC337D" w:rsidRPr="00AC337D">
        <w:rPr>
          <w:rFonts w:ascii="Calibri" w:hAnsi="Calibri" w:cs="Calibri"/>
          <w:i/>
          <w:iCs/>
          <w:sz w:val="22"/>
          <w:szCs w:val="22"/>
        </w:rPr>
        <w:t>Near Eastern Archaeology</w:t>
      </w:r>
      <w:r w:rsidR="00AC337D" w:rsidRPr="00AC337D">
        <w:rPr>
          <w:rFonts w:ascii="Calibri" w:hAnsi="Calibri" w:cs="Calibri"/>
          <w:sz w:val="22"/>
          <w:szCs w:val="22"/>
        </w:rPr>
        <w:t xml:space="preserve">, </w:t>
      </w:r>
      <w:r w:rsidR="00AC337D" w:rsidRPr="00AC337D">
        <w:rPr>
          <w:rFonts w:ascii="Calibri" w:hAnsi="Calibri" w:cs="Calibri"/>
          <w:i/>
          <w:iCs/>
          <w:sz w:val="22"/>
          <w:szCs w:val="22"/>
        </w:rPr>
        <w:t>82</w:t>
      </w:r>
      <w:r w:rsidR="00AC337D" w:rsidRPr="00AC337D">
        <w:rPr>
          <w:rFonts w:ascii="Calibri" w:hAnsi="Calibri" w:cs="Calibri"/>
          <w:sz w:val="22"/>
          <w:szCs w:val="22"/>
        </w:rPr>
        <w:t xml:space="preserve">(3), </w:t>
      </w:r>
      <w:r w:rsidR="00F175D0" w:rsidRPr="00AC337D">
        <w:rPr>
          <w:rFonts w:ascii="Calibri" w:hAnsi="Calibri" w:cs="Calibri"/>
          <w:sz w:val="22"/>
          <w:szCs w:val="22"/>
        </w:rPr>
        <w:t>(2019)</w:t>
      </w:r>
      <w:r w:rsidR="00AC337D" w:rsidRPr="00AC337D">
        <w:rPr>
          <w:rFonts w:ascii="Calibri" w:hAnsi="Calibri" w:cs="Calibri"/>
          <w:sz w:val="22"/>
          <w:szCs w:val="22"/>
        </w:rPr>
        <w:t xml:space="preserve">140–147. </w:t>
      </w:r>
      <w:hyperlink r:id="rId1" w:history="1">
        <w:r w:rsidR="00AC337D" w:rsidRPr="00AC337D">
          <w:rPr>
            <w:rFonts w:ascii="Calibri" w:hAnsi="Calibri" w:cs="Calibri"/>
            <w:color w:val="0000FF"/>
            <w:sz w:val="22"/>
            <w:szCs w:val="22"/>
            <w:u w:val="single"/>
          </w:rPr>
          <w:t>https://doi.org/10.1086/704960</w:t>
        </w:r>
      </w:hyperlink>
    </w:p>
  </w:footnote>
  <w:footnote w:id="2">
    <w:p w14:paraId="077421DE" w14:textId="69FE0387" w:rsidR="0072410F" w:rsidRDefault="0072410F">
      <w:pPr>
        <w:pStyle w:val="FootnoteText"/>
      </w:pPr>
      <w:r>
        <w:rPr>
          <w:rStyle w:val="FootnoteReference"/>
        </w:rPr>
        <w:footnoteRef/>
      </w:r>
      <w:r>
        <w:t xml:space="preserve"> Tacitus</w:t>
      </w:r>
      <w:r w:rsidR="00EA6200">
        <w:t xml:space="preserve">: History Book 5 (1-9) </w:t>
      </w:r>
      <w:hyperlink r:id="rId2" w:history="1">
        <w:r w:rsidR="00EA6200" w:rsidRPr="00E25976">
          <w:rPr>
            <w:rStyle w:val="Hyperlink"/>
          </w:rPr>
          <w:t>https://sacred-texts.com/cla/tac/h05000.htm</w:t>
        </w:r>
      </w:hyperlink>
      <w:r w:rsidR="00EA6200">
        <w:t xml:space="preserve"> </w:t>
      </w:r>
      <w:r w:rsidR="00F175D0">
        <w:t xml:space="preserve">accessed </w:t>
      </w:r>
      <w:r w:rsidR="00EA6200">
        <w:t>11</w:t>
      </w:r>
      <w:r w:rsidR="00C12458">
        <w:t xml:space="preserve"> April 2026</w:t>
      </w:r>
    </w:p>
  </w:footnote>
  <w:footnote w:id="3">
    <w:p w14:paraId="573E1BC4" w14:textId="15F359D2" w:rsidR="00C12458" w:rsidRDefault="00F33C39" w:rsidP="00C12458">
      <w:pPr>
        <w:pStyle w:val="FootnoteText"/>
      </w:pPr>
      <w:r>
        <w:rPr>
          <w:rStyle w:val="FootnoteReference"/>
        </w:rPr>
        <w:footnoteRef/>
      </w:r>
      <w:r>
        <w:t xml:space="preserve"> </w:t>
      </w:r>
      <w:r w:rsidR="00C12458">
        <w:t xml:space="preserve">Tacitus: History Book </w:t>
      </w:r>
      <w:r w:rsidR="0082538A">
        <w:t>5:5</w:t>
      </w:r>
      <w:r w:rsidR="00C12458">
        <w:t xml:space="preserve"> accessed online at </w:t>
      </w:r>
      <w:hyperlink r:id="rId3" w:history="1">
        <w:r w:rsidR="00C12458" w:rsidRPr="00E25976">
          <w:rPr>
            <w:rStyle w:val="Hyperlink"/>
          </w:rPr>
          <w:t>https://sacred-texts.com/cla/tac/h05000.htm</w:t>
        </w:r>
      </w:hyperlink>
      <w:r w:rsidR="00C12458">
        <w:t xml:space="preserve"> 1</w:t>
      </w:r>
      <w:r w:rsidR="00C12458">
        <w:t xml:space="preserve">3 </w:t>
      </w:r>
      <w:r w:rsidR="00C12458">
        <w:t>April 2026</w:t>
      </w:r>
    </w:p>
    <w:p w14:paraId="544E0721" w14:textId="04BC2293" w:rsidR="00F33C39" w:rsidRDefault="00F33C39" w:rsidP="00F33C39">
      <w:pPr>
        <w:pStyle w:val="FootnoteText"/>
      </w:pPr>
    </w:p>
  </w:footnote>
  <w:footnote w:id="4">
    <w:p w14:paraId="173106F2" w14:textId="6FD93062" w:rsidR="00EE3803" w:rsidRDefault="00EE3803">
      <w:pPr>
        <w:pStyle w:val="FootnoteText"/>
      </w:pPr>
      <w:r>
        <w:rPr>
          <w:rStyle w:val="FootnoteReference"/>
        </w:rPr>
        <w:footnoteRef/>
      </w:r>
      <w:r>
        <w:t xml:space="preserve"> Ibid</w:t>
      </w:r>
    </w:p>
  </w:footnote>
  <w:footnote w:id="5">
    <w:p w14:paraId="27D910AE" w14:textId="79844164" w:rsidR="00B20303" w:rsidRDefault="00B20303">
      <w:pPr>
        <w:pStyle w:val="FootnoteText"/>
      </w:pPr>
      <w:r>
        <w:rPr>
          <w:rStyle w:val="FootnoteReference"/>
        </w:rPr>
        <w:footnoteRef/>
      </w:r>
      <w:r>
        <w:t xml:space="preserve"> </w:t>
      </w:r>
      <w:r>
        <w:t>Schmidt, E.A. (2010) “The Flavian Triumph and the Arch of Titus: The Jewish God in Flavian Rome.”</w:t>
      </w:r>
      <w:r w:rsidR="0008637B" w:rsidRPr="0008637B">
        <w:rPr>
          <w:sz w:val="24"/>
          <w:szCs w:val="22"/>
        </w:rPr>
        <w:t xml:space="preserve"> </w:t>
      </w:r>
      <w:hyperlink r:id="rId4" w:history="1">
        <w:r w:rsidR="0008637B" w:rsidRPr="0008637B">
          <w:rPr>
            <w:color w:val="0000FF"/>
            <w:sz w:val="24"/>
            <w:szCs w:val="22"/>
            <w:u w:val="single"/>
          </w:rPr>
          <w:t>eScholarship UC item 9xw0k5kh.pdf</w:t>
        </w:r>
      </w:hyperlink>
      <w:r w:rsidR="0008637B">
        <w:rPr>
          <w:sz w:val="24"/>
          <w:szCs w:val="22"/>
        </w:rPr>
        <w:t xml:space="preserve"> accessed 31 March 2026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8395C"/>
    <w:rsid w:val="00003A94"/>
    <w:rsid w:val="000177DD"/>
    <w:rsid w:val="00031323"/>
    <w:rsid w:val="000426D9"/>
    <w:rsid w:val="000540BC"/>
    <w:rsid w:val="00057B4E"/>
    <w:rsid w:val="00060534"/>
    <w:rsid w:val="0008637B"/>
    <w:rsid w:val="000E3E8C"/>
    <w:rsid w:val="0015133F"/>
    <w:rsid w:val="0015305D"/>
    <w:rsid w:val="00164D46"/>
    <w:rsid w:val="00177150"/>
    <w:rsid w:val="00187656"/>
    <w:rsid w:val="00191557"/>
    <w:rsid w:val="001B560A"/>
    <w:rsid w:val="001E448F"/>
    <w:rsid w:val="00221C1B"/>
    <w:rsid w:val="00224637"/>
    <w:rsid w:val="002702A1"/>
    <w:rsid w:val="0027371C"/>
    <w:rsid w:val="00282C7E"/>
    <w:rsid w:val="0028395C"/>
    <w:rsid w:val="002C05BC"/>
    <w:rsid w:val="002D1120"/>
    <w:rsid w:val="002F210B"/>
    <w:rsid w:val="002F7641"/>
    <w:rsid w:val="0030636B"/>
    <w:rsid w:val="003278BD"/>
    <w:rsid w:val="003629B3"/>
    <w:rsid w:val="00373BCE"/>
    <w:rsid w:val="003D05BF"/>
    <w:rsid w:val="003D1EDA"/>
    <w:rsid w:val="003E40AA"/>
    <w:rsid w:val="003F35A8"/>
    <w:rsid w:val="003F59BB"/>
    <w:rsid w:val="003F778D"/>
    <w:rsid w:val="00405A0D"/>
    <w:rsid w:val="00413330"/>
    <w:rsid w:val="00414E00"/>
    <w:rsid w:val="00467B2D"/>
    <w:rsid w:val="004B5B02"/>
    <w:rsid w:val="004C41F1"/>
    <w:rsid w:val="00522E93"/>
    <w:rsid w:val="00546F08"/>
    <w:rsid w:val="00582C0C"/>
    <w:rsid w:val="005922ED"/>
    <w:rsid w:val="005A4713"/>
    <w:rsid w:val="005B49C9"/>
    <w:rsid w:val="005D0C4A"/>
    <w:rsid w:val="005E58C3"/>
    <w:rsid w:val="0060620E"/>
    <w:rsid w:val="00610D83"/>
    <w:rsid w:val="0061619C"/>
    <w:rsid w:val="006261C8"/>
    <w:rsid w:val="00655428"/>
    <w:rsid w:val="006765BD"/>
    <w:rsid w:val="0068373C"/>
    <w:rsid w:val="006A403B"/>
    <w:rsid w:val="006A5AAB"/>
    <w:rsid w:val="006C086E"/>
    <w:rsid w:val="006E52B7"/>
    <w:rsid w:val="006F2F94"/>
    <w:rsid w:val="007123EC"/>
    <w:rsid w:val="00714CD0"/>
    <w:rsid w:val="00721EAE"/>
    <w:rsid w:val="0072410F"/>
    <w:rsid w:val="00744F30"/>
    <w:rsid w:val="00764CD7"/>
    <w:rsid w:val="00771B41"/>
    <w:rsid w:val="00774385"/>
    <w:rsid w:val="007821C2"/>
    <w:rsid w:val="007B69AE"/>
    <w:rsid w:val="007C44D0"/>
    <w:rsid w:val="007E2342"/>
    <w:rsid w:val="0081110C"/>
    <w:rsid w:val="0082538A"/>
    <w:rsid w:val="00827544"/>
    <w:rsid w:val="0084667A"/>
    <w:rsid w:val="00856CB5"/>
    <w:rsid w:val="008954FD"/>
    <w:rsid w:val="008A1425"/>
    <w:rsid w:val="008A5406"/>
    <w:rsid w:val="008B5D1E"/>
    <w:rsid w:val="008C07BA"/>
    <w:rsid w:val="008C0E9E"/>
    <w:rsid w:val="009028F5"/>
    <w:rsid w:val="00902C70"/>
    <w:rsid w:val="00903C94"/>
    <w:rsid w:val="00905EF0"/>
    <w:rsid w:val="00910277"/>
    <w:rsid w:val="00915034"/>
    <w:rsid w:val="009241F7"/>
    <w:rsid w:val="00934865"/>
    <w:rsid w:val="00942E29"/>
    <w:rsid w:val="00983571"/>
    <w:rsid w:val="009853F3"/>
    <w:rsid w:val="00986145"/>
    <w:rsid w:val="009960FE"/>
    <w:rsid w:val="009D7416"/>
    <w:rsid w:val="009E54C3"/>
    <w:rsid w:val="009E7BE8"/>
    <w:rsid w:val="00A131C9"/>
    <w:rsid w:val="00A2583D"/>
    <w:rsid w:val="00A5168C"/>
    <w:rsid w:val="00A5393A"/>
    <w:rsid w:val="00A71DD9"/>
    <w:rsid w:val="00A82972"/>
    <w:rsid w:val="00A8716A"/>
    <w:rsid w:val="00A933CA"/>
    <w:rsid w:val="00A93B80"/>
    <w:rsid w:val="00AA532C"/>
    <w:rsid w:val="00AB5BF8"/>
    <w:rsid w:val="00AC30C3"/>
    <w:rsid w:val="00AC337D"/>
    <w:rsid w:val="00AE0111"/>
    <w:rsid w:val="00AE016B"/>
    <w:rsid w:val="00AF1E5D"/>
    <w:rsid w:val="00B17247"/>
    <w:rsid w:val="00B20303"/>
    <w:rsid w:val="00B7723E"/>
    <w:rsid w:val="00B77714"/>
    <w:rsid w:val="00B81FDF"/>
    <w:rsid w:val="00B8436C"/>
    <w:rsid w:val="00B922E6"/>
    <w:rsid w:val="00BE60AC"/>
    <w:rsid w:val="00C04316"/>
    <w:rsid w:val="00C12304"/>
    <w:rsid w:val="00C12458"/>
    <w:rsid w:val="00C2376A"/>
    <w:rsid w:val="00C6451F"/>
    <w:rsid w:val="00C65822"/>
    <w:rsid w:val="00C81C82"/>
    <w:rsid w:val="00C8606D"/>
    <w:rsid w:val="00C93DA1"/>
    <w:rsid w:val="00C94432"/>
    <w:rsid w:val="00C96416"/>
    <w:rsid w:val="00CA788E"/>
    <w:rsid w:val="00CB255D"/>
    <w:rsid w:val="00D72E28"/>
    <w:rsid w:val="00D756CD"/>
    <w:rsid w:val="00D7727B"/>
    <w:rsid w:val="00D77C91"/>
    <w:rsid w:val="00D87FFD"/>
    <w:rsid w:val="00D9262C"/>
    <w:rsid w:val="00DC3D89"/>
    <w:rsid w:val="00E87C1C"/>
    <w:rsid w:val="00E90DFB"/>
    <w:rsid w:val="00E9707C"/>
    <w:rsid w:val="00EA6200"/>
    <w:rsid w:val="00ED40A2"/>
    <w:rsid w:val="00EE3803"/>
    <w:rsid w:val="00F05A6C"/>
    <w:rsid w:val="00F0728C"/>
    <w:rsid w:val="00F10F92"/>
    <w:rsid w:val="00F175D0"/>
    <w:rsid w:val="00F33C39"/>
    <w:rsid w:val="00F34390"/>
    <w:rsid w:val="00F736BD"/>
    <w:rsid w:val="00F73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538EA"/>
  <w15:chartTrackingRefBased/>
  <w15:docId w15:val="{400B3AEA-C7AB-4FC2-848C-B62AC59EA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637"/>
    <w:rPr>
      <w:rFonts w:ascii="Arial" w:hAnsi="Arial"/>
      <w:sz w:val="24"/>
    </w:rPr>
  </w:style>
  <w:style w:type="paragraph" w:styleId="Heading1">
    <w:name w:val="heading 1"/>
    <w:basedOn w:val="Normal"/>
    <w:next w:val="Normal"/>
    <w:link w:val="Heading1Char"/>
    <w:uiPriority w:val="9"/>
    <w:qFormat/>
    <w:rsid w:val="002839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39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395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395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8395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8395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8395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8395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8395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9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39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39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395C"/>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28395C"/>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28395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8395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8395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8395C"/>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839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9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395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9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395C"/>
    <w:pPr>
      <w:spacing w:before="160"/>
      <w:jc w:val="center"/>
    </w:pPr>
    <w:rPr>
      <w:i/>
      <w:iCs/>
      <w:color w:val="404040" w:themeColor="text1" w:themeTint="BF"/>
    </w:rPr>
  </w:style>
  <w:style w:type="character" w:customStyle="1" w:styleId="QuoteChar">
    <w:name w:val="Quote Char"/>
    <w:basedOn w:val="DefaultParagraphFont"/>
    <w:link w:val="Quote"/>
    <w:uiPriority w:val="29"/>
    <w:rsid w:val="0028395C"/>
    <w:rPr>
      <w:rFonts w:ascii="Arial" w:hAnsi="Arial"/>
      <w:i/>
      <w:iCs/>
      <w:color w:val="404040" w:themeColor="text1" w:themeTint="BF"/>
      <w:sz w:val="24"/>
    </w:rPr>
  </w:style>
  <w:style w:type="paragraph" w:styleId="ListParagraph">
    <w:name w:val="List Paragraph"/>
    <w:basedOn w:val="Normal"/>
    <w:uiPriority w:val="34"/>
    <w:qFormat/>
    <w:rsid w:val="0028395C"/>
    <w:pPr>
      <w:ind w:left="720"/>
      <w:contextualSpacing/>
    </w:pPr>
  </w:style>
  <w:style w:type="character" w:styleId="IntenseEmphasis">
    <w:name w:val="Intense Emphasis"/>
    <w:basedOn w:val="DefaultParagraphFont"/>
    <w:uiPriority w:val="21"/>
    <w:qFormat/>
    <w:rsid w:val="0028395C"/>
    <w:rPr>
      <w:i/>
      <w:iCs/>
      <w:color w:val="0F4761" w:themeColor="accent1" w:themeShade="BF"/>
    </w:rPr>
  </w:style>
  <w:style w:type="paragraph" w:styleId="IntenseQuote">
    <w:name w:val="Intense Quote"/>
    <w:basedOn w:val="Normal"/>
    <w:next w:val="Normal"/>
    <w:link w:val="IntenseQuoteChar"/>
    <w:uiPriority w:val="30"/>
    <w:qFormat/>
    <w:rsid w:val="002839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395C"/>
    <w:rPr>
      <w:rFonts w:ascii="Arial" w:hAnsi="Arial"/>
      <w:i/>
      <w:iCs/>
      <w:color w:val="0F4761" w:themeColor="accent1" w:themeShade="BF"/>
      <w:sz w:val="24"/>
    </w:rPr>
  </w:style>
  <w:style w:type="character" w:styleId="IntenseReference">
    <w:name w:val="Intense Reference"/>
    <w:basedOn w:val="DefaultParagraphFont"/>
    <w:uiPriority w:val="32"/>
    <w:qFormat/>
    <w:rsid w:val="0028395C"/>
    <w:rPr>
      <w:b/>
      <w:bCs/>
      <w:smallCaps/>
      <w:color w:val="0F4761" w:themeColor="accent1" w:themeShade="BF"/>
      <w:spacing w:val="5"/>
    </w:rPr>
  </w:style>
  <w:style w:type="character" w:styleId="Emphasis">
    <w:name w:val="Emphasis"/>
    <w:basedOn w:val="DefaultParagraphFont"/>
    <w:uiPriority w:val="20"/>
    <w:qFormat/>
    <w:rsid w:val="0028395C"/>
    <w:rPr>
      <w:i/>
      <w:iCs/>
    </w:rPr>
  </w:style>
  <w:style w:type="paragraph" w:styleId="FootnoteText">
    <w:name w:val="footnote text"/>
    <w:basedOn w:val="Normal"/>
    <w:link w:val="FootnoteTextChar"/>
    <w:uiPriority w:val="99"/>
    <w:semiHidden/>
    <w:unhideWhenUsed/>
    <w:rsid w:val="00A829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2972"/>
    <w:rPr>
      <w:rFonts w:ascii="Arial" w:hAnsi="Arial"/>
      <w:sz w:val="20"/>
      <w:szCs w:val="20"/>
    </w:rPr>
  </w:style>
  <w:style w:type="character" w:styleId="FootnoteReference">
    <w:name w:val="footnote reference"/>
    <w:basedOn w:val="DefaultParagraphFont"/>
    <w:uiPriority w:val="99"/>
    <w:semiHidden/>
    <w:unhideWhenUsed/>
    <w:rsid w:val="00A82972"/>
    <w:rPr>
      <w:vertAlign w:val="superscript"/>
    </w:rPr>
  </w:style>
  <w:style w:type="character" w:styleId="Hyperlink">
    <w:name w:val="Hyperlink"/>
    <w:basedOn w:val="DefaultParagraphFont"/>
    <w:uiPriority w:val="99"/>
    <w:unhideWhenUsed/>
    <w:rsid w:val="002F210B"/>
    <w:rPr>
      <w:color w:val="467886" w:themeColor="hyperlink"/>
      <w:u w:val="single"/>
    </w:rPr>
  </w:style>
  <w:style w:type="character" w:styleId="UnresolvedMention">
    <w:name w:val="Unresolved Mention"/>
    <w:basedOn w:val="DefaultParagraphFont"/>
    <w:uiPriority w:val="99"/>
    <w:semiHidden/>
    <w:unhideWhenUsed/>
    <w:rsid w:val="002F210B"/>
    <w:rPr>
      <w:color w:val="605E5C"/>
      <w:shd w:val="clear" w:color="auto" w:fill="E1DFDD"/>
    </w:rPr>
  </w:style>
  <w:style w:type="paragraph" w:styleId="EndnoteText">
    <w:name w:val="endnote text"/>
    <w:basedOn w:val="Normal"/>
    <w:link w:val="EndnoteTextChar"/>
    <w:uiPriority w:val="99"/>
    <w:semiHidden/>
    <w:unhideWhenUsed/>
    <w:rsid w:val="00AE011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E0111"/>
    <w:rPr>
      <w:rFonts w:ascii="Arial" w:hAnsi="Arial"/>
      <w:sz w:val="20"/>
      <w:szCs w:val="20"/>
    </w:rPr>
  </w:style>
  <w:style w:type="character" w:styleId="EndnoteReference">
    <w:name w:val="endnote reference"/>
    <w:basedOn w:val="DefaultParagraphFont"/>
    <w:uiPriority w:val="99"/>
    <w:semiHidden/>
    <w:unhideWhenUsed/>
    <w:rsid w:val="00AE011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uwtsd.idm.oclc.org/stable/3600803.%20Accessed%2015%20Apr.%202026" TargetMode="External"/><Relationship Id="rId3" Type="http://schemas.openxmlformats.org/officeDocument/2006/relationships/settings" Target="settings.xml"/><Relationship Id="rId7" Type="http://schemas.openxmlformats.org/officeDocument/2006/relationships/hyperlink" Target="https://doi.org/10.1086/70496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sacred-texts.com/cla/tac/h05000.htm" TargetMode="External"/><Relationship Id="rId4" Type="http://schemas.openxmlformats.org/officeDocument/2006/relationships/webSettings" Target="webSettings.xml"/><Relationship Id="rId9" Type="http://schemas.openxmlformats.org/officeDocument/2006/relationships/hyperlink" Target="file:///C:\Users\pc\Documents\UNIVERSITY\Arch%20of%20Titus\eScholarship%20UC%20item%209xw0k5kh.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sacred-texts.com/cla/tac/h05000.htm" TargetMode="External"/><Relationship Id="rId2" Type="http://schemas.openxmlformats.org/officeDocument/2006/relationships/hyperlink" Target="https://sacred-texts.com/cla/tac/h05000.htm" TargetMode="External"/><Relationship Id="rId1" Type="http://schemas.openxmlformats.org/officeDocument/2006/relationships/hyperlink" Target="https://doi.org/10.1086/704960" TargetMode="External"/><Relationship Id="rId4" Type="http://schemas.openxmlformats.org/officeDocument/2006/relationships/hyperlink" Target="file:///C:\Users\pc\Documents\UNIVERSITY\Arch%20of%20Titus\eScholarship%20UC%20item%209xw0k5k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FD0D4-2EAE-4E1F-9CB6-E3845730B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1306</TotalTime>
  <Pages>6</Pages>
  <Words>1200</Words>
  <Characters>6840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 Asonibare</dc:creator>
  <cp:keywords/>
  <dc:description/>
  <cp:lastModifiedBy>Fran Asonibare</cp:lastModifiedBy>
  <cp:revision>20</cp:revision>
  <dcterms:created xsi:type="dcterms:W3CDTF">2026-04-13T16:21:00Z</dcterms:created>
  <dcterms:modified xsi:type="dcterms:W3CDTF">2026-04-15T15:32:00Z</dcterms:modified>
</cp:coreProperties>
</file>