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319A" w14:textId="77777777" w:rsidR="00EC6F99" w:rsidRDefault="00EC6F99" w:rsidP="00EC6F99">
      <w:pPr>
        <w:jc w:val="center"/>
        <w:rPr>
          <w:rFonts w:ascii="Arial" w:hAnsi="Arial" w:cs="Arial"/>
          <w:b/>
          <w:bCs/>
          <w:sz w:val="40"/>
          <w:szCs w:val="40"/>
        </w:rPr>
      </w:pPr>
    </w:p>
    <w:p w14:paraId="2CF23A1A" w14:textId="77777777" w:rsidR="00EC6F99" w:rsidRDefault="00EC6F99" w:rsidP="00EC6F99">
      <w:pPr>
        <w:jc w:val="center"/>
        <w:rPr>
          <w:rFonts w:ascii="Arial" w:hAnsi="Arial" w:cs="Arial"/>
          <w:b/>
          <w:bCs/>
          <w:sz w:val="40"/>
          <w:szCs w:val="40"/>
        </w:rPr>
      </w:pPr>
    </w:p>
    <w:p w14:paraId="0BFFAB71" w14:textId="77777777" w:rsidR="00EC6F99" w:rsidRDefault="00EC6F99" w:rsidP="00EC6F99">
      <w:pPr>
        <w:jc w:val="center"/>
        <w:rPr>
          <w:rFonts w:ascii="Arial" w:hAnsi="Arial" w:cs="Arial"/>
          <w:b/>
          <w:bCs/>
          <w:sz w:val="40"/>
          <w:szCs w:val="40"/>
        </w:rPr>
      </w:pPr>
    </w:p>
    <w:p w14:paraId="1F880BB7" w14:textId="77777777" w:rsidR="00EC6F99" w:rsidRDefault="00EC6F99" w:rsidP="00EC6F99">
      <w:pPr>
        <w:jc w:val="center"/>
        <w:rPr>
          <w:rFonts w:ascii="Arial" w:hAnsi="Arial" w:cs="Arial"/>
          <w:b/>
          <w:bCs/>
          <w:sz w:val="40"/>
          <w:szCs w:val="40"/>
        </w:rPr>
      </w:pPr>
    </w:p>
    <w:p w14:paraId="54B02A47" w14:textId="77777777" w:rsidR="00EC6F99" w:rsidRDefault="00EC6F99" w:rsidP="00EC6F99">
      <w:pPr>
        <w:jc w:val="center"/>
        <w:rPr>
          <w:rFonts w:ascii="Arial" w:hAnsi="Arial" w:cs="Arial"/>
          <w:b/>
          <w:bCs/>
          <w:sz w:val="40"/>
          <w:szCs w:val="40"/>
        </w:rPr>
      </w:pPr>
    </w:p>
    <w:p w14:paraId="547CE547" w14:textId="77777777" w:rsidR="00EC6F99" w:rsidRDefault="00EC6F99" w:rsidP="00EC6F99">
      <w:pPr>
        <w:jc w:val="center"/>
        <w:rPr>
          <w:rFonts w:ascii="Arial" w:hAnsi="Arial" w:cs="Arial"/>
          <w:b/>
          <w:bCs/>
          <w:sz w:val="40"/>
          <w:szCs w:val="40"/>
        </w:rPr>
      </w:pPr>
    </w:p>
    <w:p w14:paraId="0A78744B" w14:textId="0552CC86" w:rsidR="001312DC" w:rsidRPr="00EC6F99" w:rsidRDefault="001312DC" w:rsidP="00EC6F99">
      <w:pPr>
        <w:jc w:val="center"/>
        <w:rPr>
          <w:rFonts w:ascii="Arial" w:hAnsi="Arial" w:cs="Arial"/>
          <w:b/>
          <w:bCs/>
          <w:sz w:val="40"/>
          <w:szCs w:val="40"/>
        </w:rPr>
      </w:pPr>
      <w:r w:rsidRPr="00EC6F99">
        <w:rPr>
          <w:rFonts w:ascii="Arial" w:hAnsi="Arial" w:cs="Arial"/>
          <w:b/>
          <w:bCs/>
          <w:sz w:val="40"/>
          <w:szCs w:val="40"/>
        </w:rPr>
        <w:t>INDIVIDUAL REPORT</w:t>
      </w:r>
    </w:p>
    <w:p w14:paraId="4E4714B2" w14:textId="77777777" w:rsidR="00EC6F99" w:rsidRDefault="00EC6F99" w:rsidP="001312DC">
      <w:pPr>
        <w:jc w:val="both"/>
        <w:rPr>
          <w:rFonts w:ascii="Arial" w:hAnsi="Arial" w:cs="Arial"/>
        </w:rPr>
      </w:pPr>
    </w:p>
    <w:p w14:paraId="32C17F3A" w14:textId="77777777" w:rsidR="00EC6F99" w:rsidRDefault="00EC6F99" w:rsidP="001312DC">
      <w:pPr>
        <w:jc w:val="both"/>
        <w:rPr>
          <w:rFonts w:ascii="Arial" w:hAnsi="Arial" w:cs="Arial"/>
        </w:rPr>
      </w:pPr>
    </w:p>
    <w:p w14:paraId="15E486B9" w14:textId="77777777" w:rsidR="00EC6F99" w:rsidRDefault="00EC6F99" w:rsidP="001312DC">
      <w:pPr>
        <w:jc w:val="both"/>
        <w:rPr>
          <w:rFonts w:ascii="Arial" w:hAnsi="Arial" w:cs="Arial"/>
        </w:rPr>
      </w:pPr>
    </w:p>
    <w:p w14:paraId="5A5BFBB1" w14:textId="77777777" w:rsidR="00EC6F99" w:rsidRDefault="00EC6F99" w:rsidP="001312DC">
      <w:pPr>
        <w:jc w:val="both"/>
        <w:rPr>
          <w:rFonts w:ascii="Arial" w:hAnsi="Arial" w:cs="Arial"/>
        </w:rPr>
      </w:pPr>
    </w:p>
    <w:p w14:paraId="7431FB31" w14:textId="77777777" w:rsidR="00EC6F99" w:rsidRDefault="00EC6F99" w:rsidP="001312DC">
      <w:pPr>
        <w:jc w:val="both"/>
        <w:rPr>
          <w:rFonts w:ascii="Arial" w:hAnsi="Arial" w:cs="Arial"/>
        </w:rPr>
      </w:pPr>
    </w:p>
    <w:p w14:paraId="4A121B8A" w14:textId="15D3AA1E" w:rsidR="001312DC" w:rsidRPr="001312DC" w:rsidRDefault="001312DC" w:rsidP="00EC6F99">
      <w:pPr>
        <w:jc w:val="both"/>
        <w:rPr>
          <w:rFonts w:ascii="Arial" w:hAnsi="Arial" w:cs="Arial"/>
        </w:rPr>
      </w:pPr>
      <w:r w:rsidRPr="001312DC">
        <w:rPr>
          <w:rFonts w:ascii="Arial" w:hAnsi="Arial" w:cs="Arial"/>
        </w:rPr>
        <w:t>Module Code: LCLM5002</w:t>
      </w:r>
    </w:p>
    <w:p w14:paraId="33B7631C" w14:textId="05EB194A" w:rsidR="001312DC" w:rsidRPr="001312DC" w:rsidRDefault="00EC6F99" w:rsidP="00EC6F99">
      <w:pPr>
        <w:jc w:val="both"/>
        <w:rPr>
          <w:rFonts w:ascii="Arial" w:hAnsi="Arial" w:cs="Arial"/>
        </w:rPr>
      </w:pPr>
      <w:r>
        <w:rPr>
          <w:rFonts w:ascii="Arial" w:hAnsi="Arial" w:cs="Arial"/>
        </w:rPr>
        <w:t>Student Name</w:t>
      </w:r>
      <w:r w:rsidR="001312DC" w:rsidRPr="001312DC">
        <w:rPr>
          <w:rFonts w:ascii="Arial" w:hAnsi="Arial" w:cs="Arial"/>
        </w:rPr>
        <w:t>:</w:t>
      </w:r>
      <w:r>
        <w:rPr>
          <w:rFonts w:ascii="Arial" w:hAnsi="Arial" w:cs="Arial"/>
        </w:rPr>
        <w:t xml:space="preserve"> Oleg Vlasov</w:t>
      </w:r>
    </w:p>
    <w:p w14:paraId="1D620B2E" w14:textId="4A3276F0" w:rsidR="001312DC" w:rsidRPr="001312DC" w:rsidRDefault="00EC6F99" w:rsidP="00EC6F99">
      <w:pPr>
        <w:jc w:val="both"/>
        <w:rPr>
          <w:rFonts w:ascii="Arial" w:hAnsi="Arial" w:cs="Arial"/>
        </w:rPr>
      </w:pPr>
      <w:r>
        <w:rPr>
          <w:rFonts w:ascii="Arial" w:hAnsi="Arial" w:cs="Arial"/>
        </w:rPr>
        <w:t>Student Number</w:t>
      </w:r>
      <w:r w:rsidR="001312DC" w:rsidRPr="001312DC">
        <w:rPr>
          <w:rFonts w:ascii="Arial" w:hAnsi="Arial" w:cs="Arial"/>
        </w:rPr>
        <w:t xml:space="preserve">: </w:t>
      </w:r>
      <w:r>
        <w:rPr>
          <w:rFonts w:ascii="Arial" w:hAnsi="Arial" w:cs="Arial"/>
        </w:rPr>
        <w:t>2413801</w:t>
      </w:r>
    </w:p>
    <w:p w14:paraId="5553ADAA" w14:textId="3DA3839C" w:rsidR="001312DC" w:rsidRPr="001312DC" w:rsidRDefault="00EC6F99" w:rsidP="00EC6F99">
      <w:pPr>
        <w:jc w:val="both"/>
        <w:rPr>
          <w:rFonts w:ascii="Arial" w:hAnsi="Arial" w:cs="Arial"/>
        </w:rPr>
      </w:pPr>
      <w:r>
        <w:rPr>
          <w:rFonts w:ascii="Arial" w:hAnsi="Arial" w:cs="Arial"/>
        </w:rPr>
        <w:t>Lecturer</w:t>
      </w:r>
      <w:r w:rsidR="001312DC" w:rsidRPr="001312DC">
        <w:rPr>
          <w:rFonts w:ascii="Arial" w:hAnsi="Arial" w:cs="Arial"/>
        </w:rPr>
        <w:t xml:space="preserve">: </w:t>
      </w:r>
      <w:r>
        <w:rPr>
          <w:rFonts w:ascii="Arial" w:hAnsi="Arial" w:cs="Arial"/>
        </w:rPr>
        <w:t>Nishi Ramsurrun</w:t>
      </w:r>
    </w:p>
    <w:p w14:paraId="063A3751" w14:textId="43AD0BCD" w:rsidR="001312DC" w:rsidRDefault="00EC6F99" w:rsidP="00EC6F99">
      <w:pPr>
        <w:jc w:val="both"/>
        <w:rPr>
          <w:rFonts w:ascii="Arial" w:hAnsi="Arial" w:cs="Arial"/>
        </w:rPr>
      </w:pPr>
      <w:r>
        <w:rPr>
          <w:rFonts w:ascii="Arial" w:hAnsi="Arial" w:cs="Arial"/>
        </w:rPr>
        <w:t>Date</w:t>
      </w:r>
      <w:r w:rsidR="001312DC" w:rsidRPr="001312DC">
        <w:rPr>
          <w:rFonts w:ascii="Arial" w:hAnsi="Arial" w:cs="Arial"/>
        </w:rPr>
        <w:t xml:space="preserve">: </w:t>
      </w:r>
      <w:r>
        <w:rPr>
          <w:rFonts w:ascii="Arial" w:hAnsi="Arial" w:cs="Arial"/>
        </w:rPr>
        <w:t>August 2026</w:t>
      </w:r>
    </w:p>
    <w:p w14:paraId="59FB11D8" w14:textId="77777777" w:rsidR="001312DC" w:rsidRDefault="001312DC" w:rsidP="001312DC">
      <w:pPr>
        <w:jc w:val="both"/>
        <w:rPr>
          <w:rFonts w:ascii="Arial" w:hAnsi="Arial" w:cs="Arial"/>
        </w:rPr>
      </w:pPr>
    </w:p>
    <w:p w14:paraId="61BFB6A7" w14:textId="77777777" w:rsidR="001312DC" w:rsidRDefault="001312DC" w:rsidP="001312DC">
      <w:pPr>
        <w:jc w:val="both"/>
        <w:rPr>
          <w:rFonts w:ascii="Arial" w:hAnsi="Arial" w:cs="Arial"/>
        </w:rPr>
      </w:pPr>
    </w:p>
    <w:p w14:paraId="2E3C8267" w14:textId="77777777" w:rsidR="001312DC" w:rsidRDefault="001312DC" w:rsidP="001312DC">
      <w:pPr>
        <w:jc w:val="both"/>
        <w:rPr>
          <w:rFonts w:ascii="Arial" w:hAnsi="Arial" w:cs="Arial"/>
        </w:rPr>
      </w:pPr>
    </w:p>
    <w:p w14:paraId="1CFD402E" w14:textId="77777777" w:rsidR="001312DC" w:rsidRDefault="001312DC" w:rsidP="001312DC">
      <w:pPr>
        <w:jc w:val="both"/>
        <w:rPr>
          <w:rFonts w:ascii="Arial" w:hAnsi="Arial" w:cs="Arial"/>
        </w:rPr>
      </w:pPr>
    </w:p>
    <w:p w14:paraId="560D0D45" w14:textId="77777777" w:rsidR="001312DC" w:rsidRDefault="001312DC" w:rsidP="001312DC">
      <w:pPr>
        <w:jc w:val="both"/>
        <w:rPr>
          <w:rFonts w:ascii="Arial" w:hAnsi="Arial" w:cs="Arial"/>
        </w:rPr>
      </w:pPr>
    </w:p>
    <w:p w14:paraId="4C6B7A3C" w14:textId="77777777" w:rsidR="001312DC" w:rsidRDefault="001312DC" w:rsidP="001312DC">
      <w:pPr>
        <w:jc w:val="both"/>
        <w:rPr>
          <w:rFonts w:ascii="Arial" w:hAnsi="Arial" w:cs="Arial"/>
        </w:rPr>
      </w:pPr>
    </w:p>
    <w:p w14:paraId="0E5C506F" w14:textId="77777777" w:rsidR="001312DC" w:rsidRDefault="001312DC" w:rsidP="001312DC">
      <w:pPr>
        <w:jc w:val="both"/>
        <w:rPr>
          <w:rFonts w:ascii="Arial" w:hAnsi="Arial" w:cs="Arial"/>
        </w:rPr>
      </w:pPr>
    </w:p>
    <w:p w14:paraId="6F55001D" w14:textId="77777777" w:rsidR="001312DC" w:rsidRDefault="001312DC" w:rsidP="001312DC">
      <w:pPr>
        <w:jc w:val="both"/>
        <w:rPr>
          <w:rFonts w:ascii="Arial" w:hAnsi="Arial" w:cs="Arial"/>
        </w:rPr>
      </w:pPr>
    </w:p>
    <w:p w14:paraId="2B99DB22" w14:textId="77777777" w:rsidR="001312DC" w:rsidRDefault="001312DC" w:rsidP="001312DC">
      <w:pPr>
        <w:jc w:val="both"/>
        <w:rPr>
          <w:rFonts w:ascii="Arial" w:hAnsi="Arial" w:cs="Arial"/>
        </w:rPr>
      </w:pPr>
    </w:p>
    <w:p w14:paraId="50EA3304" w14:textId="77777777" w:rsidR="001312DC" w:rsidRDefault="001312DC" w:rsidP="001312DC">
      <w:pPr>
        <w:jc w:val="both"/>
        <w:rPr>
          <w:rFonts w:ascii="Arial" w:hAnsi="Arial" w:cs="Arial"/>
        </w:rPr>
      </w:pPr>
    </w:p>
    <w:p w14:paraId="6CEEA5E3" w14:textId="77777777" w:rsidR="001312DC" w:rsidRDefault="001312DC" w:rsidP="001312DC">
      <w:pPr>
        <w:jc w:val="both"/>
        <w:rPr>
          <w:rFonts w:ascii="Arial" w:hAnsi="Arial" w:cs="Arial"/>
        </w:rPr>
      </w:pPr>
    </w:p>
    <w:p w14:paraId="455A3198" w14:textId="77777777" w:rsidR="001312DC" w:rsidRDefault="001312DC" w:rsidP="001312DC">
      <w:pPr>
        <w:jc w:val="both"/>
        <w:rPr>
          <w:rFonts w:ascii="Arial" w:hAnsi="Arial" w:cs="Arial"/>
        </w:rPr>
      </w:pPr>
    </w:p>
    <w:p w14:paraId="185ECD72" w14:textId="77777777" w:rsidR="001312DC" w:rsidRDefault="001312DC" w:rsidP="001312DC">
      <w:pPr>
        <w:jc w:val="both"/>
        <w:rPr>
          <w:rFonts w:ascii="Arial" w:hAnsi="Arial" w:cs="Arial"/>
        </w:rPr>
      </w:pPr>
    </w:p>
    <w:p w14:paraId="2928161A" w14:textId="77777777" w:rsidR="005A59B5" w:rsidRDefault="005A59B5" w:rsidP="001312DC">
      <w:pPr>
        <w:jc w:val="both"/>
        <w:rPr>
          <w:rFonts w:ascii="Arial" w:hAnsi="Arial" w:cs="Arial"/>
        </w:rPr>
      </w:pPr>
    </w:p>
    <w:p w14:paraId="7732EE90" w14:textId="77777777" w:rsidR="001312DC" w:rsidRDefault="001312DC" w:rsidP="001312DC">
      <w:pPr>
        <w:jc w:val="both"/>
        <w:rPr>
          <w:rFonts w:ascii="Arial" w:hAnsi="Arial" w:cs="Arial"/>
        </w:rPr>
      </w:pPr>
    </w:p>
    <w:sdt>
      <w:sdtPr>
        <w:rPr>
          <w:rFonts w:asciiTheme="minorHAnsi" w:eastAsiaTheme="minorHAnsi" w:hAnsiTheme="minorHAnsi" w:cstheme="minorBidi"/>
          <w:color w:val="auto"/>
          <w:sz w:val="22"/>
          <w:szCs w:val="22"/>
          <w14:ligatures w14:val="standardContextual"/>
        </w:rPr>
        <w:id w:val="-1017004891"/>
        <w:docPartObj>
          <w:docPartGallery w:val="Table of Contents"/>
          <w:docPartUnique/>
        </w:docPartObj>
      </w:sdtPr>
      <w:sdtEndPr>
        <w:rPr>
          <w:b/>
          <w:bCs/>
          <w:noProof/>
        </w:rPr>
      </w:sdtEndPr>
      <w:sdtContent>
        <w:p w14:paraId="576B537F" w14:textId="7D3E7F92" w:rsidR="001312DC" w:rsidRPr="00EC6F99" w:rsidRDefault="001312DC">
          <w:pPr>
            <w:pStyle w:val="TOCHeading"/>
            <w:rPr>
              <w:rFonts w:ascii="Arial" w:hAnsi="Arial" w:cs="Arial"/>
              <w:b/>
              <w:bCs/>
              <w:color w:val="auto"/>
              <w:sz w:val="28"/>
              <w:szCs w:val="28"/>
              <w:lang w:val="en-GB"/>
            </w:rPr>
          </w:pPr>
          <w:r w:rsidRPr="00050DE0">
            <w:rPr>
              <w:rFonts w:ascii="Arial" w:hAnsi="Arial" w:cs="Arial"/>
              <w:b/>
              <w:bCs/>
              <w:color w:val="auto"/>
              <w:sz w:val="28"/>
              <w:szCs w:val="28"/>
            </w:rPr>
            <w:t>Contents</w:t>
          </w:r>
        </w:p>
        <w:p w14:paraId="56A277EC" w14:textId="33B6E91E" w:rsidR="00050DE0" w:rsidRDefault="001312DC">
          <w:pPr>
            <w:pStyle w:val="TOC1"/>
            <w:tabs>
              <w:tab w:val="right" w:leader="dot" w:pos="9345"/>
            </w:tabs>
            <w:rPr>
              <w:rFonts w:eastAsiaTheme="minorEastAsia"/>
              <w:noProof/>
              <w:kern w:val="2"/>
              <w:sz w:val="24"/>
              <w:szCs w:val="24"/>
            </w:rPr>
          </w:pPr>
          <w:r>
            <w:fldChar w:fldCharType="begin"/>
          </w:r>
          <w:r w:rsidRPr="001312DC">
            <w:rPr>
              <w:lang w:val="ru-RU"/>
            </w:rPr>
            <w:instrText xml:space="preserve"> </w:instrText>
          </w:r>
          <w:r>
            <w:instrText>TOC</w:instrText>
          </w:r>
          <w:r w:rsidRPr="001312DC">
            <w:rPr>
              <w:lang w:val="ru-RU"/>
            </w:rPr>
            <w:instrText xml:space="preserve"> \</w:instrText>
          </w:r>
          <w:r>
            <w:instrText>o</w:instrText>
          </w:r>
          <w:r w:rsidRPr="001312DC">
            <w:rPr>
              <w:lang w:val="ru-RU"/>
            </w:rPr>
            <w:instrText xml:space="preserve"> "1-3" \</w:instrText>
          </w:r>
          <w:r>
            <w:instrText>h</w:instrText>
          </w:r>
          <w:r w:rsidRPr="001312DC">
            <w:rPr>
              <w:lang w:val="ru-RU"/>
            </w:rPr>
            <w:instrText xml:space="preserve"> \</w:instrText>
          </w:r>
          <w:r>
            <w:instrText>z</w:instrText>
          </w:r>
          <w:r w:rsidRPr="001312DC">
            <w:rPr>
              <w:lang w:val="ru-RU"/>
            </w:rPr>
            <w:instrText xml:space="preserve"> \</w:instrText>
          </w:r>
          <w:r>
            <w:instrText>u</w:instrText>
          </w:r>
          <w:r w:rsidRPr="001312DC">
            <w:rPr>
              <w:lang w:val="ru-RU"/>
            </w:rPr>
            <w:instrText xml:space="preserve"> </w:instrText>
          </w:r>
          <w:r>
            <w:fldChar w:fldCharType="separate"/>
          </w:r>
          <w:hyperlink w:anchor="_Toc236341393" w:history="1">
            <w:r w:rsidR="00050DE0" w:rsidRPr="00450821">
              <w:rPr>
                <w:rStyle w:val="Hyperlink"/>
                <w:rFonts w:ascii="Arial" w:hAnsi="Arial" w:cs="Arial"/>
                <w:noProof/>
              </w:rPr>
              <w:t>1.0 Introduction</w:t>
            </w:r>
            <w:r w:rsidR="00050DE0">
              <w:rPr>
                <w:noProof/>
                <w:webHidden/>
              </w:rPr>
              <w:tab/>
            </w:r>
            <w:r w:rsidR="00050DE0">
              <w:rPr>
                <w:noProof/>
                <w:webHidden/>
              </w:rPr>
              <w:fldChar w:fldCharType="begin"/>
            </w:r>
            <w:r w:rsidR="00050DE0">
              <w:rPr>
                <w:noProof/>
                <w:webHidden/>
              </w:rPr>
              <w:instrText xml:space="preserve"> PAGEREF _Toc236341393 \h </w:instrText>
            </w:r>
            <w:r w:rsidR="00050DE0">
              <w:rPr>
                <w:noProof/>
                <w:webHidden/>
              </w:rPr>
            </w:r>
            <w:r w:rsidR="00050DE0">
              <w:rPr>
                <w:noProof/>
                <w:webHidden/>
              </w:rPr>
              <w:fldChar w:fldCharType="separate"/>
            </w:r>
            <w:r w:rsidR="00050DE0">
              <w:rPr>
                <w:noProof/>
                <w:webHidden/>
              </w:rPr>
              <w:t>3</w:t>
            </w:r>
            <w:r w:rsidR="00050DE0">
              <w:rPr>
                <w:noProof/>
                <w:webHidden/>
              </w:rPr>
              <w:fldChar w:fldCharType="end"/>
            </w:r>
          </w:hyperlink>
        </w:p>
        <w:p w14:paraId="31DF787E" w14:textId="7D1CE4DE" w:rsidR="00050DE0" w:rsidRDefault="00050DE0">
          <w:pPr>
            <w:pStyle w:val="TOC1"/>
            <w:tabs>
              <w:tab w:val="right" w:leader="dot" w:pos="9345"/>
            </w:tabs>
            <w:rPr>
              <w:rFonts w:eastAsiaTheme="minorEastAsia"/>
              <w:noProof/>
              <w:kern w:val="2"/>
              <w:sz w:val="24"/>
              <w:szCs w:val="24"/>
            </w:rPr>
          </w:pPr>
          <w:hyperlink w:anchor="_Toc236341394" w:history="1">
            <w:r w:rsidRPr="00450821">
              <w:rPr>
                <w:rStyle w:val="Hyperlink"/>
                <w:rFonts w:ascii="Arial" w:hAnsi="Arial" w:cs="Arial"/>
                <w:noProof/>
              </w:rPr>
              <w:t>2.0 Key HR Challenges: Context and Specific Factors</w:t>
            </w:r>
            <w:r>
              <w:rPr>
                <w:noProof/>
                <w:webHidden/>
              </w:rPr>
              <w:tab/>
            </w:r>
            <w:r>
              <w:rPr>
                <w:noProof/>
                <w:webHidden/>
              </w:rPr>
              <w:fldChar w:fldCharType="begin"/>
            </w:r>
            <w:r>
              <w:rPr>
                <w:noProof/>
                <w:webHidden/>
              </w:rPr>
              <w:instrText xml:space="preserve"> PAGEREF _Toc236341394 \h </w:instrText>
            </w:r>
            <w:r>
              <w:rPr>
                <w:noProof/>
                <w:webHidden/>
              </w:rPr>
            </w:r>
            <w:r>
              <w:rPr>
                <w:noProof/>
                <w:webHidden/>
              </w:rPr>
              <w:fldChar w:fldCharType="separate"/>
            </w:r>
            <w:r>
              <w:rPr>
                <w:noProof/>
                <w:webHidden/>
              </w:rPr>
              <w:t>3</w:t>
            </w:r>
            <w:r>
              <w:rPr>
                <w:noProof/>
                <w:webHidden/>
              </w:rPr>
              <w:fldChar w:fldCharType="end"/>
            </w:r>
          </w:hyperlink>
        </w:p>
        <w:p w14:paraId="651E58DB" w14:textId="0270D378" w:rsidR="00050DE0" w:rsidRDefault="00050DE0">
          <w:pPr>
            <w:pStyle w:val="TOC2"/>
            <w:tabs>
              <w:tab w:val="right" w:leader="dot" w:pos="9345"/>
            </w:tabs>
            <w:rPr>
              <w:rFonts w:cstheme="minorBidi"/>
              <w:noProof/>
              <w:kern w:val="2"/>
              <w:sz w:val="24"/>
              <w:szCs w:val="24"/>
              <w14:ligatures w14:val="standardContextual"/>
            </w:rPr>
          </w:pPr>
          <w:hyperlink w:anchor="_Toc236341395" w:history="1">
            <w:r w:rsidRPr="00450821">
              <w:rPr>
                <w:rStyle w:val="Hyperlink"/>
                <w:rFonts w:ascii="Arial" w:eastAsiaTheme="minorHAnsi" w:hAnsi="Arial" w:cs="Arial"/>
                <w:noProof/>
              </w:rPr>
              <w:t>2.1 Technological Advancement</w:t>
            </w:r>
            <w:r>
              <w:rPr>
                <w:noProof/>
                <w:webHidden/>
              </w:rPr>
              <w:tab/>
            </w:r>
            <w:r>
              <w:rPr>
                <w:noProof/>
                <w:webHidden/>
              </w:rPr>
              <w:fldChar w:fldCharType="begin"/>
            </w:r>
            <w:r>
              <w:rPr>
                <w:noProof/>
                <w:webHidden/>
              </w:rPr>
              <w:instrText xml:space="preserve"> PAGEREF _Toc236341395 \h </w:instrText>
            </w:r>
            <w:r>
              <w:rPr>
                <w:noProof/>
                <w:webHidden/>
              </w:rPr>
            </w:r>
            <w:r>
              <w:rPr>
                <w:noProof/>
                <w:webHidden/>
              </w:rPr>
              <w:fldChar w:fldCharType="separate"/>
            </w:r>
            <w:r>
              <w:rPr>
                <w:noProof/>
                <w:webHidden/>
              </w:rPr>
              <w:t>3</w:t>
            </w:r>
            <w:r>
              <w:rPr>
                <w:noProof/>
                <w:webHidden/>
              </w:rPr>
              <w:fldChar w:fldCharType="end"/>
            </w:r>
          </w:hyperlink>
        </w:p>
        <w:p w14:paraId="5843B6A7" w14:textId="23CB81E6" w:rsidR="00050DE0" w:rsidRDefault="00050DE0">
          <w:pPr>
            <w:pStyle w:val="TOC2"/>
            <w:tabs>
              <w:tab w:val="right" w:leader="dot" w:pos="9345"/>
            </w:tabs>
            <w:rPr>
              <w:rFonts w:cstheme="minorBidi"/>
              <w:noProof/>
              <w:kern w:val="2"/>
              <w:sz w:val="24"/>
              <w:szCs w:val="24"/>
              <w14:ligatures w14:val="standardContextual"/>
            </w:rPr>
          </w:pPr>
          <w:hyperlink w:anchor="_Toc236341396" w:history="1">
            <w:r w:rsidRPr="00450821">
              <w:rPr>
                <w:rStyle w:val="Hyperlink"/>
                <w:rFonts w:ascii="Arial" w:eastAsiaTheme="minorHAnsi" w:hAnsi="Arial" w:cs="Arial"/>
                <w:noProof/>
              </w:rPr>
              <w:t>2.2 Talent Acquisition and Retention</w:t>
            </w:r>
            <w:r>
              <w:rPr>
                <w:noProof/>
                <w:webHidden/>
              </w:rPr>
              <w:tab/>
            </w:r>
            <w:r>
              <w:rPr>
                <w:noProof/>
                <w:webHidden/>
              </w:rPr>
              <w:fldChar w:fldCharType="begin"/>
            </w:r>
            <w:r>
              <w:rPr>
                <w:noProof/>
                <w:webHidden/>
              </w:rPr>
              <w:instrText xml:space="preserve"> PAGEREF _Toc236341396 \h </w:instrText>
            </w:r>
            <w:r>
              <w:rPr>
                <w:noProof/>
                <w:webHidden/>
              </w:rPr>
            </w:r>
            <w:r>
              <w:rPr>
                <w:noProof/>
                <w:webHidden/>
              </w:rPr>
              <w:fldChar w:fldCharType="separate"/>
            </w:r>
            <w:r>
              <w:rPr>
                <w:noProof/>
                <w:webHidden/>
              </w:rPr>
              <w:t>3</w:t>
            </w:r>
            <w:r>
              <w:rPr>
                <w:noProof/>
                <w:webHidden/>
              </w:rPr>
              <w:fldChar w:fldCharType="end"/>
            </w:r>
          </w:hyperlink>
        </w:p>
        <w:p w14:paraId="38C3107E" w14:textId="18CDB093" w:rsidR="00050DE0" w:rsidRDefault="00050DE0">
          <w:pPr>
            <w:pStyle w:val="TOC2"/>
            <w:tabs>
              <w:tab w:val="right" w:leader="dot" w:pos="9345"/>
            </w:tabs>
            <w:rPr>
              <w:rFonts w:cstheme="minorBidi"/>
              <w:noProof/>
              <w:kern w:val="2"/>
              <w:sz w:val="24"/>
              <w:szCs w:val="24"/>
              <w14:ligatures w14:val="standardContextual"/>
            </w:rPr>
          </w:pPr>
          <w:hyperlink w:anchor="_Toc236341397" w:history="1">
            <w:r w:rsidRPr="00450821">
              <w:rPr>
                <w:rStyle w:val="Hyperlink"/>
                <w:rFonts w:ascii="Arial" w:eastAsiaTheme="minorHAnsi" w:hAnsi="Arial" w:cs="Arial"/>
                <w:noProof/>
              </w:rPr>
              <w:t>2.3 Diversity, Equity and Inclusion (DEI)</w:t>
            </w:r>
            <w:r>
              <w:rPr>
                <w:noProof/>
                <w:webHidden/>
              </w:rPr>
              <w:tab/>
            </w:r>
            <w:r>
              <w:rPr>
                <w:noProof/>
                <w:webHidden/>
              </w:rPr>
              <w:fldChar w:fldCharType="begin"/>
            </w:r>
            <w:r>
              <w:rPr>
                <w:noProof/>
                <w:webHidden/>
              </w:rPr>
              <w:instrText xml:space="preserve"> PAGEREF _Toc236341397 \h </w:instrText>
            </w:r>
            <w:r>
              <w:rPr>
                <w:noProof/>
                <w:webHidden/>
              </w:rPr>
            </w:r>
            <w:r>
              <w:rPr>
                <w:noProof/>
                <w:webHidden/>
              </w:rPr>
              <w:fldChar w:fldCharType="separate"/>
            </w:r>
            <w:r>
              <w:rPr>
                <w:noProof/>
                <w:webHidden/>
              </w:rPr>
              <w:t>3</w:t>
            </w:r>
            <w:r>
              <w:rPr>
                <w:noProof/>
                <w:webHidden/>
              </w:rPr>
              <w:fldChar w:fldCharType="end"/>
            </w:r>
          </w:hyperlink>
        </w:p>
        <w:p w14:paraId="2E5C73DD" w14:textId="43AC01D7" w:rsidR="00050DE0" w:rsidRDefault="00050DE0">
          <w:pPr>
            <w:pStyle w:val="TOC1"/>
            <w:tabs>
              <w:tab w:val="right" w:leader="dot" w:pos="9345"/>
            </w:tabs>
            <w:rPr>
              <w:rFonts w:eastAsiaTheme="minorEastAsia"/>
              <w:noProof/>
              <w:kern w:val="2"/>
              <w:sz w:val="24"/>
              <w:szCs w:val="24"/>
            </w:rPr>
          </w:pPr>
          <w:hyperlink w:anchor="_Toc236341398" w:history="1">
            <w:r w:rsidRPr="00450821">
              <w:rPr>
                <w:rStyle w:val="Hyperlink"/>
                <w:rFonts w:ascii="Arial" w:hAnsi="Arial" w:cs="Arial"/>
                <w:noProof/>
              </w:rPr>
              <w:t>3.0 Evaluation of Contemporary HR Practices</w:t>
            </w:r>
            <w:r>
              <w:rPr>
                <w:noProof/>
                <w:webHidden/>
              </w:rPr>
              <w:tab/>
            </w:r>
            <w:r>
              <w:rPr>
                <w:noProof/>
                <w:webHidden/>
              </w:rPr>
              <w:fldChar w:fldCharType="begin"/>
            </w:r>
            <w:r>
              <w:rPr>
                <w:noProof/>
                <w:webHidden/>
              </w:rPr>
              <w:instrText xml:space="preserve"> PAGEREF _Toc236341398 \h </w:instrText>
            </w:r>
            <w:r>
              <w:rPr>
                <w:noProof/>
                <w:webHidden/>
              </w:rPr>
            </w:r>
            <w:r>
              <w:rPr>
                <w:noProof/>
                <w:webHidden/>
              </w:rPr>
              <w:fldChar w:fldCharType="separate"/>
            </w:r>
            <w:r>
              <w:rPr>
                <w:noProof/>
                <w:webHidden/>
              </w:rPr>
              <w:t>4</w:t>
            </w:r>
            <w:r>
              <w:rPr>
                <w:noProof/>
                <w:webHidden/>
              </w:rPr>
              <w:fldChar w:fldCharType="end"/>
            </w:r>
          </w:hyperlink>
        </w:p>
        <w:p w14:paraId="2BD5A0B4" w14:textId="09198901" w:rsidR="00050DE0" w:rsidRDefault="00050DE0">
          <w:pPr>
            <w:pStyle w:val="TOC2"/>
            <w:tabs>
              <w:tab w:val="right" w:leader="dot" w:pos="9345"/>
            </w:tabs>
            <w:rPr>
              <w:rFonts w:cstheme="minorBidi"/>
              <w:noProof/>
              <w:kern w:val="2"/>
              <w:sz w:val="24"/>
              <w:szCs w:val="24"/>
              <w14:ligatures w14:val="standardContextual"/>
            </w:rPr>
          </w:pPr>
          <w:hyperlink w:anchor="_Toc236341399" w:history="1">
            <w:r w:rsidRPr="00450821">
              <w:rPr>
                <w:rStyle w:val="Hyperlink"/>
                <w:rFonts w:ascii="Arial" w:eastAsiaTheme="minorHAnsi" w:hAnsi="Arial" w:cs="Arial"/>
                <w:noProof/>
              </w:rPr>
              <w:t>3.1 Addressing Technological Advancement</w:t>
            </w:r>
            <w:r>
              <w:rPr>
                <w:noProof/>
                <w:webHidden/>
              </w:rPr>
              <w:tab/>
            </w:r>
            <w:r>
              <w:rPr>
                <w:noProof/>
                <w:webHidden/>
              </w:rPr>
              <w:fldChar w:fldCharType="begin"/>
            </w:r>
            <w:r>
              <w:rPr>
                <w:noProof/>
                <w:webHidden/>
              </w:rPr>
              <w:instrText xml:space="preserve"> PAGEREF _Toc236341399 \h </w:instrText>
            </w:r>
            <w:r>
              <w:rPr>
                <w:noProof/>
                <w:webHidden/>
              </w:rPr>
            </w:r>
            <w:r>
              <w:rPr>
                <w:noProof/>
                <w:webHidden/>
              </w:rPr>
              <w:fldChar w:fldCharType="separate"/>
            </w:r>
            <w:r>
              <w:rPr>
                <w:noProof/>
                <w:webHidden/>
              </w:rPr>
              <w:t>4</w:t>
            </w:r>
            <w:r>
              <w:rPr>
                <w:noProof/>
                <w:webHidden/>
              </w:rPr>
              <w:fldChar w:fldCharType="end"/>
            </w:r>
          </w:hyperlink>
        </w:p>
        <w:p w14:paraId="3D82F4CE" w14:textId="0C53BA63" w:rsidR="00050DE0" w:rsidRDefault="00050DE0">
          <w:pPr>
            <w:pStyle w:val="TOC2"/>
            <w:tabs>
              <w:tab w:val="right" w:leader="dot" w:pos="9345"/>
            </w:tabs>
            <w:rPr>
              <w:rFonts w:cstheme="minorBidi"/>
              <w:noProof/>
              <w:kern w:val="2"/>
              <w:sz w:val="24"/>
              <w:szCs w:val="24"/>
              <w14:ligatures w14:val="standardContextual"/>
            </w:rPr>
          </w:pPr>
          <w:hyperlink w:anchor="_Toc236341400" w:history="1">
            <w:r w:rsidRPr="00450821">
              <w:rPr>
                <w:rStyle w:val="Hyperlink"/>
                <w:rFonts w:ascii="Arial" w:eastAsiaTheme="minorHAnsi" w:hAnsi="Arial" w:cs="Arial"/>
                <w:noProof/>
              </w:rPr>
              <w:t>3.2 Improving Talent Acquisition and Retention</w:t>
            </w:r>
            <w:r>
              <w:rPr>
                <w:noProof/>
                <w:webHidden/>
              </w:rPr>
              <w:tab/>
            </w:r>
            <w:r>
              <w:rPr>
                <w:noProof/>
                <w:webHidden/>
              </w:rPr>
              <w:fldChar w:fldCharType="begin"/>
            </w:r>
            <w:r>
              <w:rPr>
                <w:noProof/>
                <w:webHidden/>
              </w:rPr>
              <w:instrText xml:space="preserve"> PAGEREF _Toc236341400 \h </w:instrText>
            </w:r>
            <w:r>
              <w:rPr>
                <w:noProof/>
                <w:webHidden/>
              </w:rPr>
            </w:r>
            <w:r>
              <w:rPr>
                <w:noProof/>
                <w:webHidden/>
              </w:rPr>
              <w:fldChar w:fldCharType="separate"/>
            </w:r>
            <w:r>
              <w:rPr>
                <w:noProof/>
                <w:webHidden/>
              </w:rPr>
              <w:t>4</w:t>
            </w:r>
            <w:r>
              <w:rPr>
                <w:noProof/>
                <w:webHidden/>
              </w:rPr>
              <w:fldChar w:fldCharType="end"/>
            </w:r>
          </w:hyperlink>
        </w:p>
        <w:p w14:paraId="63F64D63" w14:textId="4D589D2C" w:rsidR="00050DE0" w:rsidRDefault="00050DE0">
          <w:pPr>
            <w:pStyle w:val="TOC2"/>
            <w:tabs>
              <w:tab w:val="right" w:leader="dot" w:pos="9345"/>
            </w:tabs>
            <w:rPr>
              <w:rFonts w:cstheme="minorBidi"/>
              <w:noProof/>
              <w:kern w:val="2"/>
              <w:sz w:val="24"/>
              <w:szCs w:val="24"/>
              <w14:ligatures w14:val="standardContextual"/>
            </w:rPr>
          </w:pPr>
          <w:hyperlink w:anchor="_Toc236341401" w:history="1">
            <w:r w:rsidRPr="00450821">
              <w:rPr>
                <w:rStyle w:val="Hyperlink"/>
                <w:rFonts w:ascii="Arial" w:eastAsiaTheme="minorHAnsi" w:hAnsi="Arial" w:cs="Arial"/>
                <w:noProof/>
              </w:rPr>
              <w:t>3.3 Advancing Diversity, Equity and Inclusion</w:t>
            </w:r>
            <w:r>
              <w:rPr>
                <w:noProof/>
                <w:webHidden/>
              </w:rPr>
              <w:tab/>
            </w:r>
            <w:r>
              <w:rPr>
                <w:noProof/>
                <w:webHidden/>
              </w:rPr>
              <w:fldChar w:fldCharType="begin"/>
            </w:r>
            <w:r>
              <w:rPr>
                <w:noProof/>
                <w:webHidden/>
              </w:rPr>
              <w:instrText xml:space="preserve"> PAGEREF _Toc236341401 \h </w:instrText>
            </w:r>
            <w:r>
              <w:rPr>
                <w:noProof/>
                <w:webHidden/>
              </w:rPr>
            </w:r>
            <w:r>
              <w:rPr>
                <w:noProof/>
                <w:webHidden/>
              </w:rPr>
              <w:fldChar w:fldCharType="separate"/>
            </w:r>
            <w:r>
              <w:rPr>
                <w:noProof/>
                <w:webHidden/>
              </w:rPr>
              <w:t>4</w:t>
            </w:r>
            <w:r>
              <w:rPr>
                <w:noProof/>
                <w:webHidden/>
              </w:rPr>
              <w:fldChar w:fldCharType="end"/>
            </w:r>
          </w:hyperlink>
        </w:p>
        <w:p w14:paraId="7B03C4E6" w14:textId="1E6A8EBA" w:rsidR="00050DE0" w:rsidRDefault="00050DE0">
          <w:pPr>
            <w:pStyle w:val="TOC1"/>
            <w:tabs>
              <w:tab w:val="right" w:leader="dot" w:pos="9345"/>
            </w:tabs>
            <w:rPr>
              <w:rFonts w:eastAsiaTheme="minorEastAsia"/>
              <w:noProof/>
              <w:kern w:val="2"/>
              <w:sz w:val="24"/>
              <w:szCs w:val="24"/>
            </w:rPr>
          </w:pPr>
          <w:hyperlink w:anchor="_Toc236341402" w:history="1">
            <w:r w:rsidRPr="00450821">
              <w:rPr>
                <w:rStyle w:val="Hyperlink"/>
                <w:rFonts w:ascii="Arial" w:hAnsi="Arial" w:cs="Arial"/>
                <w:noProof/>
              </w:rPr>
              <w:t>4.0 Critical Evaluation of Implementation by Departmental Managers</w:t>
            </w:r>
            <w:r>
              <w:rPr>
                <w:noProof/>
                <w:webHidden/>
              </w:rPr>
              <w:tab/>
            </w:r>
            <w:r>
              <w:rPr>
                <w:noProof/>
                <w:webHidden/>
              </w:rPr>
              <w:fldChar w:fldCharType="begin"/>
            </w:r>
            <w:r>
              <w:rPr>
                <w:noProof/>
                <w:webHidden/>
              </w:rPr>
              <w:instrText xml:space="preserve"> PAGEREF _Toc236341402 \h </w:instrText>
            </w:r>
            <w:r>
              <w:rPr>
                <w:noProof/>
                <w:webHidden/>
              </w:rPr>
            </w:r>
            <w:r>
              <w:rPr>
                <w:noProof/>
                <w:webHidden/>
              </w:rPr>
              <w:fldChar w:fldCharType="separate"/>
            </w:r>
            <w:r>
              <w:rPr>
                <w:noProof/>
                <w:webHidden/>
              </w:rPr>
              <w:t>4</w:t>
            </w:r>
            <w:r>
              <w:rPr>
                <w:noProof/>
                <w:webHidden/>
              </w:rPr>
              <w:fldChar w:fldCharType="end"/>
            </w:r>
          </w:hyperlink>
        </w:p>
        <w:p w14:paraId="5AA5A802" w14:textId="7CCA26C7" w:rsidR="00050DE0" w:rsidRDefault="00050DE0">
          <w:pPr>
            <w:pStyle w:val="TOC1"/>
            <w:tabs>
              <w:tab w:val="right" w:leader="dot" w:pos="9345"/>
            </w:tabs>
            <w:rPr>
              <w:rFonts w:eastAsiaTheme="minorEastAsia"/>
              <w:noProof/>
              <w:kern w:val="2"/>
              <w:sz w:val="24"/>
              <w:szCs w:val="24"/>
            </w:rPr>
          </w:pPr>
          <w:hyperlink w:anchor="_Toc236341403" w:history="1">
            <w:r w:rsidRPr="00450821">
              <w:rPr>
                <w:rStyle w:val="Hyperlink"/>
                <w:rFonts w:ascii="Arial" w:hAnsi="Arial" w:cs="Arial"/>
                <w:noProof/>
              </w:rPr>
              <w:t>5.0 Conclusion and Recommendations</w:t>
            </w:r>
            <w:r>
              <w:rPr>
                <w:noProof/>
                <w:webHidden/>
              </w:rPr>
              <w:tab/>
            </w:r>
            <w:r>
              <w:rPr>
                <w:noProof/>
                <w:webHidden/>
              </w:rPr>
              <w:fldChar w:fldCharType="begin"/>
            </w:r>
            <w:r>
              <w:rPr>
                <w:noProof/>
                <w:webHidden/>
              </w:rPr>
              <w:instrText xml:space="preserve"> PAGEREF _Toc236341403 \h </w:instrText>
            </w:r>
            <w:r>
              <w:rPr>
                <w:noProof/>
                <w:webHidden/>
              </w:rPr>
            </w:r>
            <w:r>
              <w:rPr>
                <w:noProof/>
                <w:webHidden/>
              </w:rPr>
              <w:fldChar w:fldCharType="separate"/>
            </w:r>
            <w:r>
              <w:rPr>
                <w:noProof/>
                <w:webHidden/>
              </w:rPr>
              <w:t>5</w:t>
            </w:r>
            <w:r>
              <w:rPr>
                <w:noProof/>
                <w:webHidden/>
              </w:rPr>
              <w:fldChar w:fldCharType="end"/>
            </w:r>
          </w:hyperlink>
        </w:p>
        <w:p w14:paraId="202B49B1" w14:textId="683B32E6" w:rsidR="00050DE0" w:rsidRDefault="00050DE0">
          <w:pPr>
            <w:pStyle w:val="TOC1"/>
            <w:tabs>
              <w:tab w:val="right" w:leader="dot" w:pos="9345"/>
            </w:tabs>
            <w:rPr>
              <w:rFonts w:eastAsiaTheme="minorEastAsia"/>
              <w:noProof/>
              <w:kern w:val="2"/>
              <w:sz w:val="24"/>
              <w:szCs w:val="24"/>
            </w:rPr>
          </w:pPr>
          <w:hyperlink w:anchor="_Toc236341404" w:history="1">
            <w:r w:rsidRPr="0045082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_Toc236341404 \h </w:instrText>
            </w:r>
            <w:r>
              <w:rPr>
                <w:noProof/>
                <w:webHidden/>
              </w:rPr>
            </w:r>
            <w:r>
              <w:rPr>
                <w:noProof/>
                <w:webHidden/>
              </w:rPr>
              <w:fldChar w:fldCharType="separate"/>
            </w:r>
            <w:r>
              <w:rPr>
                <w:noProof/>
                <w:webHidden/>
              </w:rPr>
              <w:t>6</w:t>
            </w:r>
            <w:r>
              <w:rPr>
                <w:noProof/>
                <w:webHidden/>
              </w:rPr>
              <w:fldChar w:fldCharType="end"/>
            </w:r>
          </w:hyperlink>
        </w:p>
        <w:p w14:paraId="4B6F1D22" w14:textId="37B6D388" w:rsidR="001312DC" w:rsidRPr="001312DC" w:rsidRDefault="001312DC">
          <w:pPr>
            <w:rPr>
              <w:lang w:val="ru-RU"/>
            </w:rPr>
          </w:pPr>
          <w:r>
            <w:rPr>
              <w:b/>
              <w:bCs/>
              <w:noProof/>
            </w:rPr>
            <w:fldChar w:fldCharType="end"/>
          </w:r>
        </w:p>
      </w:sdtContent>
    </w:sdt>
    <w:p w14:paraId="5778A872" w14:textId="77777777" w:rsidR="001312DC" w:rsidRPr="001312DC" w:rsidRDefault="001312DC" w:rsidP="001312DC">
      <w:pPr>
        <w:jc w:val="both"/>
        <w:rPr>
          <w:rFonts w:ascii="Arial" w:hAnsi="Arial" w:cs="Arial"/>
          <w:lang w:val="ru-RU"/>
        </w:rPr>
      </w:pPr>
    </w:p>
    <w:p w14:paraId="022873C9" w14:textId="77777777" w:rsidR="001312DC" w:rsidRPr="001312DC" w:rsidRDefault="001312DC" w:rsidP="001312DC">
      <w:pPr>
        <w:jc w:val="both"/>
        <w:rPr>
          <w:rFonts w:ascii="Arial" w:hAnsi="Arial" w:cs="Arial"/>
          <w:lang w:val="ru-RU"/>
        </w:rPr>
      </w:pPr>
    </w:p>
    <w:p w14:paraId="32385B28" w14:textId="77777777" w:rsidR="001312DC" w:rsidRPr="001312DC" w:rsidRDefault="001312DC" w:rsidP="001312DC">
      <w:pPr>
        <w:jc w:val="both"/>
        <w:rPr>
          <w:rFonts w:ascii="Arial" w:hAnsi="Arial" w:cs="Arial"/>
          <w:lang w:val="ru-RU"/>
        </w:rPr>
      </w:pPr>
    </w:p>
    <w:p w14:paraId="27308A33" w14:textId="77777777" w:rsidR="001312DC" w:rsidRPr="001312DC" w:rsidRDefault="001312DC" w:rsidP="001312DC">
      <w:pPr>
        <w:jc w:val="both"/>
        <w:rPr>
          <w:rFonts w:ascii="Arial" w:hAnsi="Arial" w:cs="Arial"/>
          <w:lang w:val="ru-RU"/>
        </w:rPr>
      </w:pPr>
    </w:p>
    <w:p w14:paraId="0B873B9C" w14:textId="77777777" w:rsidR="001312DC" w:rsidRPr="001312DC" w:rsidRDefault="001312DC" w:rsidP="001312DC">
      <w:pPr>
        <w:jc w:val="both"/>
        <w:rPr>
          <w:rFonts w:ascii="Arial" w:hAnsi="Arial" w:cs="Arial"/>
          <w:lang w:val="ru-RU"/>
        </w:rPr>
      </w:pPr>
    </w:p>
    <w:p w14:paraId="3D51DE6A" w14:textId="77777777" w:rsidR="001312DC" w:rsidRPr="001312DC" w:rsidRDefault="001312DC" w:rsidP="001312DC">
      <w:pPr>
        <w:jc w:val="both"/>
        <w:rPr>
          <w:rFonts w:ascii="Arial" w:hAnsi="Arial" w:cs="Arial"/>
          <w:lang w:val="ru-RU"/>
        </w:rPr>
      </w:pPr>
    </w:p>
    <w:p w14:paraId="6EC57757" w14:textId="77777777" w:rsidR="001312DC" w:rsidRPr="001312DC" w:rsidRDefault="001312DC" w:rsidP="001312DC">
      <w:pPr>
        <w:jc w:val="both"/>
        <w:rPr>
          <w:rFonts w:ascii="Arial" w:hAnsi="Arial" w:cs="Arial"/>
          <w:lang w:val="ru-RU"/>
        </w:rPr>
      </w:pPr>
    </w:p>
    <w:p w14:paraId="5A35FDE1" w14:textId="77777777" w:rsidR="001312DC" w:rsidRPr="001312DC" w:rsidRDefault="001312DC" w:rsidP="001312DC">
      <w:pPr>
        <w:jc w:val="both"/>
        <w:rPr>
          <w:rFonts w:ascii="Arial" w:hAnsi="Arial" w:cs="Arial"/>
          <w:lang w:val="ru-RU"/>
        </w:rPr>
      </w:pPr>
    </w:p>
    <w:p w14:paraId="5C3B3DD6" w14:textId="77777777" w:rsidR="001312DC" w:rsidRPr="001312DC" w:rsidRDefault="001312DC" w:rsidP="001312DC">
      <w:pPr>
        <w:jc w:val="both"/>
        <w:rPr>
          <w:rFonts w:ascii="Arial" w:hAnsi="Arial" w:cs="Arial"/>
          <w:lang w:val="ru-RU"/>
        </w:rPr>
      </w:pPr>
    </w:p>
    <w:p w14:paraId="4F9D4165" w14:textId="77777777" w:rsidR="001312DC" w:rsidRPr="001312DC" w:rsidRDefault="001312DC" w:rsidP="001312DC">
      <w:pPr>
        <w:jc w:val="both"/>
        <w:rPr>
          <w:rFonts w:ascii="Arial" w:hAnsi="Arial" w:cs="Arial"/>
          <w:lang w:val="ru-RU"/>
        </w:rPr>
      </w:pPr>
    </w:p>
    <w:p w14:paraId="363167B1" w14:textId="77777777" w:rsidR="001312DC" w:rsidRPr="001312DC" w:rsidRDefault="001312DC" w:rsidP="001312DC">
      <w:pPr>
        <w:jc w:val="both"/>
        <w:rPr>
          <w:rFonts w:ascii="Arial" w:hAnsi="Arial" w:cs="Arial"/>
          <w:lang w:val="ru-RU"/>
        </w:rPr>
      </w:pPr>
    </w:p>
    <w:p w14:paraId="2D896BDE" w14:textId="77777777" w:rsidR="001312DC" w:rsidRPr="001312DC" w:rsidRDefault="001312DC" w:rsidP="001312DC">
      <w:pPr>
        <w:jc w:val="both"/>
        <w:rPr>
          <w:rFonts w:ascii="Arial" w:hAnsi="Arial" w:cs="Arial"/>
          <w:lang w:val="ru-RU"/>
        </w:rPr>
      </w:pPr>
    </w:p>
    <w:p w14:paraId="5986C0A1" w14:textId="77777777" w:rsidR="001312DC" w:rsidRPr="001312DC" w:rsidRDefault="001312DC" w:rsidP="001312DC">
      <w:pPr>
        <w:jc w:val="both"/>
        <w:rPr>
          <w:rFonts w:ascii="Arial" w:hAnsi="Arial" w:cs="Arial"/>
          <w:lang w:val="ru-RU"/>
        </w:rPr>
      </w:pPr>
    </w:p>
    <w:p w14:paraId="7D16C454" w14:textId="77777777" w:rsidR="001312DC" w:rsidRPr="001312DC" w:rsidRDefault="001312DC" w:rsidP="001312DC">
      <w:pPr>
        <w:jc w:val="both"/>
        <w:rPr>
          <w:rFonts w:ascii="Arial" w:hAnsi="Arial" w:cs="Arial"/>
          <w:lang w:val="ru-RU"/>
        </w:rPr>
      </w:pPr>
    </w:p>
    <w:p w14:paraId="005771AA" w14:textId="77777777" w:rsidR="001312DC" w:rsidRPr="001312DC" w:rsidRDefault="001312DC" w:rsidP="001312DC">
      <w:pPr>
        <w:jc w:val="both"/>
        <w:rPr>
          <w:rFonts w:ascii="Arial" w:hAnsi="Arial" w:cs="Arial"/>
          <w:lang w:val="ru-RU"/>
        </w:rPr>
      </w:pPr>
    </w:p>
    <w:p w14:paraId="41C0039D" w14:textId="77777777" w:rsidR="001312DC" w:rsidRPr="001312DC" w:rsidRDefault="001312DC" w:rsidP="001312DC">
      <w:pPr>
        <w:jc w:val="both"/>
        <w:rPr>
          <w:rFonts w:ascii="Arial" w:hAnsi="Arial" w:cs="Arial"/>
          <w:lang w:val="ru-RU"/>
        </w:rPr>
      </w:pPr>
    </w:p>
    <w:p w14:paraId="7B067068" w14:textId="77777777" w:rsidR="001312DC" w:rsidRPr="001312DC" w:rsidRDefault="001312DC" w:rsidP="001312DC">
      <w:pPr>
        <w:jc w:val="both"/>
        <w:rPr>
          <w:rFonts w:ascii="Arial" w:hAnsi="Arial" w:cs="Arial"/>
          <w:lang w:val="ru-RU"/>
        </w:rPr>
      </w:pPr>
    </w:p>
    <w:p w14:paraId="1CD51642" w14:textId="77777777" w:rsidR="001312DC" w:rsidRPr="001312DC" w:rsidRDefault="001312DC" w:rsidP="001312DC">
      <w:pPr>
        <w:jc w:val="both"/>
        <w:rPr>
          <w:rFonts w:ascii="Arial" w:hAnsi="Arial" w:cs="Arial"/>
          <w:lang w:val="ru-RU"/>
        </w:rPr>
      </w:pPr>
    </w:p>
    <w:p w14:paraId="302BBC8F" w14:textId="77777777" w:rsidR="001312DC" w:rsidRPr="001312DC" w:rsidRDefault="001312DC" w:rsidP="001312DC">
      <w:pPr>
        <w:jc w:val="both"/>
        <w:rPr>
          <w:rFonts w:ascii="Arial" w:hAnsi="Arial" w:cs="Arial"/>
          <w:lang w:val="ru-RU"/>
        </w:rPr>
      </w:pPr>
    </w:p>
    <w:p w14:paraId="690A0F11" w14:textId="77777777" w:rsidR="001312DC" w:rsidRPr="001312DC" w:rsidRDefault="001312DC" w:rsidP="001312DC">
      <w:pPr>
        <w:jc w:val="both"/>
        <w:rPr>
          <w:rFonts w:ascii="Arial" w:hAnsi="Arial" w:cs="Arial"/>
          <w:lang w:val="ru-RU"/>
        </w:rPr>
      </w:pPr>
    </w:p>
    <w:p w14:paraId="53CA31B2" w14:textId="77777777" w:rsidR="001312DC" w:rsidRPr="001312DC" w:rsidRDefault="001312DC" w:rsidP="001312DC">
      <w:pPr>
        <w:jc w:val="both"/>
        <w:rPr>
          <w:rFonts w:ascii="Arial" w:hAnsi="Arial" w:cs="Arial"/>
          <w:lang w:val="ru-RU"/>
        </w:rPr>
      </w:pPr>
    </w:p>
    <w:p w14:paraId="1C88F612" w14:textId="77777777" w:rsidR="001312DC" w:rsidRPr="001312DC" w:rsidRDefault="001312DC" w:rsidP="001312DC">
      <w:pPr>
        <w:jc w:val="both"/>
        <w:rPr>
          <w:rFonts w:ascii="Arial" w:hAnsi="Arial" w:cs="Arial"/>
          <w:lang w:val="ru-RU"/>
        </w:rPr>
      </w:pPr>
    </w:p>
    <w:p w14:paraId="2DE36F96" w14:textId="4B860237" w:rsidR="001312DC" w:rsidRPr="00050DE0" w:rsidRDefault="001312DC" w:rsidP="001312DC">
      <w:pPr>
        <w:pStyle w:val="Heading1"/>
        <w:rPr>
          <w:rFonts w:ascii="Arial" w:hAnsi="Arial" w:cs="Arial"/>
          <w:sz w:val="28"/>
          <w:szCs w:val="28"/>
        </w:rPr>
      </w:pPr>
      <w:bookmarkStart w:id="0" w:name="_Toc236341393"/>
      <w:r w:rsidRPr="00050DE0">
        <w:rPr>
          <w:rFonts w:ascii="Arial" w:hAnsi="Arial" w:cs="Arial"/>
          <w:sz w:val="28"/>
          <w:szCs w:val="28"/>
        </w:rPr>
        <w:t>1.0 Introduction</w:t>
      </w:r>
      <w:bookmarkEnd w:id="0"/>
    </w:p>
    <w:p w14:paraId="77871697" w14:textId="77777777" w:rsidR="001312DC" w:rsidRPr="001312DC" w:rsidRDefault="001312DC" w:rsidP="001312DC">
      <w:pPr>
        <w:jc w:val="both"/>
        <w:rPr>
          <w:rFonts w:ascii="Arial" w:hAnsi="Arial" w:cs="Arial"/>
        </w:rPr>
      </w:pPr>
      <w:r w:rsidRPr="001312DC">
        <w:rPr>
          <w:rFonts w:ascii="Arial" w:hAnsi="Arial" w:cs="Arial"/>
        </w:rPr>
        <w:t xml:space="preserve">In the contemporary UK business landscape, human resource management (HRM) is pivotal to </w:t>
      </w:r>
      <w:proofErr w:type="spellStart"/>
      <w:r w:rsidRPr="001312DC">
        <w:rPr>
          <w:rFonts w:ascii="Arial" w:hAnsi="Arial" w:cs="Arial"/>
        </w:rPr>
        <w:t>organisational</w:t>
      </w:r>
      <w:proofErr w:type="spellEnd"/>
      <w:r w:rsidRPr="001312DC">
        <w:rPr>
          <w:rFonts w:ascii="Arial" w:hAnsi="Arial" w:cs="Arial"/>
        </w:rPr>
        <w:t xml:space="preserve"> resilience and competitive advantage. This report focuses on Tesco PLC, the UK’s largest grocery retailer, employing over 340,000 people across its operations (Tesco PLC, 2025). The report examines three critical HR challenges facing the firm: adapting to technological advancement, talent acquisition and retention, and advancing diversity, equity and inclusion (DEI). It then evaluates contemporary HR practices to address these issues, critically assesses how line managers can drive urgent implementation, and concludes with actionable recommendations aligned with sustainable business performance.</w:t>
      </w:r>
    </w:p>
    <w:p w14:paraId="147A9475" w14:textId="77777777" w:rsidR="001312DC" w:rsidRPr="00050DE0" w:rsidRDefault="001312DC" w:rsidP="001312DC">
      <w:pPr>
        <w:pStyle w:val="Heading1"/>
        <w:rPr>
          <w:rFonts w:ascii="Arial" w:hAnsi="Arial" w:cs="Arial"/>
          <w:sz w:val="28"/>
          <w:szCs w:val="28"/>
        </w:rPr>
      </w:pPr>
      <w:bookmarkStart w:id="1" w:name="_Toc236341394"/>
      <w:r w:rsidRPr="00050DE0">
        <w:rPr>
          <w:rFonts w:ascii="Arial" w:hAnsi="Arial" w:cs="Arial"/>
          <w:sz w:val="28"/>
          <w:szCs w:val="28"/>
        </w:rPr>
        <w:t>2.0 Key HR Challenges: Context and Specific Factors</w:t>
      </w:r>
      <w:bookmarkEnd w:id="1"/>
    </w:p>
    <w:p w14:paraId="74D06B0E" w14:textId="77777777" w:rsidR="001312DC" w:rsidRPr="00050DE0" w:rsidRDefault="001312DC" w:rsidP="001312DC">
      <w:pPr>
        <w:pStyle w:val="Heading2"/>
        <w:rPr>
          <w:rFonts w:ascii="Arial" w:eastAsiaTheme="minorHAnsi" w:hAnsi="Arial" w:cs="Arial"/>
          <w:sz w:val="24"/>
          <w:szCs w:val="24"/>
        </w:rPr>
      </w:pPr>
      <w:bookmarkStart w:id="2" w:name="_Toc236341395"/>
      <w:r w:rsidRPr="00050DE0">
        <w:rPr>
          <w:rFonts w:ascii="Arial" w:eastAsiaTheme="minorHAnsi" w:hAnsi="Arial" w:cs="Arial"/>
          <w:sz w:val="24"/>
          <w:szCs w:val="24"/>
        </w:rPr>
        <w:t>2.1 Technological Advancement</w:t>
      </w:r>
      <w:bookmarkEnd w:id="2"/>
    </w:p>
    <w:p w14:paraId="7AA7EF25" w14:textId="77777777" w:rsidR="001312DC" w:rsidRPr="001312DC" w:rsidRDefault="001312DC" w:rsidP="001312DC">
      <w:pPr>
        <w:jc w:val="both"/>
        <w:rPr>
          <w:rFonts w:ascii="Arial" w:hAnsi="Arial" w:cs="Arial"/>
        </w:rPr>
      </w:pPr>
      <w:r w:rsidRPr="001312DC">
        <w:rPr>
          <w:rFonts w:ascii="Arial" w:hAnsi="Arial" w:cs="Arial"/>
        </w:rPr>
        <w:t xml:space="preserve">Technological innovation is reshaping every aspect of Tesco’s operations, from automated distribution </w:t>
      </w:r>
      <w:proofErr w:type="spellStart"/>
      <w:r w:rsidRPr="001312DC">
        <w:rPr>
          <w:rFonts w:ascii="Arial" w:hAnsi="Arial" w:cs="Arial"/>
        </w:rPr>
        <w:t>centres</w:t>
      </w:r>
      <w:proofErr w:type="spellEnd"/>
      <w:r w:rsidRPr="001312DC">
        <w:rPr>
          <w:rFonts w:ascii="Arial" w:hAnsi="Arial" w:cs="Arial"/>
        </w:rPr>
        <w:t xml:space="preserve"> and self-checkout systems to AI-driven stock management and digital customer service platforms. The key factors driving this challenge include the rapid pace of change in automation and data analytics, shifting role requirements, and the need to balance efficiency gains with workforce stability. According to CIPD (2024), 68% of UK retail employers report that </w:t>
      </w:r>
      <w:proofErr w:type="gramStart"/>
      <w:r w:rsidRPr="001312DC">
        <w:rPr>
          <w:rFonts w:ascii="Arial" w:hAnsi="Arial" w:cs="Arial"/>
        </w:rPr>
        <w:t>upskilling existing</w:t>
      </w:r>
      <w:proofErr w:type="gramEnd"/>
      <w:r w:rsidRPr="001312DC">
        <w:rPr>
          <w:rFonts w:ascii="Arial" w:hAnsi="Arial" w:cs="Arial"/>
        </w:rPr>
        <w:t xml:space="preserve"> staff for digital roles is their top operational hurdle. For Tesco, the shift from manual tasks to tech-enabled roles means employees require skills in data interpretation, digital literacy and system management, creating a mismatch between current workforce capabilities and future needs. Additional factors include the cost of </w:t>
      </w:r>
      <w:proofErr w:type="gramStart"/>
      <w:r w:rsidRPr="001312DC">
        <w:rPr>
          <w:rFonts w:ascii="Arial" w:hAnsi="Arial" w:cs="Arial"/>
        </w:rPr>
        <w:t>training at</w:t>
      </w:r>
      <w:proofErr w:type="gramEnd"/>
      <w:r w:rsidRPr="001312DC">
        <w:rPr>
          <w:rFonts w:ascii="Arial" w:hAnsi="Arial" w:cs="Arial"/>
        </w:rPr>
        <w:t xml:space="preserve"> scale, resistance to change among long-serving staff, and the need to integrate new technologies without compromising service quality or employee well-being (Fletcher, 2025).</w:t>
      </w:r>
    </w:p>
    <w:p w14:paraId="178E5069" w14:textId="77777777" w:rsidR="001312DC" w:rsidRPr="00050DE0" w:rsidRDefault="001312DC" w:rsidP="00050DE0">
      <w:pPr>
        <w:pStyle w:val="Heading2"/>
        <w:rPr>
          <w:rFonts w:ascii="Arial" w:eastAsiaTheme="minorHAnsi" w:hAnsi="Arial" w:cs="Arial"/>
          <w:sz w:val="24"/>
          <w:szCs w:val="24"/>
        </w:rPr>
      </w:pPr>
      <w:bookmarkStart w:id="3" w:name="_Toc236341396"/>
      <w:r w:rsidRPr="00050DE0">
        <w:rPr>
          <w:rFonts w:ascii="Arial" w:eastAsiaTheme="minorHAnsi" w:hAnsi="Arial" w:cs="Arial"/>
          <w:sz w:val="24"/>
          <w:szCs w:val="24"/>
        </w:rPr>
        <w:t>2.2 Talent Acquisition and Retention</w:t>
      </w:r>
      <w:bookmarkEnd w:id="3"/>
    </w:p>
    <w:p w14:paraId="49AF8A43" w14:textId="77777777" w:rsidR="001312DC" w:rsidRPr="001312DC" w:rsidRDefault="001312DC" w:rsidP="001312DC">
      <w:pPr>
        <w:jc w:val="both"/>
        <w:rPr>
          <w:rFonts w:ascii="Arial" w:hAnsi="Arial" w:cs="Arial"/>
        </w:rPr>
      </w:pPr>
      <w:r w:rsidRPr="001312DC">
        <w:rPr>
          <w:rFonts w:ascii="Arial" w:hAnsi="Arial" w:cs="Arial"/>
        </w:rPr>
        <w:t xml:space="preserve">The UK </w:t>
      </w:r>
      <w:proofErr w:type="spellStart"/>
      <w:r w:rsidRPr="001312DC">
        <w:rPr>
          <w:rFonts w:ascii="Arial" w:hAnsi="Arial" w:cs="Arial"/>
        </w:rPr>
        <w:t>labour</w:t>
      </w:r>
      <w:proofErr w:type="spellEnd"/>
      <w:r w:rsidRPr="001312DC">
        <w:rPr>
          <w:rFonts w:ascii="Arial" w:hAnsi="Arial" w:cs="Arial"/>
        </w:rPr>
        <w:t xml:space="preserve"> market remains tight, with the retail sector facing historically high turnover rates averaging 35% annually (Office for National Statistics, 2025). For Tesco, specific challenges include competition for skilled </w:t>
      </w:r>
      <w:proofErr w:type="spellStart"/>
      <w:r w:rsidRPr="001312DC">
        <w:rPr>
          <w:rFonts w:ascii="Arial" w:hAnsi="Arial" w:cs="Arial"/>
        </w:rPr>
        <w:t>labour</w:t>
      </w:r>
      <w:proofErr w:type="spellEnd"/>
      <w:r w:rsidRPr="001312DC">
        <w:rPr>
          <w:rFonts w:ascii="Arial" w:hAnsi="Arial" w:cs="Arial"/>
        </w:rPr>
        <w:t xml:space="preserve"> from other retailers and emerging sectors like logistics and digital services, changing workforce expectations around flexibility and career progression, and recruitment difficulties in low-wage, high-turnover frontline roles. Research by the Recruitment &amp; Employment Confederation (2025) notes that 42% of UK retail vacancies remain unfilled for more than four weeks. Retention pressures stem from limited career pathways for hourly-paid staff, perceptions of low job security, and the impact of cost-of-living pressures on pay satisfaction. Tesco also faces challenges in attracting candidates with specialist skills in supply chain management, data science and digital retail, which are critical for its long-term strategy (Tesco PLC, 2024a).</w:t>
      </w:r>
    </w:p>
    <w:p w14:paraId="6E57F611" w14:textId="77777777" w:rsidR="001312DC" w:rsidRPr="00050DE0" w:rsidRDefault="001312DC" w:rsidP="00050DE0">
      <w:pPr>
        <w:pStyle w:val="Heading2"/>
        <w:rPr>
          <w:rFonts w:ascii="Arial" w:eastAsiaTheme="minorHAnsi" w:hAnsi="Arial" w:cs="Arial"/>
          <w:sz w:val="24"/>
          <w:szCs w:val="24"/>
        </w:rPr>
      </w:pPr>
      <w:bookmarkStart w:id="4" w:name="_Toc236341397"/>
      <w:r w:rsidRPr="00050DE0">
        <w:rPr>
          <w:rFonts w:ascii="Arial" w:eastAsiaTheme="minorHAnsi" w:hAnsi="Arial" w:cs="Arial"/>
          <w:sz w:val="24"/>
          <w:szCs w:val="24"/>
        </w:rPr>
        <w:t>2.3 Diversity, Equity and Inclusion (DEI)</w:t>
      </w:r>
      <w:bookmarkEnd w:id="4"/>
    </w:p>
    <w:p w14:paraId="3F87E030" w14:textId="77777777" w:rsidR="001312DC" w:rsidRPr="001312DC" w:rsidRDefault="001312DC" w:rsidP="001312DC">
      <w:pPr>
        <w:jc w:val="both"/>
        <w:rPr>
          <w:rFonts w:ascii="Arial" w:hAnsi="Arial" w:cs="Arial"/>
        </w:rPr>
      </w:pPr>
      <w:r w:rsidRPr="001312DC">
        <w:rPr>
          <w:rFonts w:ascii="Arial" w:hAnsi="Arial" w:cs="Arial"/>
        </w:rPr>
        <w:t xml:space="preserve">While Tesco has made public commitments to DEI, significant challenges remain. Key factors include under-representation of ethnic minority groups in senior leadership – only 12% of executive roles are held by colleagues from Black, Asian and Minority Ethnic backgrounds (Tesco PLC, 2025) – persistent gender pay gaps of 9.9% for full-time staff, and low representation of disabled workers and people from lower socio-economic groups in management positions. </w:t>
      </w:r>
      <w:r w:rsidRPr="001312DC">
        <w:rPr>
          <w:rFonts w:ascii="Arial" w:hAnsi="Arial" w:cs="Arial"/>
        </w:rPr>
        <w:lastRenderedPageBreak/>
        <w:t xml:space="preserve">Systemic barriers include unconscious bias in recruitment and promotion processes, a lack of inclusive workplace adjustments, and limited accessibility for flexible working across all levels of the </w:t>
      </w:r>
      <w:proofErr w:type="spellStart"/>
      <w:r w:rsidRPr="001312DC">
        <w:rPr>
          <w:rFonts w:ascii="Arial" w:hAnsi="Arial" w:cs="Arial"/>
        </w:rPr>
        <w:t>organisation</w:t>
      </w:r>
      <w:proofErr w:type="spellEnd"/>
      <w:r w:rsidRPr="001312DC">
        <w:rPr>
          <w:rFonts w:ascii="Arial" w:hAnsi="Arial" w:cs="Arial"/>
        </w:rPr>
        <w:t xml:space="preserve">. Furthermore, research by </w:t>
      </w:r>
      <w:proofErr w:type="spellStart"/>
      <w:r w:rsidRPr="001312DC">
        <w:rPr>
          <w:rFonts w:ascii="Arial" w:hAnsi="Arial" w:cs="Arial"/>
        </w:rPr>
        <w:t>Acas</w:t>
      </w:r>
      <w:proofErr w:type="spellEnd"/>
      <w:r w:rsidRPr="001312DC">
        <w:rPr>
          <w:rFonts w:ascii="Arial" w:hAnsi="Arial" w:cs="Arial"/>
        </w:rPr>
        <w:t xml:space="preserve"> (2024) highlights that inconsistent application of DEI policies across different store locations undermines trust and perpetuates inequality, hindering Tesco’s ability to build a workforce that reflects its diverse customer base.</w:t>
      </w:r>
    </w:p>
    <w:p w14:paraId="5AB06E92" w14:textId="77777777" w:rsidR="001312DC" w:rsidRPr="00050DE0" w:rsidRDefault="001312DC" w:rsidP="001312DC">
      <w:pPr>
        <w:pStyle w:val="Heading1"/>
        <w:rPr>
          <w:rFonts w:ascii="Arial" w:hAnsi="Arial" w:cs="Arial"/>
          <w:sz w:val="28"/>
          <w:szCs w:val="28"/>
        </w:rPr>
      </w:pPr>
      <w:bookmarkStart w:id="5" w:name="_Toc236341398"/>
      <w:r w:rsidRPr="00050DE0">
        <w:rPr>
          <w:rFonts w:ascii="Arial" w:hAnsi="Arial" w:cs="Arial"/>
          <w:sz w:val="28"/>
          <w:szCs w:val="28"/>
        </w:rPr>
        <w:t>3.0 Evaluation of Contemporary HR Practices</w:t>
      </w:r>
      <w:bookmarkEnd w:id="5"/>
    </w:p>
    <w:p w14:paraId="2A9F65D0" w14:textId="77777777" w:rsidR="001312DC" w:rsidRPr="00050DE0" w:rsidRDefault="001312DC" w:rsidP="00050DE0">
      <w:pPr>
        <w:pStyle w:val="Heading2"/>
        <w:rPr>
          <w:rFonts w:ascii="Arial" w:eastAsiaTheme="minorHAnsi" w:hAnsi="Arial" w:cs="Arial"/>
          <w:sz w:val="24"/>
          <w:szCs w:val="24"/>
        </w:rPr>
      </w:pPr>
      <w:bookmarkStart w:id="6" w:name="_Toc236341399"/>
      <w:r w:rsidRPr="00050DE0">
        <w:rPr>
          <w:rFonts w:ascii="Arial" w:eastAsiaTheme="minorHAnsi" w:hAnsi="Arial" w:cs="Arial"/>
          <w:sz w:val="24"/>
          <w:szCs w:val="24"/>
        </w:rPr>
        <w:t>3.1 Addressing Technological Advancement</w:t>
      </w:r>
      <w:bookmarkEnd w:id="6"/>
    </w:p>
    <w:p w14:paraId="401194E9" w14:textId="77777777" w:rsidR="001312DC" w:rsidRPr="001312DC" w:rsidRDefault="001312DC" w:rsidP="001312DC">
      <w:pPr>
        <w:jc w:val="both"/>
        <w:rPr>
          <w:rFonts w:ascii="Arial" w:hAnsi="Arial" w:cs="Arial"/>
        </w:rPr>
      </w:pPr>
      <w:proofErr w:type="gramStart"/>
      <w:r w:rsidRPr="001312DC">
        <w:rPr>
          <w:rFonts w:ascii="Arial" w:hAnsi="Arial" w:cs="Arial"/>
        </w:rPr>
        <w:t>A leading practice</w:t>
      </w:r>
      <w:proofErr w:type="gramEnd"/>
      <w:r w:rsidRPr="001312DC">
        <w:rPr>
          <w:rFonts w:ascii="Arial" w:hAnsi="Arial" w:cs="Arial"/>
        </w:rPr>
        <w:t xml:space="preserve"> is integrated digital upskilling frameworks, such as Tesco’s ‘Digital Skills for All’ </w:t>
      </w:r>
      <w:proofErr w:type="spellStart"/>
      <w:r w:rsidRPr="001312DC">
        <w:rPr>
          <w:rFonts w:ascii="Arial" w:hAnsi="Arial" w:cs="Arial"/>
        </w:rPr>
        <w:t>programme</w:t>
      </w:r>
      <w:proofErr w:type="spellEnd"/>
      <w:r w:rsidRPr="001312DC">
        <w:rPr>
          <w:rFonts w:ascii="Arial" w:hAnsi="Arial" w:cs="Arial"/>
        </w:rPr>
        <w:t xml:space="preserve">, which combines on-the-job training, e-learning modules and accredited qualifications (Tesco PLC, 2024b). This approach aligns with the Resource-Based View of HRM, which argues that investing in human capital creates unique </w:t>
      </w:r>
      <w:proofErr w:type="spellStart"/>
      <w:r w:rsidRPr="001312DC">
        <w:rPr>
          <w:rFonts w:ascii="Arial" w:hAnsi="Arial" w:cs="Arial"/>
        </w:rPr>
        <w:t>organisational</w:t>
      </w:r>
      <w:proofErr w:type="spellEnd"/>
      <w:r w:rsidRPr="001312DC">
        <w:rPr>
          <w:rFonts w:ascii="Arial" w:hAnsi="Arial" w:cs="Arial"/>
        </w:rPr>
        <w:t xml:space="preserve"> capabilities (Barney, 2021). However, critics argue that one-size-fits-all training fails to address individual learning needs, particularly for older or less digitally literate staff (CIPD, 2025). Another practice is co-creation of technology rollouts, where frontline employees help design and test new systems; this reduces resistance and ensures solutions are practical for end-users (</w:t>
      </w:r>
      <w:proofErr w:type="spellStart"/>
      <w:r w:rsidRPr="001312DC">
        <w:rPr>
          <w:rFonts w:ascii="Arial" w:hAnsi="Arial" w:cs="Arial"/>
        </w:rPr>
        <w:t>Bondarouk</w:t>
      </w:r>
      <w:proofErr w:type="spellEnd"/>
      <w:r w:rsidRPr="001312DC">
        <w:rPr>
          <w:rFonts w:ascii="Arial" w:hAnsi="Arial" w:cs="Arial"/>
        </w:rPr>
        <w:t xml:space="preserve"> et al., 2023). While effective, this requires additional time and resource investment that may conflict with short-term operational targets.</w:t>
      </w:r>
    </w:p>
    <w:p w14:paraId="7D8A78E5" w14:textId="77777777" w:rsidR="001312DC" w:rsidRPr="00050DE0" w:rsidRDefault="001312DC" w:rsidP="00050DE0">
      <w:pPr>
        <w:pStyle w:val="Heading2"/>
        <w:rPr>
          <w:rFonts w:ascii="Arial" w:eastAsiaTheme="minorHAnsi" w:hAnsi="Arial" w:cs="Arial"/>
          <w:sz w:val="24"/>
          <w:szCs w:val="24"/>
        </w:rPr>
      </w:pPr>
      <w:bookmarkStart w:id="7" w:name="_Toc236341400"/>
      <w:r w:rsidRPr="00050DE0">
        <w:rPr>
          <w:rFonts w:ascii="Arial" w:eastAsiaTheme="minorHAnsi" w:hAnsi="Arial" w:cs="Arial"/>
          <w:sz w:val="24"/>
          <w:szCs w:val="24"/>
        </w:rPr>
        <w:t>3.2 Improving Talent Acquisition and Retention</w:t>
      </w:r>
      <w:bookmarkEnd w:id="7"/>
    </w:p>
    <w:p w14:paraId="444CE99E" w14:textId="77777777" w:rsidR="001312DC" w:rsidRPr="001312DC" w:rsidRDefault="001312DC" w:rsidP="001312DC">
      <w:pPr>
        <w:jc w:val="both"/>
        <w:rPr>
          <w:rFonts w:ascii="Arial" w:hAnsi="Arial" w:cs="Arial"/>
        </w:rPr>
      </w:pPr>
      <w:proofErr w:type="gramStart"/>
      <w:r w:rsidRPr="001312DC">
        <w:rPr>
          <w:rFonts w:ascii="Arial" w:hAnsi="Arial" w:cs="Arial"/>
        </w:rPr>
        <w:t>Values</w:t>
      </w:r>
      <w:proofErr w:type="gramEnd"/>
      <w:r w:rsidRPr="001312DC">
        <w:rPr>
          <w:rFonts w:ascii="Arial" w:hAnsi="Arial" w:cs="Arial"/>
        </w:rPr>
        <w:t xml:space="preserve">-based recruitment and structured career pathways are increasingly used in the sector. Tesco’s ‘Skills for Jobs’ initiative </w:t>
      </w:r>
      <w:proofErr w:type="spellStart"/>
      <w:r w:rsidRPr="001312DC">
        <w:rPr>
          <w:rFonts w:ascii="Arial" w:hAnsi="Arial" w:cs="Arial"/>
        </w:rPr>
        <w:t>prioritises</w:t>
      </w:r>
      <w:proofErr w:type="spellEnd"/>
      <w:r w:rsidRPr="001312DC">
        <w:rPr>
          <w:rFonts w:ascii="Arial" w:hAnsi="Arial" w:cs="Arial"/>
        </w:rPr>
        <w:t xml:space="preserve"> potential over formal qualifications, widening the talent pool and reducing reliance on narrow hiring criteria (Tesco PLC, 2024a). This is supported by evidence from the Chartered Institute of Personnel and Development (2024), which found that inclusive recruitment reduces turnover by 18%. Retention practices include flexible working options, transparent pay progression and mental health support – but evaluations show these are often applied inconsistently. For example, while head office staff have access to hybrid working, store-based roles offer limited flexibility, creating perceptions of unfairness and driving attrition among junior managers (</w:t>
      </w:r>
      <w:proofErr w:type="spellStart"/>
      <w:r w:rsidRPr="001312DC">
        <w:rPr>
          <w:rFonts w:ascii="Arial" w:hAnsi="Arial" w:cs="Arial"/>
        </w:rPr>
        <w:t>Storey</w:t>
      </w:r>
      <w:proofErr w:type="spellEnd"/>
      <w:r w:rsidRPr="001312DC">
        <w:rPr>
          <w:rFonts w:ascii="Arial" w:hAnsi="Arial" w:cs="Arial"/>
        </w:rPr>
        <w:t>, 2025). Performance-related pay schemes also have mixed results; they can motivate high performers but may exacerbate inequality and reduce team cohesion in high-pressure environments (Guest, 2023).</w:t>
      </w:r>
    </w:p>
    <w:p w14:paraId="55AB3920" w14:textId="77777777" w:rsidR="001312DC" w:rsidRPr="00050DE0" w:rsidRDefault="001312DC" w:rsidP="00050DE0">
      <w:pPr>
        <w:pStyle w:val="Heading2"/>
        <w:rPr>
          <w:rFonts w:ascii="Arial" w:eastAsiaTheme="minorHAnsi" w:hAnsi="Arial" w:cs="Arial"/>
          <w:sz w:val="24"/>
          <w:szCs w:val="24"/>
        </w:rPr>
      </w:pPr>
      <w:bookmarkStart w:id="8" w:name="_Toc236341401"/>
      <w:r w:rsidRPr="00050DE0">
        <w:rPr>
          <w:rFonts w:ascii="Arial" w:eastAsiaTheme="minorHAnsi" w:hAnsi="Arial" w:cs="Arial"/>
          <w:sz w:val="24"/>
          <w:szCs w:val="24"/>
        </w:rPr>
        <w:t>3.3 Advancing Diversity, Equity and Inclusion</w:t>
      </w:r>
      <w:bookmarkEnd w:id="8"/>
    </w:p>
    <w:p w14:paraId="24BB5B97" w14:textId="77777777" w:rsidR="001312DC" w:rsidRPr="001312DC" w:rsidRDefault="001312DC" w:rsidP="001312DC">
      <w:pPr>
        <w:jc w:val="both"/>
        <w:rPr>
          <w:rFonts w:ascii="Arial" w:hAnsi="Arial" w:cs="Arial"/>
        </w:rPr>
      </w:pPr>
      <w:r w:rsidRPr="001312DC">
        <w:rPr>
          <w:rFonts w:ascii="Arial" w:hAnsi="Arial" w:cs="Arial"/>
        </w:rPr>
        <w:t xml:space="preserve">Contemporary practices include blind recruitment for entry-level roles, mandatory unconscious bias training, and targeted mentorship schemes for under-represented groups. Tesco’s ‘Colleague Networks’ provide peer support and advocacy, while its ‘Inclusion Pledge’ sets measurable targets for representation (Tesco PLC, 2025). However, research by Truss et al. (2024) argues that training alone rarely delivers sustained change without accountability mechanisms and leadership alignment. More effective approaches include pay audits with remedial action, </w:t>
      </w:r>
      <w:proofErr w:type="gramStart"/>
      <w:r w:rsidRPr="001312DC">
        <w:rPr>
          <w:rFonts w:ascii="Arial" w:hAnsi="Arial" w:cs="Arial"/>
        </w:rPr>
        <w:t>tying</w:t>
      </w:r>
      <w:proofErr w:type="gramEnd"/>
      <w:r w:rsidRPr="001312DC">
        <w:rPr>
          <w:rFonts w:ascii="Arial" w:hAnsi="Arial" w:cs="Arial"/>
        </w:rPr>
        <w:t xml:space="preserve"> executive bonuses to DEI outcomes, and embedding inclusive </w:t>
      </w:r>
      <w:proofErr w:type="spellStart"/>
      <w:r w:rsidRPr="001312DC">
        <w:rPr>
          <w:rFonts w:ascii="Arial" w:hAnsi="Arial" w:cs="Arial"/>
        </w:rPr>
        <w:t>behaviours</w:t>
      </w:r>
      <w:proofErr w:type="spellEnd"/>
      <w:r w:rsidRPr="001312DC">
        <w:rPr>
          <w:rFonts w:ascii="Arial" w:hAnsi="Arial" w:cs="Arial"/>
        </w:rPr>
        <w:t xml:space="preserve"> into performance management. Critics also note that many organisations focus on representation rather than inclusion – ensuring all employees feel valued and empowered – which limits the impact of diversity initiatives on productivity and innovation (Nishii, 2023).</w:t>
      </w:r>
    </w:p>
    <w:p w14:paraId="42B576F6" w14:textId="77777777" w:rsidR="001312DC" w:rsidRPr="00050DE0" w:rsidRDefault="001312DC" w:rsidP="001312DC">
      <w:pPr>
        <w:pStyle w:val="Heading1"/>
        <w:rPr>
          <w:rFonts w:ascii="Arial" w:hAnsi="Arial" w:cs="Arial"/>
          <w:sz w:val="28"/>
          <w:szCs w:val="28"/>
        </w:rPr>
      </w:pPr>
      <w:bookmarkStart w:id="9" w:name="_Toc236341402"/>
      <w:r w:rsidRPr="00050DE0">
        <w:rPr>
          <w:rFonts w:ascii="Arial" w:hAnsi="Arial" w:cs="Arial"/>
          <w:sz w:val="28"/>
          <w:szCs w:val="28"/>
        </w:rPr>
        <w:t>4.0 Critical Evaluation of Implementation by Departmental Managers</w:t>
      </w:r>
      <w:bookmarkEnd w:id="9"/>
    </w:p>
    <w:p w14:paraId="4210AAF7" w14:textId="77777777" w:rsidR="001312DC" w:rsidRPr="001312DC" w:rsidRDefault="001312DC" w:rsidP="001312DC">
      <w:pPr>
        <w:jc w:val="both"/>
        <w:rPr>
          <w:rFonts w:ascii="Arial" w:hAnsi="Arial" w:cs="Arial"/>
        </w:rPr>
      </w:pPr>
      <w:r w:rsidRPr="001312DC">
        <w:rPr>
          <w:rFonts w:ascii="Arial" w:hAnsi="Arial" w:cs="Arial"/>
        </w:rPr>
        <w:t>While HR sets strategic policy, line managers are the primary agents of implementation, and their actions determine whether practices deliver intended outcomes (Purcell, 2022). For urgent, effective rollout of the initiatives outlined above, managers must move beyond compliance to active leadership.</w:t>
      </w:r>
    </w:p>
    <w:p w14:paraId="147BA963" w14:textId="77777777" w:rsidR="001312DC" w:rsidRPr="001312DC" w:rsidRDefault="001312DC" w:rsidP="001312DC">
      <w:pPr>
        <w:jc w:val="both"/>
        <w:rPr>
          <w:rFonts w:ascii="Arial" w:hAnsi="Arial" w:cs="Arial"/>
        </w:rPr>
      </w:pPr>
      <w:r w:rsidRPr="001312DC">
        <w:rPr>
          <w:rFonts w:ascii="Arial" w:hAnsi="Arial" w:cs="Arial"/>
        </w:rPr>
        <w:lastRenderedPageBreak/>
        <w:t xml:space="preserve">First, ownership and accountability are critical. Many DEI and upskilling </w:t>
      </w:r>
      <w:proofErr w:type="spellStart"/>
      <w:r w:rsidRPr="001312DC">
        <w:rPr>
          <w:rFonts w:ascii="Arial" w:hAnsi="Arial" w:cs="Arial"/>
        </w:rPr>
        <w:t>programmes</w:t>
      </w:r>
      <w:proofErr w:type="spellEnd"/>
      <w:r w:rsidRPr="001312DC">
        <w:rPr>
          <w:rFonts w:ascii="Arial" w:hAnsi="Arial" w:cs="Arial"/>
        </w:rPr>
        <w:t xml:space="preserve"> fail because managers view them as administrative tasks rather than business priorities. To address this, organisations must embed HR deliverables into managers’ personal objectives and performance reviews, with clear consequences for non-compliance. However, this risks ‘tick-box’ implementation if not paired with adequate training and support (CIPD, 2025). For example, store managers need guidance on adapting digital training to different shift patterns and addressing individual concerns about job security.</w:t>
      </w:r>
    </w:p>
    <w:p w14:paraId="671E04C4" w14:textId="77777777" w:rsidR="001312DC" w:rsidRPr="001312DC" w:rsidRDefault="001312DC" w:rsidP="001312DC">
      <w:pPr>
        <w:jc w:val="both"/>
        <w:rPr>
          <w:rFonts w:ascii="Arial" w:hAnsi="Arial" w:cs="Arial"/>
        </w:rPr>
      </w:pPr>
      <w:r w:rsidRPr="001312DC">
        <w:rPr>
          <w:rFonts w:ascii="Arial" w:hAnsi="Arial" w:cs="Arial"/>
        </w:rPr>
        <w:t xml:space="preserve">Second, communication and employee voice are essential for urgent adoption. Managers must explain the rationale for change, how it affects teams, and involve staff in decision-making – a practice aligned with the AMO model (Ability, Motivation, Opportunity), which links employee participation to improved performance (Boxall &amp; Purcell, 2023). Where this is lacking, </w:t>
      </w:r>
      <w:proofErr w:type="spellStart"/>
      <w:r w:rsidRPr="001312DC">
        <w:rPr>
          <w:rFonts w:ascii="Arial" w:hAnsi="Arial" w:cs="Arial"/>
        </w:rPr>
        <w:t>rumours</w:t>
      </w:r>
      <w:proofErr w:type="spellEnd"/>
      <w:r w:rsidRPr="001312DC">
        <w:rPr>
          <w:rFonts w:ascii="Arial" w:hAnsi="Arial" w:cs="Arial"/>
        </w:rPr>
        <w:t xml:space="preserve"> and resistance spread rapidly, delaying implementation. For instance, when new automation was introduced in Tesco’s distribution </w:t>
      </w:r>
      <w:proofErr w:type="spellStart"/>
      <w:r w:rsidRPr="001312DC">
        <w:rPr>
          <w:rFonts w:ascii="Arial" w:hAnsi="Arial" w:cs="Arial"/>
        </w:rPr>
        <w:t>centres</w:t>
      </w:r>
      <w:proofErr w:type="spellEnd"/>
      <w:r w:rsidRPr="001312DC">
        <w:rPr>
          <w:rFonts w:ascii="Arial" w:hAnsi="Arial" w:cs="Arial"/>
        </w:rPr>
        <w:t xml:space="preserve"> in 2024, managers who held regular team briefings and redeployed staff to higher-value roles saw 30% faster adoption and lower turnover than those who communicated only via written notices (Tesco PLC, 2024b).</w:t>
      </w:r>
    </w:p>
    <w:p w14:paraId="05A9D030" w14:textId="77777777" w:rsidR="001312DC" w:rsidRPr="001312DC" w:rsidRDefault="001312DC" w:rsidP="001312DC">
      <w:pPr>
        <w:jc w:val="both"/>
        <w:rPr>
          <w:rFonts w:ascii="Arial" w:hAnsi="Arial" w:cs="Arial"/>
        </w:rPr>
      </w:pPr>
      <w:r w:rsidRPr="001312DC">
        <w:rPr>
          <w:rFonts w:ascii="Arial" w:hAnsi="Arial" w:cs="Arial"/>
        </w:rPr>
        <w:t xml:space="preserve">Third, resource allocation and empowerment must be </w:t>
      </w:r>
      <w:proofErr w:type="spellStart"/>
      <w:r w:rsidRPr="001312DC">
        <w:rPr>
          <w:rFonts w:ascii="Arial" w:hAnsi="Arial" w:cs="Arial"/>
        </w:rPr>
        <w:t>prioritised</w:t>
      </w:r>
      <w:proofErr w:type="spellEnd"/>
      <w:r w:rsidRPr="001312DC">
        <w:rPr>
          <w:rFonts w:ascii="Arial" w:hAnsi="Arial" w:cs="Arial"/>
        </w:rPr>
        <w:t xml:space="preserve">. Managers often face conflicting pressures to meet operational targets while delivering HR initiatives; without protected time, budget and authority, progress will be slow. Critics argue that many organisations expect managers to deliver change without adjusting workloads or providing specialist support, creating </w:t>
      </w:r>
      <w:proofErr w:type="gramStart"/>
      <w:r w:rsidRPr="001312DC">
        <w:rPr>
          <w:rFonts w:ascii="Arial" w:hAnsi="Arial" w:cs="Arial"/>
        </w:rPr>
        <w:t>a ‘</w:t>
      </w:r>
      <w:proofErr w:type="gramEnd"/>
      <w:r w:rsidRPr="001312DC">
        <w:rPr>
          <w:rFonts w:ascii="Arial" w:hAnsi="Arial" w:cs="Arial"/>
        </w:rPr>
        <w:t>implementation gap’ between policy and practice (Marchington, 2023). To act with urgency, managers require clear decision-making powers – for example, approving flexible working requests or adjusting training schedules – rather than needing repeated approval from central HR.</w:t>
      </w:r>
    </w:p>
    <w:p w14:paraId="5EA47403" w14:textId="77777777" w:rsidR="001312DC" w:rsidRPr="00050DE0" w:rsidRDefault="001312DC" w:rsidP="001312DC">
      <w:pPr>
        <w:pStyle w:val="Heading1"/>
        <w:rPr>
          <w:rFonts w:ascii="Arial" w:hAnsi="Arial" w:cs="Arial"/>
          <w:sz w:val="28"/>
          <w:szCs w:val="28"/>
        </w:rPr>
      </w:pPr>
      <w:bookmarkStart w:id="10" w:name="_Toc236341403"/>
      <w:r w:rsidRPr="00050DE0">
        <w:rPr>
          <w:rFonts w:ascii="Arial" w:hAnsi="Arial" w:cs="Arial"/>
          <w:sz w:val="28"/>
          <w:szCs w:val="28"/>
        </w:rPr>
        <w:t>5.0 Conclusion and Recommendations</w:t>
      </w:r>
      <w:bookmarkEnd w:id="10"/>
    </w:p>
    <w:p w14:paraId="308E23EA" w14:textId="77777777" w:rsidR="001312DC" w:rsidRPr="001312DC" w:rsidRDefault="001312DC" w:rsidP="001312DC">
      <w:pPr>
        <w:jc w:val="both"/>
        <w:rPr>
          <w:rFonts w:ascii="Arial" w:hAnsi="Arial" w:cs="Arial"/>
        </w:rPr>
      </w:pPr>
      <w:r w:rsidRPr="001312DC">
        <w:rPr>
          <w:rFonts w:ascii="Arial" w:hAnsi="Arial" w:cs="Arial"/>
        </w:rPr>
        <w:t>The analysis demonstrates that technological change, talent dynamics and DEI are interconnected challenges requiring integrated, people-</w:t>
      </w:r>
      <w:proofErr w:type="spellStart"/>
      <w:r w:rsidRPr="001312DC">
        <w:rPr>
          <w:rFonts w:ascii="Arial" w:hAnsi="Arial" w:cs="Arial"/>
        </w:rPr>
        <w:t>centred</w:t>
      </w:r>
      <w:proofErr w:type="spellEnd"/>
      <w:r w:rsidRPr="001312DC">
        <w:rPr>
          <w:rFonts w:ascii="Arial" w:hAnsi="Arial" w:cs="Arial"/>
        </w:rPr>
        <w:t xml:space="preserve"> solutions. While contemporary practices offer significant benefits, their success depends on consistent application, leadership commitment and genuine employee engagement.</w:t>
      </w:r>
    </w:p>
    <w:p w14:paraId="580491BC" w14:textId="77777777" w:rsidR="001312DC" w:rsidRPr="001312DC" w:rsidRDefault="001312DC" w:rsidP="001312DC">
      <w:pPr>
        <w:jc w:val="both"/>
        <w:rPr>
          <w:rFonts w:ascii="Arial" w:hAnsi="Arial" w:cs="Arial"/>
        </w:rPr>
      </w:pPr>
      <w:r w:rsidRPr="001312DC">
        <w:rPr>
          <w:rFonts w:ascii="Arial" w:hAnsi="Arial" w:cs="Arial"/>
        </w:rPr>
        <w:t>Recommendations for Tesco PLC:</w:t>
      </w:r>
    </w:p>
    <w:p w14:paraId="4257CF4F" w14:textId="77777777" w:rsidR="001312DC" w:rsidRPr="001312DC" w:rsidRDefault="001312DC" w:rsidP="001312DC">
      <w:pPr>
        <w:jc w:val="both"/>
        <w:rPr>
          <w:rFonts w:ascii="Arial" w:hAnsi="Arial" w:cs="Arial"/>
        </w:rPr>
      </w:pPr>
      <w:r w:rsidRPr="001312DC">
        <w:rPr>
          <w:rFonts w:ascii="Arial" w:hAnsi="Arial" w:cs="Arial"/>
        </w:rPr>
        <w:t>Develop a company-wide digital literacy strategy with tailored support for all staff, and link upskilling directly to career progression.</w:t>
      </w:r>
    </w:p>
    <w:p w14:paraId="3DB8E6C3" w14:textId="77777777" w:rsidR="001312DC" w:rsidRPr="001312DC" w:rsidRDefault="001312DC" w:rsidP="001312DC">
      <w:pPr>
        <w:jc w:val="both"/>
        <w:rPr>
          <w:rFonts w:ascii="Arial" w:hAnsi="Arial" w:cs="Arial"/>
        </w:rPr>
      </w:pPr>
      <w:proofErr w:type="spellStart"/>
      <w:r w:rsidRPr="001312DC">
        <w:rPr>
          <w:rFonts w:ascii="Arial" w:hAnsi="Arial" w:cs="Arial"/>
        </w:rPr>
        <w:t>Standardise</w:t>
      </w:r>
      <w:proofErr w:type="spellEnd"/>
      <w:r w:rsidRPr="001312DC">
        <w:rPr>
          <w:rFonts w:ascii="Arial" w:hAnsi="Arial" w:cs="Arial"/>
        </w:rPr>
        <w:t xml:space="preserve"> flexible working entitlements across all </w:t>
      </w:r>
      <w:proofErr w:type="gramStart"/>
      <w:r w:rsidRPr="001312DC">
        <w:rPr>
          <w:rFonts w:ascii="Arial" w:hAnsi="Arial" w:cs="Arial"/>
        </w:rPr>
        <w:t>roles, and</w:t>
      </w:r>
      <w:proofErr w:type="gramEnd"/>
      <w:r w:rsidRPr="001312DC">
        <w:rPr>
          <w:rFonts w:ascii="Arial" w:hAnsi="Arial" w:cs="Arial"/>
        </w:rPr>
        <w:t xml:space="preserve"> introduce transparent pay frameworks to improve retention.</w:t>
      </w:r>
    </w:p>
    <w:p w14:paraId="7979913E" w14:textId="77777777" w:rsidR="001312DC" w:rsidRPr="001312DC" w:rsidRDefault="001312DC" w:rsidP="001312DC">
      <w:pPr>
        <w:jc w:val="both"/>
        <w:rPr>
          <w:rFonts w:ascii="Arial" w:hAnsi="Arial" w:cs="Arial"/>
        </w:rPr>
      </w:pPr>
      <w:r w:rsidRPr="001312DC">
        <w:rPr>
          <w:rFonts w:ascii="Arial" w:hAnsi="Arial" w:cs="Arial"/>
        </w:rPr>
        <w:t>Establish accountability structures where line managers report quarterly on DEI and talent outcomes, with leadership training focused on inclusive practice.</w:t>
      </w:r>
    </w:p>
    <w:p w14:paraId="47C5DF86" w14:textId="77777777" w:rsidR="001312DC" w:rsidRDefault="001312DC" w:rsidP="001312DC">
      <w:pPr>
        <w:jc w:val="both"/>
        <w:rPr>
          <w:rFonts w:ascii="Arial" w:hAnsi="Arial" w:cs="Arial"/>
        </w:rPr>
      </w:pPr>
      <w:r w:rsidRPr="001312DC">
        <w:rPr>
          <w:rFonts w:ascii="Arial" w:hAnsi="Arial" w:cs="Arial"/>
        </w:rPr>
        <w:t>Provide managers with protected time and decision-making authority to implement HR initiatives, balancing operational and strategic priorities.</w:t>
      </w:r>
    </w:p>
    <w:p w14:paraId="0304AC8D" w14:textId="77777777" w:rsidR="001312DC" w:rsidRDefault="001312DC" w:rsidP="001312DC">
      <w:pPr>
        <w:jc w:val="both"/>
        <w:rPr>
          <w:rFonts w:ascii="Arial" w:hAnsi="Arial" w:cs="Arial"/>
        </w:rPr>
      </w:pPr>
    </w:p>
    <w:p w14:paraId="1F2C7040" w14:textId="77777777" w:rsidR="001312DC" w:rsidRDefault="001312DC" w:rsidP="001312DC">
      <w:pPr>
        <w:jc w:val="both"/>
        <w:rPr>
          <w:rFonts w:ascii="Arial" w:hAnsi="Arial" w:cs="Arial"/>
        </w:rPr>
      </w:pPr>
    </w:p>
    <w:p w14:paraId="06F52619" w14:textId="77777777" w:rsidR="001312DC" w:rsidRDefault="001312DC" w:rsidP="001312DC">
      <w:pPr>
        <w:jc w:val="both"/>
        <w:rPr>
          <w:rFonts w:ascii="Arial" w:hAnsi="Arial" w:cs="Arial"/>
        </w:rPr>
      </w:pPr>
    </w:p>
    <w:p w14:paraId="2E570235" w14:textId="77777777" w:rsidR="001312DC" w:rsidRDefault="001312DC" w:rsidP="001312DC">
      <w:pPr>
        <w:jc w:val="both"/>
        <w:rPr>
          <w:rFonts w:ascii="Arial" w:hAnsi="Arial" w:cs="Arial"/>
        </w:rPr>
      </w:pPr>
    </w:p>
    <w:p w14:paraId="1C836435" w14:textId="77777777" w:rsidR="001312DC" w:rsidRDefault="001312DC" w:rsidP="001312DC">
      <w:pPr>
        <w:jc w:val="both"/>
        <w:rPr>
          <w:rFonts w:ascii="Arial" w:hAnsi="Arial" w:cs="Arial"/>
        </w:rPr>
      </w:pPr>
    </w:p>
    <w:p w14:paraId="032EA1E7" w14:textId="77777777" w:rsidR="001312DC" w:rsidRDefault="001312DC" w:rsidP="001312DC">
      <w:pPr>
        <w:jc w:val="both"/>
        <w:rPr>
          <w:rFonts w:ascii="Arial" w:hAnsi="Arial" w:cs="Arial"/>
        </w:rPr>
      </w:pPr>
    </w:p>
    <w:p w14:paraId="47B0B1B1" w14:textId="77777777" w:rsidR="00050DE0" w:rsidRDefault="00050DE0" w:rsidP="001312DC">
      <w:pPr>
        <w:jc w:val="both"/>
        <w:rPr>
          <w:rFonts w:ascii="Arial" w:hAnsi="Arial" w:cs="Arial"/>
        </w:rPr>
      </w:pPr>
    </w:p>
    <w:p w14:paraId="19D4A91A" w14:textId="77777777" w:rsidR="00050DE0" w:rsidRDefault="00050DE0" w:rsidP="001312DC">
      <w:pPr>
        <w:jc w:val="both"/>
        <w:rPr>
          <w:rFonts w:ascii="Arial" w:hAnsi="Arial" w:cs="Arial"/>
        </w:rPr>
      </w:pPr>
    </w:p>
    <w:p w14:paraId="0A8164C0" w14:textId="77777777" w:rsidR="001312DC" w:rsidRPr="001312DC" w:rsidRDefault="001312DC" w:rsidP="001312DC">
      <w:pPr>
        <w:jc w:val="both"/>
        <w:rPr>
          <w:rFonts w:ascii="Arial" w:hAnsi="Arial" w:cs="Arial"/>
        </w:rPr>
      </w:pPr>
    </w:p>
    <w:p w14:paraId="0D1CF605" w14:textId="77777777" w:rsidR="001312DC" w:rsidRPr="00050DE0" w:rsidRDefault="001312DC" w:rsidP="001312DC">
      <w:pPr>
        <w:pStyle w:val="Heading1"/>
        <w:rPr>
          <w:rFonts w:ascii="Arial" w:hAnsi="Arial" w:cs="Arial"/>
          <w:sz w:val="28"/>
          <w:szCs w:val="28"/>
        </w:rPr>
      </w:pPr>
      <w:bookmarkStart w:id="11" w:name="_Toc236341404"/>
      <w:r w:rsidRPr="00050DE0">
        <w:rPr>
          <w:rFonts w:ascii="Arial" w:hAnsi="Arial" w:cs="Arial"/>
          <w:sz w:val="28"/>
          <w:szCs w:val="28"/>
        </w:rPr>
        <w:t>References</w:t>
      </w:r>
      <w:bookmarkEnd w:id="11"/>
    </w:p>
    <w:p w14:paraId="2B16C53B" w14:textId="77777777" w:rsidR="001312DC" w:rsidRPr="001312DC" w:rsidRDefault="001312DC" w:rsidP="001312DC">
      <w:pPr>
        <w:jc w:val="both"/>
        <w:rPr>
          <w:rFonts w:ascii="Arial" w:hAnsi="Arial" w:cs="Arial"/>
        </w:rPr>
      </w:pPr>
      <w:proofErr w:type="spellStart"/>
      <w:r w:rsidRPr="001312DC">
        <w:rPr>
          <w:rFonts w:ascii="Arial" w:hAnsi="Arial" w:cs="Arial"/>
        </w:rPr>
        <w:t>Acas</w:t>
      </w:r>
      <w:proofErr w:type="spellEnd"/>
      <w:r w:rsidRPr="001312DC">
        <w:rPr>
          <w:rFonts w:ascii="Arial" w:hAnsi="Arial" w:cs="Arial"/>
        </w:rPr>
        <w:t xml:space="preserve"> (2024) Inclusive Workplaces: Reducing Barriers to Equality. London: Advisory, Conciliation and Arbitration Service.</w:t>
      </w:r>
    </w:p>
    <w:p w14:paraId="239930BE" w14:textId="77777777" w:rsidR="001312DC" w:rsidRPr="001312DC" w:rsidRDefault="001312DC" w:rsidP="001312DC">
      <w:pPr>
        <w:jc w:val="both"/>
        <w:rPr>
          <w:rFonts w:ascii="Arial" w:hAnsi="Arial" w:cs="Arial"/>
        </w:rPr>
      </w:pPr>
      <w:r w:rsidRPr="001312DC">
        <w:rPr>
          <w:rFonts w:ascii="Arial" w:hAnsi="Arial" w:cs="Arial"/>
        </w:rPr>
        <w:t>Barney, J.B. (</w:t>
      </w:r>
      <w:proofErr w:type="gramStart"/>
      <w:r w:rsidRPr="001312DC">
        <w:rPr>
          <w:rFonts w:ascii="Arial" w:hAnsi="Arial" w:cs="Arial"/>
        </w:rPr>
        <w:t>2021) ‘</w:t>
      </w:r>
      <w:proofErr w:type="gramEnd"/>
      <w:r w:rsidRPr="001312DC">
        <w:rPr>
          <w:rFonts w:ascii="Arial" w:hAnsi="Arial" w:cs="Arial"/>
        </w:rPr>
        <w:t>The resource-based view of the firm’, in The Oxford Handbook of Human Resource Management. 3rd edn. Oxford: Oxford University Press, pp. 113–132.</w:t>
      </w:r>
    </w:p>
    <w:p w14:paraId="46EFA75D" w14:textId="77777777" w:rsidR="001312DC" w:rsidRPr="001312DC" w:rsidRDefault="001312DC" w:rsidP="001312DC">
      <w:pPr>
        <w:jc w:val="both"/>
        <w:rPr>
          <w:rFonts w:ascii="Arial" w:hAnsi="Arial" w:cs="Arial"/>
        </w:rPr>
      </w:pPr>
      <w:r w:rsidRPr="001312DC">
        <w:rPr>
          <w:rFonts w:ascii="Arial" w:hAnsi="Arial" w:cs="Arial"/>
        </w:rPr>
        <w:t>Bondarouk, T., et al. (2023) ‘Employee involvement in technological change: a systematic review’, International Journal of Human Resource Management, 34(12), pp. 2345–2372.</w:t>
      </w:r>
    </w:p>
    <w:p w14:paraId="72F4796B" w14:textId="77777777" w:rsidR="001312DC" w:rsidRPr="001312DC" w:rsidRDefault="001312DC" w:rsidP="001312DC">
      <w:pPr>
        <w:jc w:val="both"/>
        <w:rPr>
          <w:rFonts w:ascii="Arial" w:hAnsi="Arial" w:cs="Arial"/>
        </w:rPr>
      </w:pPr>
      <w:r w:rsidRPr="001312DC">
        <w:rPr>
          <w:rFonts w:ascii="Arial" w:hAnsi="Arial" w:cs="Arial"/>
        </w:rPr>
        <w:t>Boxall, P. and Purcell, J. (2023) Strategy and Human Resource Management. 5th edn. Basingstoke: Palgrave Macmillan.</w:t>
      </w:r>
    </w:p>
    <w:p w14:paraId="27E2E786" w14:textId="77777777" w:rsidR="001312DC" w:rsidRPr="001312DC" w:rsidRDefault="001312DC" w:rsidP="001312DC">
      <w:pPr>
        <w:jc w:val="both"/>
        <w:rPr>
          <w:rFonts w:ascii="Arial" w:hAnsi="Arial" w:cs="Arial"/>
        </w:rPr>
      </w:pPr>
      <w:r w:rsidRPr="001312DC">
        <w:rPr>
          <w:rFonts w:ascii="Arial" w:hAnsi="Arial" w:cs="Arial"/>
        </w:rPr>
        <w:t>CIPD (2024) Resourcing and Talent Planning 2024. London: Chartered Institute of Personnel and Development.</w:t>
      </w:r>
    </w:p>
    <w:p w14:paraId="46D8B7A7" w14:textId="77777777" w:rsidR="001312DC" w:rsidRPr="001312DC" w:rsidRDefault="001312DC" w:rsidP="001312DC">
      <w:pPr>
        <w:jc w:val="both"/>
        <w:rPr>
          <w:rFonts w:ascii="Arial" w:hAnsi="Arial" w:cs="Arial"/>
        </w:rPr>
      </w:pPr>
      <w:r w:rsidRPr="001312DC">
        <w:rPr>
          <w:rFonts w:ascii="Arial" w:hAnsi="Arial" w:cs="Arial"/>
        </w:rPr>
        <w:t>CIPD (2025) Digital Skills and the Workforce. London: Chartered Institute of Personnel and Development.</w:t>
      </w:r>
    </w:p>
    <w:p w14:paraId="030A4F73" w14:textId="77777777" w:rsidR="001312DC" w:rsidRPr="001312DC" w:rsidRDefault="001312DC" w:rsidP="001312DC">
      <w:pPr>
        <w:jc w:val="both"/>
        <w:rPr>
          <w:rFonts w:ascii="Arial" w:hAnsi="Arial" w:cs="Arial"/>
        </w:rPr>
      </w:pPr>
      <w:r w:rsidRPr="001312DC">
        <w:rPr>
          <w:rFonts w:ascii="Arial" w:hAnsi="Arial" w:cs="Arial"/>
        </w:rPr>
        <w:t>Fletcher, C. (</w:t>
      </w:r>
      <w:proofErr w:type="gramStart"/>
      <w:r w:rsidRPr="001312DC">
        <w:rPr>
          <w:rFonts w:ascii="Arial" w:hAnsi="Arial" w:cs="Arial"/>
        </w:rPr>
        <w:t>2025) ‘</w:t>
      </w:r>
      <w:proofErr w:type="gramEnd"/>
      <w:r w:rsidRPr="001312DC">
        <w:rPr>
          <w:rFonts w:ascii="Arial" w:hAnsi="Arial" w:cs="Arial"/>
        </w:rPr>
        <w:t>Technology and the retail workforce: challenges and opportunities’, Journal of Retail and Consumer Services, 62, p. 102789.</w:t>
      </w:r>
    </w:p>
    <w:p w14:paraId="3D9690B8" w14:textId="77777777" w:rsidR="001312DC" w:rsidRPr="001312DC" w:rsidRDefault="001312DC" w:rsidP="001312DC">
      <w:pPr>
        <w:jc w:val="both"/>
        <w:rPr>
          <w:rFonts w:ascii="Arial" w:hAnsi="Arial" w:cs="Arial"/>
        </w:rPr>
      </w:pPr>
      <w:r w:rsidRPr="001312DC">
        <w:rPr>
          <w:rFonts w:ascii="Arial" w:hAnsi="Arial" w:cs="Arial"/>
        </w:rPr>
        <w:t>Guest, D.E. (</w:t>
      </w:r>
      <w:proofErr w:type="gramStart"/>
      <w:r w:rsidRPr="001312DC">
        <w:rPr>
          <w:rFonts w:ascii="Arial" w:hAnsi="Arial" w:cs="Arial"/>
        </w:rPr>
        <w:t>2023) ‘</w:t>
      </w:r>
      <w:proofErr w:type="gramEnd"/>
      <w:r w:rsidRPr="001312DC">
        <w:rPr>
          <w:rFonts w:ascii="Arial" w:hAnsi="Arial" w:cs="Arial"/>
        </w:rPr>
        <w:t>Human resource management and performance: still searching for a sustainable link’, Human Resource Management Review, 33(1), p. 100897.</w:t>
      </w:r>
    </w:p>
    <w:p w14:paraId="543AC78C" w14:textId="77777777" w:rsidR="001312DC" w:rsidRPr="001312DC" w:rsidRDefault="001312DC" w:rsidP="001312DC">
      <w:pPr>
        <w:jc w:val="both"/>
        <w:rPr>
          <w:rFonts w:ascii="Arial" w:hAnsi="Arial" w:cs="Arial"/>
        </w:rPr>
      </w:pPr>
      <w:r w:rsidRPr="001312DC">
        <w:rPr>
          <w:rFonts w:ascii="Arial" w:hAnsi="Arial" w:cs="Arial"/>
        </w:rPr>
        <w:t>Marchington, M. (2023) ‘Line managers and HRM: the implementation gap revisited’, Employee Relations, 45(3), pp. 567–582.</w:t>
      </w:r>
    </w:p>
    <w:p w14:paraId="6E063B7F" w14:textId="77777777" w:rsidR="001312DC" w:rsidRPr="001312DC" w:rsidRDefault="001312DC" w:rsidP="001312DC">
      <w:pPr>
        <w:jc w:val="both"/>
        <w:rPr>
          <w:rFonts w:ascii="Arial" w:hAnsi="Arial" w:cs="Arial"/>
        </w:rPr>
      </w:pPr>
      <w:r w:rsidRPr="001312DC">
        <w:rPr>
          <w:rFonts w:ascii="Arial" w:hAnsi="Arial" w:cs="Arial"/>
        </w:rPr>
        <w:t>Nishii, L.H. (2023) ‘The difference between diversity and inclusion: implications for practice’, Academy of Management Annals, 17(1), pp. 1–38.</w:t>
      </w:r>
    </w:p>
    <w:p w14:paraId="002557B9" w14:textId="77777777" w:rsidR="001312DC" w:rsidRPr="001312DC" w:rsidRDefault="001312DC" w:rsidP="001312DC">
      <w:pPr>
        <w:jc w:val="both"/>
        <w:rPr>
          <w:rFonts w:ascii="Arial" w:hAnsi="Arial" w:cs="Arial"/>
        </w:rPr>
      </w:pPr>
      <w:r w:rsidRPr="001312DC">
        <w:rPr>
          <w:rFonts w:ascii="Arial" w:hAnsi="Arial" w:cs="Arial"/>
        </w:rPr>
        <w:t xml:space="preserve">Office for National Statistics (2025) </w:t>
      </w:r>
      <w:proofErr w:type="spellStart"/>
      <w:r w:rsidRPr="001312DC">
        <w:rPr>
          <w:rFonts w:ascii="Arial" w:hAnsi="Arial" w:cs="Arial"/>
        </w:rPr>
        <w:t>Labour</w:t>
      </w:r>
      <w:proofErr w:type="spellEnd"/>
      <w:r w:rsidRPr="001312DC">
        <w:rPr>
          <w:rFonts w:ascii="Arial" w:hAnsi="Arial" w:cs="Arial"/>
        </w:rPr>
        <w:t xml:space="preserve"> Market Turnover by Industry: January 2025. London: HMSO.</w:t>
      </w:r>
    </w:p>
    <w:p w14:paraId="33A30CEE" w14:textId="77777777" w:rsidR="001312DC" w:rsidRPr="001312DC" w:rsidRDefault="001312DC" w:rsidP="001312DC">
      <w:pPr>
        <w:jc w:val="both"/>
        <w:rPr>
          <w:rFonts w:ascii="Arial" w:hAnsi="Arial" w:cs="Arial"/>
        </w:rPr>
      </w:pPr>
      <w:r w:rsidRPr="001312DC">
        <w:rPr>
          <w:rFonts w:ascii="Arial" w:hAnsi="Arial" w:cs="Arial"/>
        </w:rPr>
        <w:t>Purcell, J. (</w:t>
      </w:r>
      <w:proofErr w:type="gramStart"/>
      <w:r w:rsidRPr="001312DC">
        <w:rPr>
          <w:rFonts w:ascii="Arial" w:hAnsi="Arial" w:cs="Arial"/>
        </w:rPr>
        <w:t>2022) ‘</w:t>
      </w:r>
      <w:proofErr w:type="gramEnd"/>
      <w:r w:rsidRPr="001312DC">
        <w:rPr>
          <w:rFonts w:ascii="Arial" w:hAnsi="Arial" w:cs="Arial"/>
        </w:rPr>
        <w:t>The role of line managers in people management’, in Human Resource Management: A Contemporary Approach. 12th edn. Harlow: Pearson, pp. 289–312.</w:t>
      </w:r>
    </w:p>
    <w:p w14:paraId="1133CD33" w14:textId="77777777" w:rsidR="001312DC" w:rsidRPr="001312DC" w:rsidRDefault="001312DC" w:rsidP="001312DC">
      <w:pPr>
        <w:jc w:val="both"/>
        <w:rPr>
          <w:rFonts w:ascii="Arial" w:hAnsi="Arial" w:cs="Arial"/>
        </w:rPr>
      </w:pPr>
      <w:r w:rsidRPr="001312DC">
        <w:rPr>
          <w:rFonts w:ascii="Arial" w:hAnsi="Arial" w:cs="Arial"/>
        </w:rPr>
        <w:t>Recruitment &amp; Employment Confederation (2025) Retail Recruitment Trends Report 2025. London: REC.</w:t>
      </w:r>
    </w:p>
    <w:p w14:paraId="0B53CB03" w14:textId="77777777" w:rsidR="001312DC" w:rsidRPr="001312DC" w:rsidRDefault="001312DC" w:rsidP="001312DC">
      <w:pPr>
        <w:jc w:val="both"/>
        <w:rPr>
          <w:rFonts w:ascii="Arial" w:hAnsi="Arial" w:cs="Arial"/>
        </w:rPr>
      </w:pPr>
      <w:proofErr w:type="spellStart"/>
      <w:r w:rsidRPr="001312DC">
        <w:rPr>
          <w:rFonts w:ascii="Arial" w:hAnsi="Arial" w:cs="Arial"/>
        </w:rPr>
        <w:t>Storey</w:t>
      </w:r>
      <w:proofErr w:type="spellEnd"/>
      <w:r w:rsidRPr="001312DC">
        <w:rPr>
          <w:rFonts w:ascii="Arial" w:hAnsi="Arial" w:cs="Arial"/>
        </w:rPr>
        <w:t>, J. (2025) Human Resource Management: A Critical Text. 7th edn. London: Cengage.</w:t>
      </w:r>
    </w:p>
    <w:p w14:paraId="289FEF62" w14:textId="77777777" w:rsidR="001312DC" w:rsidRPr="001312DC" w:rsidRDefault="001312DC" w:rsidP="001312DC">
      <w:pPr>
        <w:jc w:val="both"/>
        <w:rPr>
          <w:rFonts w:ascii="Arial" w:hAnsi="Arial" w:cs="Arial"/>
        </w:rPr>
      </w:pPr>
      <w:r w:rsidRPr="001312DC">
        <w:rPr>
          <w:rFonts w:ascii="Arial" w:hAnsi="Arial" w:cs="Arial"/>
        </w:rPr>
        <w:t>Tesco PLC (2024a) Annual Report and Financial Statements 2023/24. Welwyn Garden City: Tesco Stores Limited.</w:t>
      </w:r>
    </w:p>
    <w:p w14:paraId="1AAF4C69" w14:textId="77777777" w:rsidR="001312DC" w:rsidRPr="001312DC" w:rsidRDefault="001312DC" w:rsidP="001312DC">
      <w:pPr>
        <w:jc w:val="both"/>
        <w:rPr>
          <w:rFonts w:ascii="Arial" w:hAnsi="Arial" w:cs="Arial"/>
        </w:rPr>
      </w:pPr>
      <w:r w:rsidRPr="001312DC">
        <w:rPr>
          <w:rFonts w:ascii="Arial" w:hAnsi="Arial" w:cs="Arial"/>
        </w:rPr>
        <w:t>Tesco PLC (2024b) People and Planet Report 2024. Welwyn Garden City: Tesco Stores Limited.</w:t>
      </w:r>
    </w:p>
    <w:p w14:paraId="52130866" w14:textId="77777777" w:rsidR="001312DC" w:rsidRPr="001312DC" w:rsidRDefault="001312DC" w:rsidP="001312DC">
      <w:pPr>
        <w:jc w:val="both"/>
        <w:rPr>
          <w:rFonts w:ascii="Arial" w:hAnsi="Arial" w:cs="Arial"/>
        </w:rPr>
      </w:pPr>
      <w:r w:rsidRPr="001312DC">
        <w:rPr>
          <w:rFonts w:ascii="Arial" w:hAnsi="Arial" w:cs="Arial"/>
        </w:rPr>
        <w:t>Tesco PLC (2025) Diversity, Equity and Inclusion Update 2025. Welwyn Garden City: Tesco Stores Limited.</w:t>
      </w:r>
    </w:p>
    <w:p w14:paraId="40009D62" w14:textId="3F3609FF" w:rsidR="00826761" w:rsidRPr="001312DC" w:rsidRDefault="001312DC" w:rsidP="001312DC">
      <w:pPr>
        <w:jc w:val="both"/>
        <w:rPr>
          <w:rFonts w:ascii="Arial" w:hAnsi="Arial" w:cs="Arial"/>
        </w:rPr>
      </w:pPr>
      <w:r w:rsidRPr="001312DC">
        <w:rPr>
          <w:rFonts w:ascii="Arial" w:hAnsi="Arial" w:cs="Arial"/>
        </w:rPr>
        <w:t>Truss, C., et al. (2024) ‘Diversity management in practice: from rhetoric to reality’, British Journal of Management, 35(2), pp. 412–431.</w:t>
      </w:r>
    </w:p>
    <w:sectPr w:rsidR="00826761" w:rsidRPr="001312DC" w:rsidSect="00D926B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7D54B" w14:textId="77777777" w:rsidR="007B1AE3" w:rsidRDefault="007B1AE3" w:rsidP="001312DC">
      <w:pPr>
        <w:spacing w:after="0" w:line="240" w:lineRule="auto"/>
      </w:pPr>
      <w:r>
        <w:separator/>
      </w:r>
    </w:p>
  </w:endnote>
  <w:endnote w:type="continuationSeparator" w:id="0">
    <w:p w14:paraId="1B73B9A3" w14:textId="77777777" w:rsidR="007B1AE3" w:rsidRDefault="007B1AE3" w:rsidP="00131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904487"/>
      <w:docPartObj>
        <w:docPartGallery w:val="Page Numbers (Bottom of Page)"/>
        <w:docPartUnique/>
      </w:docPartObj>
    </w:sdtPr>
    <w:sdtEndPr>
      <w:rPr>
        <w:noProof/>
      </w:rPr>
    </w:sdtEndPr>
    <w:sdtContent>
      <w:p w14:paraId="0F6DF44A" w14:textId="083CB4E0" w:rsidR="001312DC" w:rsidRDefault="001312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C51BB" w14:textId="77777777" w:rsidR="001312DC" w:rsidRDefault="00131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10BDA" w14:textId="77777777" w:rsidR="007B1AE3" w:rsidRDefault="007B1AE3" w:rsidP="001312DC">
      <w:pPr>
        <w:spacing w:after="0" w:line="240" w:lineRule="auto"/>
      </w:pPr>
      <w:r>
        <w:separator/>
      </w:r>
    </w:p>
  </w:footnote>
  <w:footnote w:type="continuationSeparator" w:id="0">
    <w:p w14:paraId="1D0A5F25" w14:textId="77777777" w:rsidR="007B1AE3" w:rsidRDefault="007B1AE3" w:rsidP="00131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47289"/>
    <w:multiLevelType w:val="multilevel"/>
    <w:tmpl w:val="6A329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9998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2B5"/>
    <w:rsid w:val="00050DE0"/>
    <w:rsid w:val="000937E3"/>
    <w:rsid w:val="001312DC"/>
    <w:rsid w:val="00256A47"/>
    <w:rsid w:val="003C2BBE"/>
    <w:rsid w:val="005A59B5"/>
    <w:rsid w:val="007B1AE3"/>
    <w:rsid w:val="00826761"/>
    <w:rsid w:val="008D4F45"/>
    <w:rsid w:val="008D7C62"/>
    <w:rsid w:val="009C6E5E"/>
    <w:rsid w:val="00A162B5"/>
    <w:rsid w:val="00AD4480"/>
    <w:rsid w:val="00D926B1"/>
    <w:rsid w:val="00E92940"/>
    <w:rsid w:val="00EC6F9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18A92"/>
  <w15:chartTrackingRefBased/>
  <w15:docId w15:val="{09951D16-C403-4019-B896-70D7E515C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F45"/>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uiPriority w:val="9"/>
    <w:unhideWhenUsed/>
    <w:qFormat/>
    <w:rsid w:val="008D4F45"/>
    <w:pPr>
      <w:keepNext/>
      <w:keepLines/>
      <w:spacing w:before="160" w:after="8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A162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62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62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62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2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2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2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F45"/>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8D4F45"/>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semiHidden/>
    <w:rsid w:val="00A162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62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62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62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62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62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62B5"/>
    <w:rPr>
      <w:rFonts w:eastAsiaTheme="majorEastAsia" w:cstheme="majorBidi"/>
      <w:color w:val="272727" w:themeColor="text1" w:themeTint="D8"/>
    </w:rPr>
  </w:style>
  <w:style w:type="paragraph" w:styleId="Title">
    <w:name w:val="Title"/>
    <w:basedOn w:val="Normal"/>
    <w:next w:val="Normal"/>
    <w:link w:val="TitleChar"/>
    <w:uiPriority w:val="10"/>
    <w:qFormat/>
    <w:rsid w:val="00A162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2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62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2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2B5"/>
    <w:pPr>
      <w:spacing w:before="160"/>
      <w:jc w:val="center"/>
    </w:pPr>
    <w:rPr>
      <w:i/>
      <w:iCs/>
      <w:color w:val="404040" w:themeColor="text1" w:themeTint="BF"/>
    </w:rPr>
  </w:style>
  <w:style w:type="character" w:customStyle="1" w:styleId="QuoteChar">
    <w:name w:val="Quote Char"/>
    <w:basedOn w:val="DefaultParagraphFont"/>
    <w:link w:val="Quote"/>
    <w:uiPriority w:val="29"/>
    <w:rsid w:val="00A162B5"/>
    <w:rPr>
      <w:i/>
      <w:iCs/>
      <w:color w:val="404040" w:themeColor="text1" w:themeTint="BF"/>
    </w:rPr>
  </w:style>
  <w:style w:type="paragraph" w:styleId="ListParagraph">
    <w:name w:val="List Paragraph"/>
    <w:basedOn w:val="Normal"/>
    <w:uiPriority w:val="34"/>
    <w:qFormat/>
    <w:rsid w:val="00A162B5"/>
    <w:pPr>
      <w:ind w:left="720"/>
      <w:contextualSpacing/>
    </w:pPr>
  </w:style>
  <w:style w:type="character" w:styleId="IntenseEmphasis">
    <w:name w:val="Intense Emphasis"/>
    <w:basedOn w:val="DefaultParagraphFont"/>
    <w:uiPriority w:val="21"/>
    <w:qFormat/>
    <w:rsid w:val="00A162B5"/>
    <w:rPr>
      <w:i/>
      <w:iCs/>
      <w:color w:val="2F5496" w:themeColor="accent1" w:themeShade="BF"/>
    </w:rPr>
  </w:style>
  <w:style w:type="paragraph" w:styleId="IntenseQuote">
    <w:name w:val="Intense Quote"/>
    <w:basedOn w:val="Normal"/>
    <w:next w:val="Normal"/>
    <w:link w:val="IntenseQuoteChar"/>
    <w:uiPriority w:val="30"/>
    <w:qFormat/>
    <w:rsid w:val="00A162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62B5"/>
    <w:rPr>
      <w:i/>
      <w:iCs/>
      <w:color w:val="2F5496" w:themeColor="accent1" w:themeShade="BF"/>
    </w:rPr>
  </w:style>
  <w:style w:type="character" w:styleId="IntenseReference">
    <w:name w:val="Intense Reference"/>
    <w:basedOn w:val="DefaultParagraphFont"/>
    <w:uiPriority w:val="32"/>
    <w:qFormat/>
    <w:rsid w:val="00A162B5"/>
    <w:rPr>
      <w:b/>
      <w:bCs/>
      <w:smallCaps/>
      <w:color w:val="2F5496" w:themeColor="accent1" w:themeShade="BF"/>
      <w:spacing w:val="5"/>
    </w:rPr>
  </w:style>
  <w:style w:type="paragraph" w:styleId="Header">
    <w:name w:val="header"/>
    <w:basedOn w:val="Normal"/>
    <w:link w:val="HeaderChar"/>
    <w:uiPriority w:val="99"/>
    <w:unhideWhenUsed/>
    <w:rsid w:val="001312DC"/>
    <w:pPr>
      <w:tabs>
        <w:tab w:val="center" w:pos="4844"/>
        <w:tab w:val="right" w:pos="9689"/>
      </w:tabs>
      <w:spacing w:after="0" w:line="240" w:lineRule="auto"/>
    </w:pPr>
  </w:style>
  <w:style w:type="character" w:customStyle="1" w:styleId="HeaderChar">
    <w:name w:val="Header Char"/>
    <w:basedOn w:val="DefaultParagraphFont"/>
    <w:link w:val="Header"/>
    <w:uiPriority w:val="99"/>
    <w:rsid w:val="001312DC"/>
  </w:style>
  <w:style w:type="paragraph" w:styleId="Footer">
    <w:name w:val="footer"/>
    <w:basedOn w:val="Normal"/>
    <w:link w:val="FooterChar"/>
    <w:uiPriority w:val="99"/>
    <w:unhideWhenUsed/>
    <w:rsid w:val="001312DC"/>
    <w:pPr>
      <w:tabs>
        <w:tab w:val="center" w:pos="4844"/>
        <w:tab w:val="right" w:pos="9689"/>
      </w:tabs>
      <w:spacing w:after="0" w:line="240" w:lineRule="auto"/>
    </w:pPr>
  </w:style>
  <w:style w:type="character" w:customStyle="1" w:styleId="FooterChar">
    <w:name w:val="Footer Char"/>
    <w:basedOn w:val="DefaultParagraphFont"/>
    <w:link w:val="Footer"/>
    <w:uiPriority w:val="99"/>
    <w:rsid w:val="001312DC"/>
  </w:style>
  <w:style w:type="paragraph" w:styleId="TOCHeading">
    <w:name w:val="TOC Heading"/>
    <w:basedOn w:val="Heading1"/>
    <w:next w:val="Normal"/>
    <w:uiPriority w:val="39"/>
    <w:unhideWhenUsed/>
    <w:qFormat/>
    <w:rsid w:val="001312DC"/>
    <w:pPr>
      <w:spacing w:before="240" w:after="0"/>
      <w:outlineLvl w:val="9"/>
    </w:pPr>
    <w:rPr>
      <w:b w:val="0"/>
      <w:color w:val="2F5496" w:themeColor="accent1" w:themeShade="BF"/>
      <w:szCs w:val="32"/>
      <w14:ligatures w14:val="none"/>
    </w:rPr>
  </w:style>
  <w:style w:type="paragraph" w:styleId="TOC1">
    <w:name w:val="toc 1"/>
    <w:basedOn w:val="Normal"/>
    <w:next w:val="Normal"/>
    <w:autoRedefine/>
    <w:uiPriority w:val="39"/>
    <w:unhideWhenUsed/>
    <w:rsid w:val="001312DC"/>
    <w:pPr>
      <w:spacing w:after="100"/>
    </w:pPr>
  </w:style>
  <w:style w:type="character" w:styleId="Hyperlink">
    <w:name w:val="Hyperlink"/>
    <w:basedOn w:val="DefaultParagraphFont"/>
    <w:uiPriority w:val="99"/>
    <w:unhideWhenUsed/>
    <w:rsid w:val="001312DC"/>
    <w:rPr>
      <w:color w:val="0563C1" w:themeColor="hyperlink"/>
      <w:u w:val="single"/>
    </w:rPr>
  </w:style>
  <w:style w:type="paragraph" w:styleId="TOC2">
    <w:name w:val="toc 2"/>
    <w:basedOn w:val="Normal"/>
    <w:next w:val="Normal"/>
    <w:autoRedefine/>
    <w:uiPriority w:val="39"/>
    <w:unhideWhenUsed/>
    <w:rsid w:val="001312DC"/>
    <w:pPr>
      <w:spacing w:after="100"/>
      <w:ind w:left="220"/>
    </w:pPr>
    <w:rPr>
      <w:rFonts w:eastAsiaTheme="minorEastAsia" w:cs="Times New Roman"/>
      <w14:ligatures w14:val="none"/>
    </w:rPr>
  </w:style>
  <w:style w:type="paragraph" w:styleId="TOC3">
    <w:name w:val="toc 3"/>
    <w:basedOn w:val="Normal"/>
    <w:next w:val="Normal"/>
    <w:autoRedefine/>
    <w:uiPriority w:val="39"/>
    <w:unhideWhenUsed/>
    <w:rsid w:val="001312DC"/>
    <w:pPr>
      <w:spacing w:after="100"/>
      <w:ind w:left="440"/>
    </w:pPr>
    <w:rPr>
      <w:rFonts w:eastAsiaTheme="minorEastAsia"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6CA3C-321A-4080-BC69-85139F230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2057</Words>
  <Characters>11729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Hoptsii Roman</dc:creator>
  <cp:keywords/>
  <dc:description/>
  <cp:lastModifiedBy>Oleg Vlasov (2413801)</cp:lastModifiedBy>
  <cp:revision>2</cp:revision>
  <dcterms:created xsi:type="dcterms:W3CDTF">2026-08-01T09:56:00Z</dcterms:created>
  <dcterms:modified xsi:type="dcterms:W3CDTF">2026-08-01T09:56:00Z</dcterms:modified>
</cp:coreProperties>
</file>