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E9CB4" w14:textId="77777777" w:rsidR="00F3612D" w:rsidRDefault="00F3612D" w:rsidP="00F3612D">
      <w:pPr>
        <w:rPr>
          <w:rFonts w:cs="Arial"/>
          <w:sz w:val="22"/>
          <w:szCs w:val="22"/>
        </w:rPr>
      </w:pPr>
      <w:r w:rsidRPr="00BF0916">
        <w:rPr>
          <w:rFonts w:cs="Arial"/>
          <w:sz w:val="22"/>
          <w:szCs w:val="22"/>
        </w:rPr>
        <w:t>Report - (</w:t>
      </w:r>
      <w:r>
        <w:rPr>
          <w:rFonts w:cs="Arial"/>
          <w:sz w:val="22"/>
          <w:szCs w:val="22"/>
        </w:rPr>
        <w:t>approx.</w:t>
      </w:r>
      <w:r w:rsidRPr="00BF0916">
        <w:rPr>
          <w:rFonts w:cs="Arial"/>
          <w:sz w:val="22"/>
          <w:szCs w:val="22"/>
        </w:rPr>
        <w:t xml:space="preserve"> 1000 words).</w:t>
      </w:r>
    </w:p>
    <w:p w14:paraId="25DE653B" w14:textId="77777777" w:rsidR="00F3612D" w:rsidRDefault="00F3612D" w:rsidP="00F3612D">
      <w:pPr>
        <w:rPr>
          <w:rFonts w:cs="Arial"/>
          <w:sz w:val="22"/>
          <w:szCs w:val="22"/>
        </w:rPr>
      </w:pPr>
    </w:p>
    <w:p w14:paraId="5FDE58FB" w14:textId="77777777" w:rsidR="00F3612D" w:rsidRDefault="00F3612D" w:rsidP="00F3612D">
      <w:pPr>
        <w:rPr>
          <w:rFonts w:cs="Arial"/>
          <w:sz w:val="22"/>
          <w:szCs w:val="22"/>
        </w:rPr>
      </w:pPr>
    </w:p>
    <w:p w14:paraId="70087923" w14:textId="77777777" w:rsidR="00F3612D" w:rsidRPr="002A7D08" w:rsidRDefault="00F3612D" w:rsidP="00F3612D">
      <w:pPr>
        <w:rPr>
          <w:rFonts w:cs="Arial"/>
          <w:b/>
          <w:bCs/>
          <w:sz w:val="22"/>
          <w:szCs w:val="22"/>
        </w:rPr>
      </w:pPr>
      <w:r w:rsidRPr="002A7D08">
        <w:rPr>
          <w:rFonts w:cs="Arial"/>
          <w:b/>
          <w:bCs/>
          <w:sz w:val="22"/>
          <w:szCs w:val="22"/>
        </w:rPr>
        <w:t>Commendations</w:t>
      </w:r>
    </w:p>
    <w:p w14:paraId="101C1965" w14:textId="77777777" w:rsidR="00F3612D" w:rsidRDefault="00F3612D" w:rsidP="00F3612D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candidate has chosen a very interesting and understudied area of research, where there is a lot to be learned with societal changes. </w:t>
      </w:r>
    </w:p>
    <w:p w14:paraId="2106FDE7" w14:textId="77777777" w:rsidR="00F3612D" w:rsidRDefault="00F3612D" w:rsidP="00F3612D">
      <w:pPr>
        <w:rPr>
          <w:rFonts w:cs="Arial"/>
          <w:sz w:val="22"/>
          <w:szCs w:val="22"/>
        </w:rPr>
      </w:pPr>
    </w:p>
    <w:p w14:paraId="244741F7" w14:textId="77777777" w:rsidR="00F3612D" w:rsidRDefault="00F3612D" w:rsidP="00F3612D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examiners further commend the candidate for the reflectivity they have brought to the methodological approach to the research. The thesis is based on a rich engagement with various theories and methodologies relevant to the research.</w:t>
      </w:r>
    </w:p>
    <w:p w14:paraId="5CBA594D" w14:textId="77777777" w:rsidR="00F3612D" w:rsidRDefault="00F3612D" w:rsidP="00F3612D">
      <w:pPr>
        <w:rPr>
          <w:rFonts w:cs="Arial"/>
          <w:sz w:val="22"/>
          <w:szCs w:val="22"/>
        </w:rPr>
      </w:pPr>
    </w:p>
    <w:p w14:paraId="7400BE21" w14:textId="77777777" w:rsidR="00F3612D" w:rsidRDefault="00F3612D" w:rsidP="00F3612D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Finally, the examiners wish to note the candidate’s full engagement with all questions of the panel during the viva. </w:t>
      </w:r>
    </w:p>
    <w:p w14:paraId="5B8AEC0D" w14:textId="77777777" w:rsidR="00F3612D" w:rsidRDefault="00F3612D" w:rsidP="00F3612D">
      <w:pPr>
        <w:rPr>
          <w:rFonts w:cs="Arial"/>
          <w:sz w:val="22"/>
          <w:szCs w:val="22"/>
        </w:rPr>
      </w:pPr>
    </w:p>
    <w:p w14:paraId="283075EE" w14:textId="77777777" w:rsidR="00F3612D" w:rsidRDefault="00F3612D" w:rsidP="00F3612D">
      <w:pPr>
        <w:rPr>
          <w:rFonts w:cs="Arial"/>
          <w:sz w:val="22"/>
          <w:szCs w:val="22"/>
        </w:rPr>
      </w:pPr>
    </w:p>
    <w:p w14:paraId="66290599" w14:textId="68DE7F84" w:rsidR="00F3612D" w:rsidRDefault="00F3612D" w:rsidP="00F3612D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Revisions</w:t>
      </w:r>
    </w:p>
    <w:p w14:paraId="4EC8AC20" w14:textId="77777777" w:rsidR="00F3612D" w:rsidRDefault="00F3612D" w:rsidP="00F3612D">
      <w:pPr>
        <w:rPr>
          <w:rFonts w:cs="Arial"/>
          <w:b/>
          <w:bCs/>
          <w:sz w:val="22"/>
          <w:szCs w:val="22"/>
        </w:rPr>
      </w:pPr>
    </w:p>
    <w:p w14:paraId="68C6BEEA" w14:textId="77777777" w:rsidR="00F3612D" w:rsidRDefault="00F3612D" w:rsidP="00F3612D">
      <w:pPr>
        <w:rPr>
          <w:rFonts w:cs="Arial"/>
          <w:sz w:val="22"/>
          <w:szCs w:val="22"/>
        </w:rPr>
      </w:pPr>
    </w:p>
    <w:p w14:paraId="2B96FB0A" w14:textId="77777777" w:rsidR="00F3612D" w:rsidRDefault="00F3612D" w:rsidP="00F3612D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candidate is encouraged to consider the following revisions with their supervisory team.  In particular, the candidate is asked </w:t>
      </w:r>
      <w:proofErr w:type="gramStart"/>
      <w:r>
        <w:rPr>
          <w:rFonts w:cs="Arial"/>
          <w:sz w:val="22"/>
          <w:szCs w:val="22"/>
        </w:rPr>
        <w:t>to</w:t>
      </w:r>
      <w:proofErr w:type="gramEnd"/>
    </w:p>
    <w:p w14:paraId="5A2974EA" w14:textId="77777777" w:rsidR="00F3612D" w:rsidRDefault="00F3612D" w:rsidP="00F3612D">
      <w:pPr>
        <w:rPr>
          <w:rFonts w:cs="Arial"/>
          <w:sz w:val="22"/>
          <w:szCs w:val="22"/>
        </w:rPr>
      </w:pPr>
    </w:p>
    <w:p w14:paraId="03771D63" w14:textId="77777777" w:rsidR="00F3612D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 w:rsidRPr="00CD6069">
        <w:rPr>
          <w:rFonts w:cs="Arial"/>
          <w:sz w:val="22"/>
          <w:szCs w:val="22"/>
        </w:rPr>
        <w:t>Demonstrate an in-depth knowledge on the socio-economic context of Fujian Opera and its ritual distinction (historically, linguistically and in contemporary China</w:t>
      </w:r>
      <w:proofErr w:type="gramStart"/>
      <w:r w:rsidRPr="00CD6069">
        <w:rPr>
          <w:rFonts w:cs="Arial"/>
          <w:sz w:val="22"/>
          <w:szCs w:val="22"/>
        </w:rPr>
        <w:t>)</w:t>
      </w:r>
      <w:r>
        <w:rPr>
          <w:rFonts w:cs="Arial"/>
          <w:sz w:val="22"/>
          <w:szCs w:val="22"/>
        </w:rPr>
        <w:t>;</w:t>
      </w:r>
      <w:proofErr w:type="gramEnd"/>
    </w:p>
    <w:p w14:paraId="0BAF136B" w14:textId="77777777" w:rsidR="00F3612D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Articulate Fujian Opera private/state organisation activities and how they are responding to local ritual distinction and recent government policy/funding changes. It is recommended to analyse both the differences and interactions between </w:t>
      </w:r>
      <w:r w:rsidRPr="00CD6069">
        <w:rPr>
          <w:rFonts w:cs="Arial"/>
          <w:sz w:val="22"/>
          <w:szCs w:val="22"/>
        </w:rPr>
        <w:t xml:space="preserve">private and publicly funded troupes </w:t>
      </w:r>
      <w:r>
        <w:rPr>
          <w:rFonts w:cs="Arial"/>
          <w:sz w:val="22"/>
          <w:szCs w:val="22"/>
        </w:rPr>
        <w:t xml:space="preserve">by focusing on four main aspects: </w:t>
      </w:r>
      <w:r w:rsidRPr="00CD6069">
        <w:rPr>
          <w:rFonts w:cs="Arial"/>
          <w:sz w:val="22"/>
          <w:szCs w:val="22"/>
        </w:rPr>
        <w:t>funding</w:t>
      </w:r>
      <w:r>
        <w:rPr>
          <w:rFonts w:cs="Arial"/>
          <w:sz w:val="22"/>
          <w:szCs w:val="22"/>
        </w:rPr>
        <w:t xml:space="preserve"> of activities</w:t>
      </w:r>
      <w:r w:rsidRPr="00CD6069">
        <w:rPr>
          <w:rFonts w:cs="Arial"/>
          <w:sz w:val="22"/>
          <w:szCs w:val="22"/>
        </w:rPr>
        <w:t>, policy</w:t>
      </w:r>
      <w:r>
        <w:rPr>
          <w:rFonts w:cs="Arial"/>
          <w:sz w:val="22"/>
          <w:szCs w:val="22"/>
        </w:rPr>
        <w:t xml:space="preserve"> frameworks</w:t>
      </w:r>
      <w:r w:rsidRPr="00CD6069">
        <w:rPr>
          <w:rFonts w:cs="Arial"/>
          <w:sz w:val="22"/>
          <w:szCs w:val="22"/>
        </w:rPr>
        <w:t>, transmitter</w:t>
      </w:r>
      <w:r>
        <w:rPr>
          <w:rFonts w:cs="Arial"/>
          <w:sz w:val="22"/>
          <w:szCs w:val="22"/>
        </w:rPr>
        <w:t>s of the tradition</w:t>
      </w:r>
      <w:r w:rsidRPr="00CD6069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 xml:space="preserve">and </w:t>
      </w:r>
      <w:r w:rsidRPr="00CD6069">
        <w:rPr>
          <w:rFonts w:cs="Arial"/>
          <w:sz w:val="22"/>
          <w:szCs w:val="22"/>
        </w:rPr>
        <w:t xml:space="preserve">community </w:t>
      </w:r>
      <w:r>
        <w:rPr>
          <w:rFonts w:cs="Arial"/>
          <w:sz w:val="22"/>
          <w:szCs w:val="22"/>
        </w:rPr>
        <w:t xml:space="preserve">engagement. The candidate is strongly encouraged to use collected first-hand data to support and critique the socio-economic and political conditions of Fujian Opera, and to tease out tensions as well as opportunities that arise from changes in the socio-political context of Fujian Opera. </w:t>
      </w:r>
    </w:p>
    <w:p w14:paraId="5688A90A" w14:textId="77777777" w:rsidR="00F3612D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Pr="00CD6069">
        <w:rPr>
          <w:rFonts w:cs="Arial"/>
          <w:sz w:val="22"/>
          <w:szCs w:val="22"/>
        </w:rPr>
        <w:t xml:space="preserve">rovide a clear context on China’s ratification of UNESCO ICH 2003 Convention and how policy and funding changes are </w:t>
      </w:r>
      <w:proofErr w:type="gramStart"/>
      <w:r w:rsidRPr="00CD6069">
        <w:rPr>
          <w:rFonts w:cs="Arial"/>
          <w:sz w:val="22"/>
          <w:szCs w:val="22"/>
        </w:rPr>
        <w:t>effecting</w:t>
      </w:r>
      <w:proofErr w:type="gramEnd"/>
      <w:r w:rsidRPr="00CD6069">
        <w:rPr>
          <w:rFonts w:cs="Arial"/>
          <w:sz w:val="22"/>
          <w:szCs w:val="22"/>
        </w:rPr>
        <w:t xml:space="preserve"> private/state FO companies;</w:t>
      </w:r>
    </w:p>
    <w:p w14:paraId="53C9D52D" w14:textId="77777777" w:rsidR="00F3612D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Increase the readability of the text by providing concrete examples to illustrate the main arguments presented in the </w:t>
      </w:r>
      <w:proofErr w:type="gramStart"/>
      <w:r>
        <w:rPr>
          <w:rFonts w:cs="Arial"/>
          <w:sz w:val="22"/>
          <w:szCs w:val="22"/>
        </w:rPr>
        <w:t>text;</w:t>
      </w:r>
      <w:proofErr w:type="gramEnd"/>
    </w:p>
    <w:p w14:paraId="0103F273" w14:textId="77777777" w:rsidR="00F3612D" w:rsidRPr="006A477F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 w:rsidRPr="006A477F">
        <w:rPr>
          <w:rFonts w:cs="Arial"/>
          <w:sz w:val="22"/>
          <w:szCs w:val="22"/>
        </w:rPr>
        <w:t>Re</w:t>
      </w:r>
      <w:r>
        <w:rPr>
          <w:rFonts w:cs="Arial"/>
          <w:sz w:val="22"/>
          <w:szCs w:val="22"/>
        </w:rPr>
        <w:t xml:space="preserve">vise </w:t>
      </w:r>
      <w:r w:rsidRPr="006A477F">
        <w:rPr>
          <w:rFonts w:cs="Arial"/>
          <w:sz w:val="22"/>
          <w:szCs w:val="22"/>
        </w:rPr>
        <w:t>the methodology</w:t>
      </w:r>
      <w:r>
        <w:rPr>
          <w:rFonts w:cs="Arial"/>
          <w:sz w:val="22"/>
          <w:szCs w:val="22"/>
        </w:rPr>
        <w:t xml:space="preserve"> and theory section (Chapter 3) to create better links with the primary</w:t>
      </w:r>
      <w:r w:rsidRPr="006A477F">
        <w:rPr>
          <w:rFonts w:cs="Arial"/>
          <w:sz w:val="22"/>
          <w:szCs w:val="22"/>
        </w:rPr>
        <w:t xml:space="preserve"> data and research question</w:t>
      </w:r>
      <w:r>
        <w:rPr>
          <w:rFonts w:cs="Arial"/>
          <w:sz w:val="22"/>
          <w:szCs w:val="22"/>
        </w:rPr>
        <w:t xml:space="preserve">. The aim is to contextualise theories with first-hand data to present a coherent argument throughout the </w:t>
      </w:r>
      <w:proofErr w:type="gramStart"/>
      <w:r>
        <w:rPr>
          <w:rFonts w:cs="Arial"/>
          <w:sz w:val="22"/>
          <w:szCs w:val="22"/>
        </w:rPr>
        <w:t>thesis;</w:t>
      </w:r>
      <w:proofErr w:type="gramEnd"/>
    </w:p>
    <w:p w14:paraId="0F78C3C1" w14:textId="77777777" w:rsidR="00F3612D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Clarify the coding method used in NVivo by, for instance, including the coding book as an </w:t>
      </w:r>
      <w:proofErr w:type="gramStart"/>
      <w:r>
        <w:rPr>
          <w:rFonts w:cs="Arial"/>
          <w:sz w:val="22"/>
          <w:szCs w:val="22"/>
        </w:rPr>
        <w:t>appendix;</w:t>
      </w:r>
      <w:proofErr w:type="gramEnd"/>
    </w:p>
    <w:p w14:paraId="26FA6968" w14:textId="77777777" w:rsidR="00F3612D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Include quotes from the participants in the data analysis chapter (Chapter 4) to illustrate how themes emerged from the primary </w:t>
      </w:r>
      <w:proofErr w:type="gramStart"/>
      <w:r>
        <w:rPr>
          <w:rFonts w:cs="Arial"/>
          <w:sz w:val="22"/>
          <w:szCs w:val="22"/>
        </w:rPr>
        <w:t>data;</w:t>
      </w:r>
      <w:proofErr w:type="gramEnd"/>
    </w:p>
    <w:p w14:paraId="6FAA72CA" w14:textId="77777777" w:rsidR="00F3612D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Include a sample </w:t>
      </w:r>
      <w:r w:rsidRPr="00CD6069">
        <w:rPr>
          <w:rFonts w:cs="Arial"/>
          <w:sz w:val="22"/>
          <w:szCs w:val="22"/>
        </w:rPr>
        <w:t>transcript</w:t>
      </w:r>
      <w:r>
        <w:rPr>
          <w:rFonts w:cs="Arial"/>
          <w:sz w:val="22"/>
          <w:szCs w:val="22"/>
        </w:rPr>
        <w:t xml:space="preserve"> of an interview</w:t>
      </w:r>
      <w:r w:rsidRPr="00CD6069">
        <w:rPr>
          <w:rFonts w:cs="Arial"/>
          <w:sz w:val="22"/>
          <w:szCs w:val="22"/>
        </w:rPr>
        <w:t xml:space="preserve"> to illustrate the method</w:t>
      </w:r>
      <w:r>
        <w:rPr>
          <w:rFonts w:cs="Arial"/>
          <w:sz w:val="22"/>
          <w:szCs w:val="22"/>
        </w:rPr>
        <w:t>s</w:t>
      </w:r>
      <w:r w:rsidRPr="00CD6069">
        <w:rPr>
          <w:rFonts w:cs="Arial"/>
          <w:sz w:val="22"/>
          <w:szCs w:val="22"/>
        </w:rPr>
        <w:t xml:space="preserve"> used and </w:t>
      </w:r>
      <w:r>
        <w:rPr>
          <w:rFonts w:cs="Arial"/>
          <w:sz w:val="22"/>
          <w:szCs w:val="22"/>
        </w:rPr>
        <w:t xml:space="preserve">to clarify and justify how the researcher dealt with issues arising from translation between </w:t>
      </w:r>
      <w:r w:rsidRPr="00CD6069">
        <w:rPr>
          <w:rFonts w:cs="Arial"/>
          <w:sz w:val="22"/>
          <w:szCs w:val="22"/>
        </w:rPr>
        <w:t>Chinese</w:t>
      </w:r>
      <w:r>
        <w:rPr>
          <w:rFonts w:cs="Arial"/>
          <w:sz w:val="22"/>
          <w:szCs w:val="22"/>
        </w:rPr>
        <w:t xml:space="preserve"> and </w:t>
      </w:r>
      <w:proofErr w:type="gramStart"/>
      <w:r w:rsidRPr="00CD6069">
        <w:rPr>
          <w:rFonts w:cs="Arial"/>
          <w:sz w:val="22"/>
          <w:szCs w:val="22"/>
        </w:rPr>
        <w:t>English</w:t>
      </w:r>
      <w:r>
        <w:rPr>
          <w:rFonts w:cs="Arial"/>
          <w:sz w:val="22"/>
          <w:szCs w:val="22"/>
        </w:rPr>
        <w:t>;</w:t>
      </w:r>
      <w:proofErr w:type="gramEnd"/>
    </w:p>
    <w:p w14:paraId="790293D2" w14:textId="77777777" w:rsidR="00F3612D" w:rsidRPr="00CD6069" w:rsidRDefault="00F3612D" w:rsidP="00F3612D">
      <w:pPr>
        <w:pStyle w:val="ListParagraph"/>
        <w:numPr>
          <w:ilvl w:val="0"/>
          <w:numId w:val="1"/>
        </w:numPr>
        <w:ind w:left="360"/>
        <w:contextualSpacing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 proofread the entire thesis to eliminate spelling errors and grammatical mistakes.</w:t>
      </w:r>
    </w:p>
    <w:p w14:paraId="72EDDF30" w14:textId="77777777" w:rsidR="00F3612D" w:rsidRPr="00CD6069" w:rsidRDefault="00F3612D" w:rsidP="00F3612D">
      <w:pPr>
        <w:pStyle w:val="ListParagraph"/>
        <w:ind w:left="360"/>
        <w:rPr>
          <w:rFonts w:cs="Arial"/>
          <w:sz w:val="22"/>
          <w:szCs w:val="22"/>
        </w:rPr>
      </w:pPr>
    </w:p>
    <w:p w14:paraId="2A98370A" w14:textId="77777777" w:rsidR="00F3612D" w:rsidRDefault="00F3612D" w:rsidP="00F3612D">
      <w:pPr>
        <w:rPr>
          <w:rFonts w:cs="Arial"/>
          <w:sz w:val="22"/>
          <w:szCs w:val="22"/>
        </w:rPr>
      </w:pPr>
    </w:p>
    <w:p w14:paraId="2C844530" w14:textId="77777777" w:rsidR="00F3612D" w:rsidRDefault="00F3612D" w:rsidP="00F3612D">
      <w:pPr>
        <w:rPr>
          <w:rFonts w:cs="Arial"/>
          <w:b/>
          <w:bCs/>
          <w:sz w:val="22"/>
          <w:szCs w:val="22"/>
        </w:rPr>
      </w:pPr>
      <w:r w:rsidRPr="00EE545F">
        <w:rPr>
          <w:rFonts w:cs="Arial"/>
          <w:b/>
          <w:bCs/>
          <w:sz w:val="22"/>
          <w:szCs w:val="22"/>
        </w:rPr>
        <w:t>Further requested revisions</w:t>
      </w:r>
      <w:r>
        <w:rPr>
          <w:rFonts w:cs="Arial"/>
          <w:b/>
          <w:bCs/>
          <w:sz w:val="22"/>
          <w:szCs w:val="22"/>
        </w:rPr>
        <w:t xml:space="preserve"> and recommendations</w:t>
      </w:r>
    </w:p>
    <w:p w14:paraId="695F1202" w14:textId="77777777" w:rsidR="00F3612D" w:rsidRDefault="00F3612D" w:rsidP="00F3612D">
      <w:pPr>
        <w:pStyle w:val="ListParagraph"/>
        <w:rPr>
          <w:rFonts w:cs="Arial"/>
          <w:sz w:val="22"/>
          <w:szCs w:val="22"/>
        </w:rPr>
      </w:pPr>
    </w:p>
    <w:p w14:paraId="7F42D32E" w14:textId="77777777" w:rsidR="00F3612D" w:rsidRDefault="00F3612D" w:rsidP="00F3612D">
      <w:pPr>
        <w:pStyle w:val="ListParagraph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1. </w:t>
      </w:r>
      <w:r w:rsidRPr="00EE545F">
        <w:rPr>
          <w:rFonts w:cs="Arial"/>
          <w:sz w:val="22"/>
          <w:szCs w:val="22"/>
        </w:rPr>
        <w:t xml:space="preserve">The </w:t>
      </w:r>
      <w:r>
        <w:rPr>
          <w:rFonts w:cs="Arial"/>
          <w:sz w:val="22"/>
          <w:szCs w:val="22"/>
        </w:rPr>
        <w:t>candidate needs to demonstrate knowledge of key literature on the topic. This would include, among other items, the following core materials:</w:t>
      </w:r>
    </w:p>
    <w:p w14:paraId="41AC8099" w14:textId="77777777" w:rsidR="00F3612D" w:rsidRDefault="00F3612D" w:rsidP="00F3612D">
      <w:pPr>
        <w:pStyle w:val="ListParagraph"/>
        <w:ind w:left="0"/>
        <w:rPr>
          <w:rFonts w:cs="Arial"/>
          <w:sz w:val="22"/>
          <w:szCs w:val="22"/>
        </w:rPr>
      </w:pPr>
    </w:p>
    <w:p w14:paraId="11CE5536" w14:textId="77777777" w:rsidR="00F3612D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A40D3D">
        <w:rPr>
          <w:rFonts w:cs="Arial"/>
          <w:sz w:val="22"/>
          <w:szCs w:val="22"/>
        </w:rPr>
        <w:t xml:space="preserve">Dean, Kenneth. “Local Communal Religion in Contemporary South-East China.” </w:t>
      </w:r>
      <w:r w:rsidRPr="00A40D3D">
        <w:rPr>
          <w:rFonts w:cs="Arial"/>
          <w:i/>
          <w:iCs/>
          <w:sz w:val="22"/>
          <w:szCs w:val="22"/>
        </w:rPr>
        <w:t>The China Quarterly</w:t>
      </w:r>
      <w:r w:rsidRPr="00A40D3D">
        <w:rPr>
          <w:rFonts w:cs="Arial"/>
          <w:sz w:val="22"/>
          <w:szCs w:val="22"/>
        </w:rPr>
        <w:t xml:space="preserve">, no. 174 (2003): 338–58. </w:t>
      </w:r>
      <w:hyperlink r:id="rId5" w:history="1">
        <w:r w:rsidRPr="00C239E0">
          <w:rPr>
            <w:rStyle w:val="Hyperlink"/>
            <w:rFonts w:eastAsiaTheme="majorEastAsia" w:cs="Arial"/>
            <w:sz w:val="22"/>
            <w:szCs w:val="22"/>
          </w:rPr>
          <w:t>http://www.jstor.org/stable/20058997</w:t>
        </w:r>
      </w:hyperlink>
      <w:r w:rsidRPr="00A40D3D">
        <w:rPr>
          <w:rFonts w:cs="Arial"/>
          <w:sz w:val="22"/>
          <w:szCs w:val="22"/>
        </w:rPr>
        <w:t>.</w:t>
      </w:r>
    </w:p>
    <w:p w14:paraId="33A7B41D" w14:textId="77777777" w:rsidR="00F3612D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A40D3D">
        <w:rPr>
          <w:rFonts w:cs="Arial"/>
          <w:sz w:val="22"/>
          <w:szCs w:val="22"/>
        </w:rPr>
        <w:lastRenderedPageBreak/>
        <w:t xml:space="preserve">Dean, Kenneth, and </w:t>
      </w:r>
      <w:proofErr w:type="spellStart"/>
      <w:r w:rsidRPr="00A40D3D">
        <w:rPr>
          <w:rFonts w:cs="Arial"/>
          <w:sz w:val="22"/>
          <w:szCs w:val="22"/>
        </w:rPr>
        <w:t>Zhenman</w:t>
      </w:r>
      <w:proofErr w:type="spellEnd"/>
      <w:r w:rsidRPr="00A40D3D">
        <w:rPr>
          <w:rFonts w:cs="Arial"/>
          <w:sz w:val="22"/>
          <w:szCs w:val="22"/>
        </w:rPr>
        <w:t xml:space="preserve"> ZHENG. </w:t>
      </w:r>
      <w:r w:rsidRPr="00A40D3D">
        <w:rPr>
          <w:rFonts w:cs="Arial"/>
          <w:i/>
          <w:iCs/>
          <w:sz w:val="22"/>
          <w:szCs w:val="22"/>
        </w:rPr>
        <w:t xml:space="preserve">Ritual Alliances of the </w:t>
      </w:r>
      <w:proofErr w:type="spellStart"/>
      <w:r w:rsidRPr="00A40D3D">
        <w:rPr>
          <w:rFonts w:cs="Arial"/>
          <w:i/>
          <w:iCs/>
          <w:sz w:val="22"/>
          <w:szCs w:val="22"/>
        </w:rPr>
        <w:t>Putian</w:t>
      </w:r>
      <w:proofErr w:type="spellEnd"/>
      <w:r w:rsidRPr="00A40D3D">
        <w:rPr>
          <w:rFonts w:cs="Arial"/>
          <w:i/>
          <w:iCs/>
          <w:sz w:val="22"/>
          <w:szCs w:val="22"/>
        </w:rPr>
        <w:t xml:space="preserve"> Plain</w:t>
      </w:r>
      <w:r w:rsidRPr="00A40D3D">
        <w:rPr>
          <w:rFonts w:cs="Arial"/>
          <w:sz w:val="22"/>
          <w:szCs w:val="22"/>
        </w:rPr>
        <w:t xml:space="preserve">. Volume One, (Leiden, The Netherlands: Brill, 07 Dec. 2009) </w:t>
      </w:r>
      <w:proofErr w:type="spellStart"/>
      <w:r w:rsidRPr="00A40D3D">
        <w:rPr>
          <w:rFonts w:cs="Arial"/>
          <w:sz w:val="22"/>
          <w:szCs w:val="22"/>
        </w:rPr>
        <w:t>doi</w:t>
      </w:r>
      <w:proofErr w:type="spellEnd"/>
      <w:r w:rsidRPr="00A40D3D">
        <w:rPr>
          <w:rFonts w:cs="Arial"/>
          <w:sz w:val="22"/>
          <w:szCs w:val="22"/>
        </w:rPr>
        <w:t xml:space="preserve">: </w:t>
      </w:r>
      <w:hyperlink r:id="rId6" w:history="1">
        <w:r w:rsidRPr="00C239E0">
          <w:rPr>
            <w:rStyle w:val="Hyperlink"/>
            <w:rFonts w:eastAsiaTheme="majorEastAsia" w:cs="Arial"/>
            <w:sz w:val="22"/>
            <w:szCs w:val="22"/>
          </w:rPr>
          <w:t>https://doi.org/10.1163/ej.9789004176027.i-437</w:t>
        </w:r>
      </w:hyperlink>
    </w:p>
    <w:p w14:paraId="43B5788E" w14:textId="77777777" w:rsidR="00F3612D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A40D3D">
        <w:rPr>
          <w:rFonts w:cs="Arial"/>
          <w:sz w:val="22"/>
          <w:szCs w:val="22"/>
        </w:rPr>
        <w:t xml:space="preserve">Dean, Kenneth, and </w:t>
      </w:r>
      <w:proofErr w:type="spellStart"/>
      <w:r w:rsidRPr="00A40D3D">
        <w:rPr>
          <w:rFonts w:cs="Arial"/>
          <w:sz w:val="22"/>
          <w:szCs w:val="22"/>
        </w:rPr>
        <w:t>Zhenman</w:t>
      </w:r>
      <w:proofErr w:type="spellEnd"/>
      <w:r w:rsidRPr="00A40D3D">
        <w:rPr>
          <w:rFonts w:cs="Arial"/>
          <w:sz w:val="22"/>
          <w:szCs w:val="22"/>
        </w:rPr>
        <w:t xml:space="preserve"> ZHENG. </w:t>
      </w:r>
      <w:r w:rsidRPr="00A40D3D">
        <w:rPr>
          <w:rFonts w:cs="Arial"/>
          <w:i/>
          <w:iCs/>
          <w:sz w:val="22"/>
          <w:szCs w:val="22"/>
        </w:rPr>
        <w:t xml:space="preserve">Ritual Alliances of the </w:t>
      </w:r>
      <w:proofErr w:type="spellStart"/>
      <w:r w:rsidRPr="00A40D3D">
        <w:rPr>
          <w:rFonts w:cs="Arial"/>
          <w:i/>
          <w:iCs/>
          <w:sz w:val="22"/>
          <w:szCs w:val="22"/>
        </w:rPr>
        <w:t>Putian</w:t>
      </w:r>
      <w:proofErr w:type="spellEnd"/>
      <w:r w:rsidRPr="00A40D3D">
        <w:rPr>
          <w:rFonts w:cs="Arial"/>
          <w:i/>
          <w:iCs/>
          <w:sz w:val="22"/>
          <w:szCs w:val="22"/>
        </w:rPr>
        <w:t xml:space="preserve"> Plain</w:t>
      </w:r>
      <w:r w:rsidRPr="00A40D3D">
        <w:rPr>
          <w:rFonts w:cs="Arial"/>
          <w:sz w:val="22"/>
          <w:szCs w:val="22"/>
        </w:rPr>
        <w:t xml:space="preserve">. Volume Two, (Leiden, The Netherlands: Brill, 07 Dec. 2009) </w:t>
      </w:r>
      <w:proofErr w:type="spellStart"/>
      <w:r w:rsidRPr="00A40D3D">
        <w:rPr>
          <w:rFonts w:cs="Arial"/>
          <w:sz w:val="22"/>
          <w:szCs w:val="22"/>
        </w:rPr>
        <w:t>doi</w:t>
      </w:r>
      <w:proofErr w:type="spellEnd"/>
      <w:r w:rsidRPr="00A40D3D">
        <w:rPr>
          <w:rFonts w:cs="Arial"/>
          <w:sz w:val="22"/>
          <w:szCs w:val="22"/>
        </w:rPr>
        <w:t>: https://doi.org/10.1163/ej.9789004176010.i-1062</w:t>
      </w:r>
    </w:p>
    <w:p w14:paraId="23DEA605" w14:textId="77777777" w:rsidR="00F3612D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063348">
        <w:rPr>
          <w:rFonts w:cs="Arial"/>
          <w:sz w:val="22"/>
          <w:szCs w:val="22"/>
        </w:rPr>
        <w:t xml:space="preserve">Guo, Qitao. </w:t>
      </w:r>
      <w:r w:rsidRPr="00063348">
        <w:rPr>
          <w:rFonts w:cs="Arial"/>
          <w:i/>
          <w:iCs/>
          <w:sz w:val="22"/>
          <w:szCs w:val="22"/>
        </w:rPr>
        <w:t>Ritual Opera and Mercantile Lineage: The Confucian Transformation of Popular Culture in Late Imperial Huizhou</w:t>
      </w:r>
      <w:r w:rsidRPr="00063348">
        <w:rPr>
          <w:rFonts w:cs="Arial"/>
          <w:sz w:val="22"/>
          <w:szCs w:val="22"/>
        </w:rPr>
        <w:t>. Stanford, CA: Stanford University Press, 2005.</w:t>
      </w:r>
    </w:p>
    <w:p w14:paraId="2F93DDC4" w14:textId="77777777" w:rsidR="00F3612D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063348">
        <w:rPr>
          <w:rFonts w:cs="Arial"/>
          <w:sz w:val="22"/>
          <w:szCs w:val="22"/>
        </w:rPr>
        <w:t xml:space="preserve">Johnson, David. </w:t>
      </w:r>
      <w:r w:rsidRPr="00063348">
        <w:rPr>
          <w:rFonts w:cs="Arial"/>
          <w:i/>
          <w:iCs/>
          <w:sz w:val="22"/>
          <w:szCs w:val="22"/>
        </w:rPr>
        <w:t>Spectacle and Sacrifice: The Ritual Foundations of Village Life in North China</w:t>
      </w:r>
      <w:r w:rsidRPr="00063348">
        <w:rPr>
          <w:rFonts w:cs="Arial"/>
          <w:sz w:val="22"/>
          <w:szCs w:val="22"/>
        </w:rPr>
        <w:t>. Cambr</w:t>
      </w:r>
      <w:r>
        <w:rPr>
          <w:rFonts w:cs="Arial"/>
          <w:sz w:val="22"/>
          <w:szCs w:val="22"/>
        </w:rPr>
        <w:t>idge</w:t>
      </w:r>
      <w:r w:rsidRPr="00063348">
        <w:rPr>
          <w:rFonts w:cs="Arial"/>
          <w:sz w:val="22"/>
          <w:szCs w:val="22"/>
        </w:rPr>
        <w:t>, MA: Harvard University Press, 2010.</w:t>
      </w:r>
    </w:p>
    <w:p w14:paraId="56AF7AC6" w14:textId="77777777" w:rsidR="00F3612D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063348">
        <w:rPr>
          <w:rFonts w:cs="Arial"/>
          <w:sz w:val="22"/>
          <w:szCs w:val="22"/>
        </w:rPr>
        <w:t xml:space="preserve">Jones, Stephen. </w:t>
      </w:r>
      <w:r w:rsidRPr="00063348">
        <w:rPr>
          <w:rFonts w:cs="Arial"/>
          <w:i/>
          <w:iCs/>
          <w:sz w:val="22"/>
          <w:szCs w:val="22"/>
        </w:rPr>
        <w:t>Ritual and Music of North China</w:t>
      </w:r>
      <w:r w:rsidRPr="00063348">
        <w:rPr>
          <w:rFonts w:cs="Arial"/>
          <w:sz w:val="22"/>
          <w:szCs w:val="22"/>
        </w:rPr>
        <w:t xml:space="preserve">, Volume 2: </w:t>
      </w:r>
      <w:proofErr w:type="spellStart"/>
      <w:r w:rsidRPr="00063348">
        <w:rPr>
          <w:rFonts w:cs="Arial"/>
          <w:sz w:val="22"/>
          <w:szCs w:val="22"/>
        </w:rPr>
        <w:t>Shaanbei</w:t>
      </w:r>
      <w:proofErr w:type="spellEnd"/>
      <w:r w:rsidRPr="00063348">
        <w:rPr>
          <w:rFonts w:cs="Arial"/>
          <w:sz w:val="22"/>
          <w:szCs w:val="22"/>
        </w:rPr>
        <w:t>. Aldershot: Ashgate, 2009.</w:t>
      </w:r>
      <w:r>
        <w:rPr>
          <w:rFonts w:cs="Arial"/>
          <w:sz w:val="22"/>
          <w:szCs w:val="22"/>
        </w:rPr>
        <w:t xml:space="preserve"> </w:t>
      </w:r>
      <w:r w:rsidRPr="00063348">
        <w:rPr>
          <w:rFonts w:cs="Arial"/>
          <w:sz w:val="22"/>
          <w:szCs w:val="22"/>
        </w:rPr>
        <w:t xml:space="preserve">The 44-minute DVD, with its informative commentary, is intended both to illuminate the text and to stand on its own. It shows bards performing at a temple fair and to bless a family in distress, and shawm bands performing at a wedding, at funerals, and a shop opening - including their pop repertory with the 'big band'. </w:t>
      </w:r>
      <w:r w:rsidRPr="00A40D3D">
        <w:rPr>
          <w:rFonts w:cs="Arial"/>
          <w:b/>
          <w:bCs/>
          <w:sz w:val="22"/>
          <w:szCs w:val="22"/>
        </w:rPr>
        <w:t>Also featuring as part of these events are opera troupes</w:t>
      </w:r>
      <w:r w:rsidRPr="00063348">
        <w:rPr>
          <w:rFonts w:cs="Arial"/>
          <w:sz w:val="22"/>
          <w:szCs w:val="22"/>
        </w:rPr>
        <w:t xml:space="preserve">, geomancers, and performing beggars; by contrast, the film shows a glimpse of the official image of </w:t>
      </w:r>
      <w:proofErr w:type="spellStart"/>
      <w:r w:rsidRPr="00063348">
        <w:rPr>
          <w:rFonts w:cs="Arial"/>
          <w:sz w:val="22"/>
          <w:szCs w:val="22"/>
        </w:rPr>
        <w:t>Shaanbei</w:t>
      </w:r>
      <w:proofErr w:type="spellEnd"/>
      <w:r w:rsidRPr="00063348">
        <w:rPr>
          <w:rFonts w:cs="Arial"/>
          <w:sz w:val="22"/>
          <w:szCs w:val="22"/>
        </w:rPr>
        <w:t xml:space="preserve"> culture as presented by a state ensemble in the regional capital. [Source: publisher's website]</w:t>
      </w:r>
    </w:p>
    <w:p w14:paraId="2505DE37" w14:textId="77777777" w:rsidR="00F3612D" w:rsidRPr="00E56695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E56695">
        <w:rPr>
          <w:rFonts w:cs="Arial"/>
          <w:sz w:val="22"/>
          <w:szCs w:val="22"/>
        </w:rPr>
        <w:t xml:space="preserve">UNESCO 2003. </w:t>
      </w:r>
      <w:r w:rsidRPr="00E56695">
        <w:rPr>
          <w:rFonts w:cs="Arial"/>
          <w:i/>
          <w:sz w:val="22"/>
          <w:szCs w:val="22"/>
        </w:rPr>
        <w:t>UNESCO Intangible domains</w:t>
      </w:r>
      <w:r w:rsidRPr="00E56695">
        <w:rPr>
          <w:rFonts w:cs="Arial"/>
          <w:sz w:val="22"/>
          <w:szCs w:val="22"/>
        </w:rPr>
        <w:t xml:space="preserve">. Paris: UNESCO. </w:t>
      </w:r>
    </w:p>
    <w:p w14:paraId="6D2AA71D" w14:textId="77777777" w:rsidR="00F3612D" w:rsidRPr="00E56695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E56695">
        <w:rPr>
          <w:rFonts w:cs="Arial"/>
          <w:sz w:val="22"/>
          <w:szCs w:val="22"/>
        </w:rPr>
        <w:t xml:space="preserve">UNESCO 2013. </w:t>
      </w:r>
      <w:r w:rsidRPr="00E56695">
        <w:rPr>
          <w:rFonts w:cs="Arial"/>
          <w:i/>
          <w:sz w:val="22"/>
          <w:szCs w:val="22"/>
        </w:rPr>
        <w:t>Culture: key to sustainable development. Hangzhou: The Hangzhou Declaration, Placing Culture at the Heart of Sustainable Development Policies</w:t>
      </w:r>
      <w:r w:rsidRPr="00E56695">
        <w:rPr>
          <w:rFonts w:cs="Arial"/>
          <w:sz w:val="22"/>
          <w:szCs w:val="22"/>
        </w:rPr>
        <w:t>. Hangzhou: UNESCO.</w:t>
      </w:r>
    </w:p>
    <w:p w14:paraId="1859FA26" w14:textId="77777777" w:rsidR="00F3612D" w:rsidRPr="002B35D8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2B35D8">
        <w:rPr>
          <w:rFonts w:cs="Arial"/>
          <w:iCs/>
          <w:sz w:val="22"/>
          <w:szCs w:val="22"/>
        </w:rPr>
        <w:t xml:space="preserve">Yang, Mayfair Mei-hui. 2008. </w:t>
      </w:r>
      <w:r w:rsidRPr="002B35D8">
        <w:rPr>
          <w:rFonts w:cs="Arial"/>
          <w:sz w:val="22"/>
          <w:szCs w:val="22"/>
        </w:rPr>
        <w:t xml:space="preserve">Ritual Economy and Rural Capitalism with Chinese Characteristics in Cultural Politics, in </w:t>
      </w:r>
      <w:r>
        <w:rPr>
          <w:rFonts w:cs="Arial"/>
          <w:i/>
          <w:sz w:val="22"/>
          <w:szCs w:val="22"/>
        </w:rPr>
        <w:t>A</w:t>
      </w:r>
      <w:r w:rsidRPr="002B35D8">
        <w:rPr>
          <w:rFonts w:cs="Arial"/>
          <w:i/>
          <w:sz w:val="22"/>
          <w:szCs w:val="22"/>
        </w:rPr>
        <w:t xml:space="preserve"> global Age</w:t>
      </w:r>
      <w:r>
        <w:rPr>
          <w:rFonts w:cs="Arial"/>
          <w:i/>
          <w:sz w:val="22"/>
          <w:szCs w:val="22"/>
        </w:rPr>
        <w:t>:</w:t>
      </w:r>
      <w:r w:rsidRPr="002B35D8">
        <w:rPr>
          <w:rFonts w:cs="Arial"/>
          <w:i/>
          <w:sz w:val="22"/>
          <w:szCs w:val="22"/>
        </w:rPr>
        <w:t xml:space="preserve"> </w:t>
      </w:r>
      <w:r>
        <w:rPr>
          <w:rFonts w:cs="Arial"/>
          <w:i/>
          <w:sz w:val="22"/>
          <w:szCs w:val="22"/>
        </w:rPr>
        <w:t>U</w:t>
      </w:r>
      <w:r w:rsidRPr="002B35D8">
        <w:rPr>
          <w:rFonts w:cs="Arial"/>
          <w:i/>
          <w:sz w:val="22"/>
          <w:szCs w:val="22"/>
        </w:rPr>
        <w:t>ncertainty, Solidarity and Innovation</w:t>
      </w:r>
      <w:r w:rsidRPr="002B35D8">
        <w:rPr>
          <w:rFonts w:cs="Arial"/>
          <w:sz w:val="22"/>
          <w:szCs w:val="22"/>
        </w:rPr>
        <w:t>.</w:t>
      </w:r>
    </w:p>
    <w:p w14:paraId="4EDE4BF6" w14:textId="77777777" w:rsidR="00F3612D" w:rsidRDefault="00F3612D" w:rsidP="00F3612D">
      <w:pPr>
        <w:spacing w:after="240"/>
        <w:ind w:left="284"/>
        <w:rPr>
          <w:color w:val="222222"/>
          <w:sz w:val="22"/>
          <w:szCs w:val="22"/>
          <w:shd w:val="clear" w:color="auto" w:fill="FFFFFF"/>
        </w:rPr>
      </w:pPr>
      <w:r w:rsidRPr="002B35D8">
        <w:rPr>
          <w:color w:val="222222"/>
          <w:sz w:val="22"/>
          <w:szCs w:val="22"/>
          <w:shd w:val="clear" w:color="auto" w:fill="FFFFFF"/>
        </w:rPr>
        <w:t>Yang, Mayfair. 2020. </w:t>
      </w:r>
      <w:r w:rsidRPr="002B35D8">
        <w:rPr>
          <w:i/>
          <w:iCs/>
          <w:color w:val="222222"/>
          <w:sz w:val="22"/>
          <w:szCs w:val="22"/>
          <w:shd w:val="clear" w:color="auto" w:fill="FFFFFF"/>
        </w:rPr>
        <w:t>Re-enchanting modernity: Ritual economy and society in Wenzhou, China</w:t>
      </w:r>
      <w:r w:rsidRPr="002B35D8">
        <w:rPr>
          <w:color w:val="222222"/>
          <w:sz w:val="22"/>
          <w:szCs w:val="22"/>
          <w:shd w:val="clear" w:color="auto" w:fill="FFFFFF"/>
        </w:rPr>
        <w:t>. Durham: Duke University Press.</w:t>
      </w:r>
    </w:p>
    <w:p w14:paraId="4114F322" w14:textId="77777777" w:rsidR="00F3612D" w:rsidRPr="002B35D8" w:rsidRDefault="00F3612D" w:rsidP="00F3612D">
      <w:pPr>
        <w:spacing w:after="240"/>
        <w:ind w:left="284"/>
        <w:rPr>
          <w:rFonts w:cs="Arial"/>
          <w:sz w:val="22"/>
          <w:szCs w:val="22"/>
        </w:rPr>
      </w:pPr>
      <w:r w:rsidRPr="00063348">
        <w:rPr>
          <w:rFonts w:cs="Arial"/>
          <w:sz w:val="22"/>
          <w:szCs w:val="22"/>
        </w:rPr>
        <w:t>Yeung, Tuen Wai Mary. “To Entertain and Renew: Operas, Puppet Plays and Ritual in South China.” Ph.D. dissertation, The University of British Columbia, 2008.</w:t>
      </w:r>
    </w:p>
    <w:p w14:paraId="5BC0463A" w14:textId="77777777" w:rsidR="00F3612D" w:rsidRPr="00EE545F" w:rsidRDefault="00F3612D" w:rsidP="00F3612D">
      <w:pPr>
        <w:pStyle w:val="ListParagraph"/>
        <w:ind w:left="0"/>
        <w:rPr>
          <w:rFonts w:cs="Arial"/>
          <w:sz w:val="22"/>
          <w:szCs w:val="22"/>
        </w:rPr>
      </w:pPr>
    </w:p>
    <w:p w14:paraId="7A5307F7" w14:textId="77777777" w:rsidR="00F3612D" w:rsidRDefault="00F3612D" w:rsidP="00F3612D">
      <w:pPr>
        <w:rPr>
          <w:rFonts w:cs="Arial"/>
          <w:sz w:val="22"/>
          <w:szCs w:val="22"/>
        </w:rPr>
      </w:pPr>
    </w:p>
    <w:p w14:paraId="5E659A52" w14:textId="77777777" w:rsidR="00F3612D" w:rsidRDefault="00F3612D" w:rsidP="00F3612D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2. The bibliography contains </w:t>
      </w:r>
      <w:proofErr w:type="gramStart"/>
      <w:r>
        <w:rPr>
          <w:rFonts w:cs="Arial"/>
          <w:sz w:val="22"/>
          <w:szCs w:val="22"/>
        </w:rPr>
        <w:t>a number of</w:t>
      </w:r>
      <w:proofErr w:type="gramEnd"/>
      <w:r>
        <w:rPr>
          <w:rFonts w:cs="Arial"/>
          <w:sz w:val="22"/>
          <w:szCs w:val="22"/>
        </w:rPr>
        <w:t xml:space="preserve"> works that are not relevant to the thesis, for instance several editions of the same book on methodology. These titles should be removed.</w:t>
      </w:r>
    </w:p>
    <w:p w14:paraId="7ADE24E9" w14:textId="77777777" w:rsidR="00F3612D" w:rsidRDefault="00F3612D" w:rsidP="00F3612D">
      <w:pPr>
        <w:rPr>
          <w:rFonts w:cs="Arial"/>
          <w:sz w:val="22"/>
          <w:szCs w:val="22"/>
        </w:rPr>
      </w:pPr>
    </w:p>
    <w:p w14:paraId="373AF8C7" w14:textId="77777777" w:rsidR="00F3612D" w:rsidRPr="00B614A3" w:rsidRDefault="00F3612D" w:rsidP="00F3612D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3. Works that are written in Chinese should be clearly identified as such. This could be done by either adding the titles in </w:t>
      </w:r>
      <w:r w:rsidRPr="00B614A3">
        <w:rPr>
          <w:rFonts w:cs="Arial"/>
          <w:i/>
          <w:iCs/>
          <w:sz w:val="22"/>
          <w:szCs w:val="22"/>
        </w:rPr>
        <w:t>pinyin</w:t>
      </w:r>
      <w:r>
        <w:rPr>
          <w:rFonts w:cs="Arial"/>
          <w:sz w:val="22"/>
          <w:szCs w:val="22"/>
        </w:rPr>
        <w:t xml:space="preserve"> or by adding “(In Chinese)” at the end of the entry.</w:t>
      </w:r>
    </w:p>
    <w:p w14:paraId="6C66C720" w14:textId="77777777" w:rsidR="00F3612D" w:rsidRDefault="00F3612D" w:rsidP="00F3612D">
      <w:pPr>
        <w:rPr>
          <w:rFonts w:cs="Arial"/>
          <w:sz w:val="22"/>
          <w:szCs w:val="22"/>
        </w:rPr>
      </w:pPr>
    </w:p>
    <w:p w14:paraId="3DF218DA" w14:textId="77777777" w:rsidR="00F3612D" w:rsidRDefault="00F3612D" w:rsidP="00F3612D">
      <w:pPr>
        <w:rPr>
          <w:rFonts w:cs="Arial"/>
          <w:sz w:val="22"/>
          <w:szCs w:val="22"/>
        </w:rPr>
      </w:pPr>
    </w:p>
    <w:p w14:paraId="0BB03159" w14:textId="77777777" w:rsidR="00F3612D" w:rsidRDefault="00F3612D" w:rsidP="00F3612D">
      <w:pPr>
        <w:rPr>
          <w:rFonts w:cs="Arial"/>
          <w:sz w:val="22"/>
          <w:szCs w:val="22"/>
        </w:rPr>
      </w:pPr>
    </w:p>
    <w:p w14:paraId="0161E81F" w14:textId="77777777" w:rsidR="00F3612D" w:rsidRDefault="00F3612D" w:rsidP="00F3612D">
      <w:pPr>
        <w:rPr>
          <w:rFonts w:cs="Arial"/>
          <w:sz w:val="22"/>
          <w:szCs w:val="22"/>
        </w:rPr>
      </w:pPr>
    </w:p>
    <w:p w14:paraId="24129700" w14:textId="77777777" w:rsidR="00F3612D" w:rsidRDefault="00F3612D" w:rsidP="00F3612D">
      <w:pPr>
        <w:rPr>
          <w:rFonts w:cs="Arial"/>
          <w:sz w:val="22"/>
          <w:szCs w:val="22"/>
        </w:rPr>
      </w:pPr>
    </w:p>
    <w:p w14:paraId="78379524" w14:textId="77777777" w:rsidR="00F3612D" w:rsidRDefault="00F3612D" w:rsidP="00F3612D">
      <w:pPr>
        <w:rPr>
          <w:rFonts w:cs="Arial"/>
          <w:sz w:val="22"/>
          <w:szCs w:val="22"/>
        </w:rPr>
      </w:pPr>
    </w:p>
    <w:p w14:paraId="07618FFD" w14:textId="77777777" w:rsidR="00F3612D" w:rsidRDefault="00F3612D" w:rsidP="00F3612D">
      <w:pPr>
        <w:rPr>
          <w:rFonts w:cs="Arial"/>
          <w:sz w:val="22"/>
          <w:szCs w:val="22"/>
        </w:rPr>
      </w:pPr>
    </w:p>
    <w:p w14:paraId="44DD8931" w14:textId="77777777" w:rsidR="00F3612D" w:rsidRDefault="00F3612D" w:rsidP="00F3612D">
      <w:pPr>
        <w:rPr>
          <w:rFonts w:cs="Arial"/>
          <w:sz w:val="22"/>
          <w:szCs w:val="22"/>
        </w:rPr>
      </w:pPr>
    </w:p>
    <w:p w14:paraId="01E5040E" w14:textId="77777777" w:rsidR="00F3612D" w:rsidRDefault="00F3612D" w:rsidP="00F3612D">
      <w:pPr>
        <w:rPr>
          <w:rFonts w:cs="Arial"/>
          <w:sz w:val="22"/>
          <w:szCs w:val="22"/>
        </w:rPr>
      </w:pPr>
    </w:p>
    <w:p w14:paraId="3C9E9CBE" w14:textId="77777777" w:rsidR="00FC3F11" w:rsidRDefault="00FC3F11"/>
    <w:sectPr w:rsidR="00FC3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6009F"/>
    <w:multiLevelType w:val="hybridMultilevel"/>
    <w:tmpl w:val="78FCF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2631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12D"/>
    <w:rsid w:val="00F3612D"/>
    <w:rsid w:val="00FC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ED3AE"/>
  <w15:chartTrackingRefBased/>
  <w15:docId w15:val="{720FB9BB-EA38-4EB1-BDDD-4F82A03E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12D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1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61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61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1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61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61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61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61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61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1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61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61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1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61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61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61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61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61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61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61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61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61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61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61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61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61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61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61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61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F3612D"/>
    <w:rPr>
      <w:color w:val="0000FF"/>
      <w:u w:val="single"/>
    </w:rPr>
  </w:style>
  <w:style w:type="table" w:styleId="TableGrid">
    <w:name w:val="Table Grid"/>
    <w:basedOn w:val="TableNormal"/>
    <w:rsid w:val="00F3612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63/ej.9789004176027.i-437" TargetMode="External"/><Relationship Id="rId5" Type="http://schemas.openxmlformats.org/officeDocument/2006/relationships/hyperlink" Target="http://www.jstor.org/stable/200589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2023-11-15T15:11:00Z</dcterms:created>
  <dcterms:modified xsi:type="dcterms:W3CDTF">2023-11-15T15:13:00Z</dcterms:modified>
</cp:coreProperties>
</file>