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widowControl w:val="0"/>
        <w:spacing w:before="3435.919189453125" w:line="480" w:lineRule="auto"/>
        <w:ind w:firstLine="0"/>
        <w:jc w:val="center"/>
        <w:rPr/>
      </w:pPr>
      <w:r w:rsidDel="00000000" w:rsidR="00000000" w:rsidRPr="00000000">
        <w:rPr>
          <w:rtl w:val="0"/>
        </w:rPr>
        <w:t xml:space="preserve">APPRECIATION TO NORMALIZATION: MINOAN SISTRA AND EGYPTIAN-MINOAN ENGAGEMENT </w:t>
      </w:r>
    </w:p>
    <w:p w:rsidR="00000000" w:rsidDel="00000000" w:rsidP="00000000" w:rsidRDefault="00000000" w:rsidRPr="00000000" w14:paraId="00000002">
      <w:pPr>
        <w:widowControl w:val="0"/>
        <w:spacing w:before="271.920166015625" w:line="240" w:lineRule="auto"/>
        <w:ind w:firstLine="0"/>
        <w:jc w:val="center"/>
        <w:rPr/>
      </w:pPr>
      <w:r w:rsidDel="00000000" w:rsidR="00000000" w:rsidRPr="00000000">
        <w:rPr>
          <w:rtl w:val="0"/>
        </w:rPr>
        <w:t xml:space="preserve">by Mila “Emryn” Hart </w:t>
      </w:r>
    </w:p>
    <w:p w:rsidR="00000000" w:rsidDel="00000000" w:rsidP="00000000" w:rsidRDefault="00000000" w:rsidRPr="00000000" w14:paraId="00000003">
      <w:pPr>
        <w:widowControl w:val="0"/>
        <w:spacing w:before="271.920166015625" w:line="240" w:lineRule="auto"/>
        <w:ind w:firstLine="0"/>
        <w:jc w:val="center"/>
        <w:rPr/>
      </w:pPr>
      <w:r w:rsidDel="00000000" w:rsidR="00000000" w:rsidRPr="00000000">
        <w:rPr>
          <w:rtl w:val="0"/>
        </w:rPr>
      </w:r>
    </w:p>
    <w:p w:rsidR="00000000" w:rsidDel="00000000" w:rsidP="00000000" w:rsidRDefault="00000000" w:rsidRPr="00000000" w14:paraId="00000004">
      <w:pPr>
        <w:widowControl w:val="0"/>
        <w:spacing w:before="271.920166015625" w:line="240" w:lineRule="auto"/>
        <w:ind w:firstLine="0"/>
        <w:jc w:val="center"/>
        <w:rPr/>
      </w:pPr>
      <w:r w:rsidDel="00000000" w:rsidR="00000000" w:rsidRPr="00000000">
        <w:rPr>
          <w:rtl w:val="0"/>
        </w:rPr>
      </w:r>
    </w:p>
    <w:p w:rsidR="00000000" w:rsidDel="00000000" w:rsidP="00000000" w:rsidRDefault="00000000" w:rsidRPr="00000000" w14:paraId="00000005">
      <w:pPr>
        <w:widowControl w:val="0"/>
        <w:spacing w:before="271.920166015625" w:line="240" w:lineRule="auto"/>
        <w:ind w:firstLine="0"/>
        <w:jc w:val="center"/>
        <w:rPr/>
      </w:pPr>
      <w:r w:rsidDel="00000000" w:rsidR="00000000" w:rsidRPr="00000000">
        <w:rPr>
          <w:rtl w:val="0"/>
        </w:rPr>
      </w:r>
    </w:p>
    <w:p w:rsidR="00000000" w:rsidDel="00000000" w:rsidP="00000000" w:rsidRDefault="00000000" w:rsidRPr="00000000" w14:paraId="00000006">
      <w:pPr>
        <w:widowControl w:val="0"/>
        <w:spacing w:before="271.920166015625" w:line="240" w:lineRule="auto"/>
        <w:ind w:firstLine="0"/>
        <w:jc w:val="center"/>
        <w:rPr/>
      </w:pPr>
      <w:r w:rsidDel="00000000" w:rsidR="00000000" w:rsidRPr="00000000">
        <w:rPr>
          <w:rtl w:val="0"/>
        </w:rPr>
        <w:t xml:space="preserve">Entanglements: Exploring Interactions between the Aegean and the Near East (HPAH5083) </w:t>
      </w:r>
    </w:p>
    <w:p w:rsidR="00000000" w:rsidDel="00000000" w:rsidP="00000000" w:rsidRDefault="00000000" w:rsidRPr="00000000" w14:paraId="00000007">
      <w:pPr>
        <w:widowControl w:val="0"/>
        <w:spacing w:before="271.920166015625" w:line="240" w:lineRule="auto"/>
        <w:ind w:firstLine="0"/>
        <w:jc w:val="center"/>
        <w:rPr/>
      </w:pPr>
      <w:r w:rsidDel="00000000" w:rsidR="00000000" w:rsidRPr="00000000">
        <w:rPr>
          <w:rtl w:val="0"/>
        </w:rPr>
        <w:t xml:space="preserve">Professor Thomas Humphrey</w:t>
      </w:r>
    </w:p>
    <w:p w:rsidR="00000000" w:rsidDel="00000000" w:rsidP="00000000" w:rsidRDefault="00000000" w:rsidRPr="00000000" w14:paraId="00000008">
      <w:pPr>
        <w:widowControl w:val="0"/>
        <w:spacing w:before="271.920166015625" w:line="240" w:lineRule="auto"/>
        <w:ind w:firstLine="0"/>
        <w:jc w:val="center"/>
        <w:rPr/>
      </w:pPr>
      <w:r w:rsidDel="00000000" w:rsidR="00000000" w:rsidRPr="00000000">
        <w:rPr>
          <w:rtl w:val="0"/>
        </w:rPr>
        <w:t xml:space="preserve">University of Wales Trinity St. David </w:t>
      </w:r>
    </w:p>
    <w:p w:rsidR="00000000" w:rsidDel="00000000" w:rsidP="00000000" w:rsidRDefault="00000000" w:rsidRPr="00000000" w14:paraId="00000009">
      <w:pPr>
        <w:widowControl w:val="0"/>
        <w:spacing w:before="271.920166015625" w:line="240" w:lineRule="auto"/>
        <w:ind w:firstLine="0"/>
        <w:jc w:val="center"/>
        <w:rPr/>
      </w:pPr>
      <w:r w:rsidDel="00000000" w:rsidR="00000000" w:rsidRPr="00000000">
        <w:rPr>
          <w:rtl w:val="0"/>
        </w:rPr>
        <w:t xml:space="preserve">Lampeter</w:t>
      </w:r>
    </w:p>
    <w:p w:rsidR="00000000" w:rsidDel="00000000" w:rsidP="00000000" w:rsidRDefault="00000000" w:rsidRPr="00000000" w14:paraId="0000000A">
      <w:pPr>
        <w:widowControl w:val="0"/>
        <w:spacing w:before="271.91986083984375" w:line="240" w:lineRule="auto"/>
        <w:ind w:firstLine="0"/>
        <w:jc w:val="center"/>
        <w:rPr/>
      </w:pPr>
      <w:r w:rsidDel="00000000" w:rsidR="00000000" w:rsidRPr="00000000">
        <w:rPr>
          <w:rtl w:val="0"/>
        </w:rPr>
        <w:t xml:space="preserve">19 November 2023</w:t>
      </w:r>
      <w:r w:rsidDel="00000000" w:rsidR="00000000" w:rsidRPr="00000000">
        <w:rPr>
          <w:rtl w:val="0"/>
        </w:rPr>
      </w:r>
    </w:p>
    <w:p w:rsidR="00000000" w:rsidDel="00000000" w:rsidP="00000000" w:rsidRDefault="00000000" w:rsidRPr="00000000" w14:paraId="0000000B">
      <w:pPr>
        <w:pageBreakBefore w:val="0"/>
        <w:pBdr>
          <w:top w:space="0" w:sz="0" w:val="nil"/>
          <w:left w:space="0" w:sz="0" w:val="nil"/>
          <w:bottom w:space="0" w:sz="0" w:val="nil"/>
          <w:right w:space="0" w:sz="0" w:val="nil"/>
          <w:between w:space="0" w:sz="0" w:val="nil"/>
        </w:pBdr>
        <w:shd w:fill="auto" w:val="clear"/>
        <w:spacing w:line="480" w:lineRule="auto"/>
        <w:ind w:firstLine="0"/>
        <w:jc w:val="center"/>
        <w:rPr/>
      </w:pPr>
      <w:r w:rsidDel="00000000" w:rsidR="00000000" w:rsidRPr="00000000">
        <w:br w:type="page"/>
      </w:r>
      <w:r w:rsidDel="00000000" w:rsidR="00000000" w:rsidRPr="00000000">
        <w:rPr>
          <w:rtl w:val="0"/>
        </w:rPr>
      </w:r>
    </w:p>
    <w:p w:rsidR="00000000" w:rsidDel="00000000" w:rsidP="00000000" w:rsidRDefault="00000000" w:rsidRPr="00000000" w14:paraId="0000000C">
      <w:pPr>
        <w:pageBreakBefore w:val="0"/>
        <w:pBdr>
          <w:top w:space="0" w:sz="0" w:val="nil"/>
          <w:left w:space="0" w:sz="0" w:val="nil"/>
          <w:bottom w:space="0" w:sz="0" w:val="nil"/>
          <w:right w:space="0" w:sz="0" w:val="nil"/>
          <w:between w:space="0" w:sz="0" w:val="nil"/>
        </w:pBdr>
        <w:shd w:fill="auto" w:val="clear"/>
        <w:spacing w:line="480" w:lineRule="auto"/>
        <w:ind w:firstLine="0"/>
        <w:jc w:val="right"/>
        <w:rPr/>
      </w:pPr>
      <w:r w:rsidDel="00000000" w:rsidR="00000000" w:rsidRPr="00000000">
        <w:rPr>
          <w:rtl w:val="0"/>
        </w:rPr>
        <w:t xml:space="preserve">Appreciation to Normalization: The Minoan Sistra and Egyptian-Minoan Engagement</w:t>
      </w:r>
      <w:r w:rsidDel="00000000" w:rsidR="00000000" w:rsidRPr="00000000">
        <w:rPr>
          <w:rtl w:val="0"/>
        </w:rPr>
      </w:r>
    </w:p>
    <w:p w:rsidR="00000000" w:rsidDel="00000000" w:rsidP="00000000" w:rsidRDefault="00000000" w:rsidRPr="00000000" w14:paraId="0000000D">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The musical instrument known as the sistrum is most distinctly associated with Egypt. However, Minoan clay sistra recovered in Crete demonstrate a connection between these two cultures that extends beyond purely economic elements. Namely, the existence of the Minoan sistrum indicates a sharing of cultural elements, including but not limited to music, religion, and ritual practices. Through the use of World Systems Theory, analysis of the Minoan sistrum demonstrates international connectivity between these two ancient cultures, and offers insight into the transfer of ideas and cultural elements alongside the objects of the ancient world. </w:t>
      </w:r>
    </w:p>
    <w:p w:rsidR="00000000" w:rsidDel="00000000" w:rsidP="00000000" w:rsidRDefault="00000000" w:rsidRPr="00000000" w14:paraId="0000000E">
      <w:pPr>
        <w:rPr>
          <w:i w:val="1"/>
        </w:rPr>
      </w:pPr>
      <w:r w:rsidDel="00000000" w:rsidR="00000000" w:rsidRPr="00000000">
        <w:rPr>
          <w:rtl w:val="0"/>
        </w:rPr>
        <w:t xml:space="preserve">First, it is important to establish the physical characteristics of the Minoan sistra. </w:t>
      </w:r>
      <w:r w:rsidDel="00000000" w:rsidR="00000000" w:rsidRPr="00000000">
        <w:rPr>
          <w:rtl w:val="0"/>
        </w:rPr>
        <w:t xml:space="preserve">These instruments take after the Egyptian sistra in several ways, but are nonetheless distinct. As was observed by Peter Warren (2005), the Minoan sistrum comes in one of two types, holding the open-framed, round form in common with the Egyptian version. The other Minoan version is also open-framed, but calyx-shaped (Warren, 2005). The recovered Minoan sistra are formed of terracotta and have bars situated horizontally with disks attached to the bars (Warren, 2005). The disks on the bars of the round sistra are what was shaken to create the percussive noise (Warren, 2005). The sistra recovered in the Haghios Kharalambos burial cave were largely intact, with only one of six being fragmented, though all six had solid handles (Warren, 2005). Previously, Warren (1995) observed that the clay sistrum recovered in the Arkhanes Phourni cemetery is hollow to emphasize the rattling, and is believed to be purely Minoan rather than an import from Egypt. The sistrum is approximately ten centimeters tall, and is believed to be from around 2000 BCE (Warren, 1995).</w:t>
      </w:r>
      <w:r w:rsidDel="00000000" w:rsidR="00000000" w:rsidRPr="00000000">
        <w:rPr>
          <w:rtl w:val="0"/>
        </w:rPr>
        <w:t xml:space="preserve"> In short, the Minoan sistrum primarily has the form of its Egyptian brother, but seems to have been crafted in a distinctly Minoan manner. To understand the significance of this instrument and its characteristics, it must be compared to its predecessor.</w:t>
      </w:r>
      <w:r w:rsidDel="00000000" w:rsidR="00000000" w:rsidRPr="00000000">
        <w:rPr>
          <w:rtl w:val="0"/>
        </w:rPr>
      </w:r>
    </w:p>
    <w:p w:rsidR="00000000" w:rsidDel="00000000" w:rsidP="00000000" w:rsidRDefault="00000000" w:rsidRPr="00000000" w14:paraId="0000000F">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To understand how the Minoan sistrum demonstrates connectivity with Egypt, it is essential to understand the instrument’s Egyptian form and subsequent associations. </w:t>
      </w:r>
      <w:r w:rsidDel="00000000" w:rsidR="00000000" w:rsidRPr="00000000">
        <w:rPr>
          <w:rtl w:val="0"/>
        </w:rPr>
        <w:t xml:space="preserve">Traditional Egyptian sistra primarily come in two types: rounded and naos (Warren, 2005). Though associated with other Egyptian goddesses such as Isis, the instrument is primarily associated with Hathor, a goddess of love, fertility, and music, and she also took on the role of a mediator between both death and life (Pinch, 1982). The distinct association with the goddess and the sistra can be seen in the commonplace nature of her face on the handles of the instrument (Pinch, 1982).</w:t>
      </w:r>
      <w:r w:rsidDel="00000000" w:rsidR="00000000" w:rsidRPr="00000000">
        <w:rPr>
          <w:rtl w:val="0"/>
        </w:rPr>
        <w:t xml:space="preserve"> The original Egyptian sistrum therefore has distinct ties to a figure with control over fertility and some influence upon the afterlife. These specific concepts are broadly relatable and shared with other cultures in the region, thus granting them a more transitive nature. These are also the ideas which can be found in common with the Minoan sistrum’s use.</w:t>
      </w:r>
      <w:r w:rsidDel="00000000" w:rsidR="00000000" w:rsidRPr="00000000">
        <w:rPr>
          <w:rtl w:val="0"/>
        </w:rPr>
      </w:r>
    </w:p>
    <w:p w:rsidR="00000000" w:rsidDel="00000000" w:rsidP="00000000" w:rsidRDefault="00000000" w:rsidRPr="00000000" w14:paraId="00000010">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Given that the Minoan sistra were discovered in graves, there are believed to be two possible interpretations for their significance on Crete. </w:t>
      </w:r>
      <w:r w:rsidDel="00000000" w:rsidR="00000000" w:rsidRPr="00000000">
        <w:rPr>
          <w:rtl w:val="0"/>
        </w:rPr>
        <w:t xml:space="preserve">Either they were objects that the owner used daily in life, or they were included solely for symbolic purposes for use in the afterlife (Warren, 2005). The Arkhanes sistrum in particular was discovered in a child’s grave (Warren, 2005), </w:t>
      </w:r>
      <w:r w:rsidDel="00000000" w:rsidR="00000000" w:rsidRPr="00000000">
        <w:rPr>
          <w:rtl w:val="0"/>
        </w:rPr>
        <w:t xml:space="preserve">so the first option regarding its significance would be favored in this instance. </w:t>
      </w:r>
      <w:r w:rsidDel="00000000" w:rsidR="00000000" w:rsidRPr="00000000">
        <w:rPr>
          <w:rtl w:val="0"/>
        </w:rPr>
        <w:t xml:space="preserve">Similarly, the Haghia Triadha sistrum was buried with an adult, but still seemed to show that it was used in daily life (Warren, 2005). This sistrum was seemingly used in an agricultural ritual, as is supported by the depiction of the instrument on the Harvester Vase (Borowka, 2020). The instrument’s role seems to be one associated with fertility of the land, therefore making it more associated with sowing than harvesting (Borowka, 2020).</w:t>
      </w:r>
      <w:r w:rsidDel="00000000" w:rsidR="00000000" w:rsidRPr="00000000">
        <w:rPr>
          <w:rtl w:val="0"/>
        </w:rPr>
        <w:t xml:space="preserve"> This ritual and fertility-based usage falls in line with the fertility part of Hathor’s worship, demonstrating a shared association with the instrument as far as concepts, even if not with the goddess herself. However, not all Minoan sistra seem to have been used for these ritual purposes in life.</w:t>
      </w:r>
    </w:p>
    <w:p w:rsidR="00000000" w:rsidDel="00000000" w:rsidP="00000000" w:rsidRDefault="00000000" w:rsidRPr="00000000" w14:paraId="00000011">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Some Minoan sistra were not used in life, instead demonstrating a different symbolic significance. </w:t>
      </w:r>
      <w:r w:rsidDel="00000000" w:rsidR="00000000" w:rsidRPr="00000000">
        <w:rPr>
          <w:rtl w:val="0"/>
        </w:rPr>
        <w:t xml:space="preserve">Warren (2005) notes that, given the number of sistra found at Haghios Kharalambos, it seems unlikely that so many individuals all had something so unique that they used in life, thus seeming to indicate that Minoan sistra were more so intended for symbolic use in the </w:t>
      </w:r>
      <w:r w:rsidDel="00000000" w:rsidR="00000000" w:rsidRPr="00000000">
        <w:rPr>
          <w:rtl w:val="0"/>
        </w:rPr>
        <w:t xml:space="preserve">afterlife</w:t>
      </w:r>
      <w:r w:rsidDel="00000000" w:rsidR="00000000" w:rsidRPr="00000000">
        <w:rPr>
          <w:rtl w:val="0"/>
        </w:rPr>
        <w:t xml:space="preserve"> (Warren, 2005).</w:t>
      </w:r>
      <w:r w:rsidDel="00000000" w:rsidR="00000000" w:rsidRPr="00000000">
        <w:rPr>
          <w:rtl w:val="0"/>
        </w:rPr>
        <w:t xml:space="preserve"> However, given the Egyptian sistrum’s associations with Hathor, a goddess associated with death and the afterlife to some extent, the presence of sistra in Minoan burials indicates a possible transferred association of the instrument with the afterlife, even if not with the goddess herself. The simple shared associations of Egypt, sistra, and protection in the afterlife could be sufficient to result in Minoans choosing to be buried with a sistrum. </w:t>
      </w:r>
      <w:r w:rsidDel="00000000" w:rsidR="00000000" w:rsidRPr="00000000">
        <w:rPr>
          <w:rtl w:val="0"/>
        </w:rPr>
        <w:t xml:space="preserve">This approach is more of an easy transfer of ideas, and, as Warren (2005) noted, therefore more feasible to some than the idea of Minoan cults for Hathor and Isis, especially since Egyptian music does not necessarily have to accompany the instrument</w:t>
      </w:r>
      <w:r w:rsidDel="00000000" w:rsidR="00000000" w:rsidRPr="00000000">
        <w:rPr>
          <w:rtl w:val="0"/>
        </w:rPr>
        <w:t xml:space="preserve">. </w:t>
      </w:r>
      <w:r w:rsidDel="00000000" w:rsidR="00000000" w:rsidRPr="00000000">
        <w:rPr>
          <w:rtl w:val="0"/>
        </w:rPr>
        <w:t xml:space="preserve">With either interpretation of its usage, be it fertility rituals or protection in the afterlife, the sistrum contains ideological ties that may be traced back to Hathor and her domains of control.</w:t>
      </w:r>
      <w:r w:rsidDel="00000000" w:rsidR="00000000" w:rsidRPr="00000000">
        <w:rPr>
          <w:rtl w:val="0"/>
        </w:rPr>
        <w:t xml:space="preserve"> </w:t>
      </w:r>
    </w:p>
    <w:p w:rsidR="00000000" w:rsidDel="00000000" w:rsidP="00000000" w:rsidRDefault="00000000" w:rsidRPr="00000000" w14:paraId="00000012">
      <w:pPr>
        <w:rPr/>
      </w:pPr>
      <w:r w:rsidDel="00000000" w:rsidR="00000000" w:rsidRPr="00000000">
        <w:rPr>
          <w:rtl w:val="0"/>
        </w:rPr>
        <w:t xml:space="preserve">The sistrum also carried with it a sense of prestige. </w:t>
      </w:r>
      <w:r w:rsidDel="00000000" w:rsidR="00000000" w:rsidRPr="00000000">
        <w:rPr>
          <w:rtl w:val="0"/>
        </w:rPr>
        <w:t xml:space="preserve">Borowka (2020) posited that high class Minoans used the associations between the sistrum and Egypt to solidify their own significance. This belief is further supported by the presence of other typically Egyptian objects in the graves alongside the sistra, such as baboon figurines that held similar significance regarding death and the afterlife (Borowka, 2020). Given the prestige associated with Egypt and the appealing similarities between Hathor and the Minoan fertility goddess, it is plausible that many elements of worship were shared between them, including the central instrument of the sistrum (Borowka, 2020).</w:t>
      </w:r>
      <w:r w:rsidDel="00000000" w:rsidR="00000000" w:rsidRPr="00000000">
        <w:rPr>
          <w:rtl w:val="0"/>
        </w:rPr>
        <w:t xml:space="preserve"> In short, the sistrum’s impact and use on Crete is inextricable from its similarities and subsequent ties to Egypt, be it through fertility rituals, protections in the afterlife, or associated prestige. The Minoan sistrum carried with it an associated ideological significance that no doubt accompanied the importation of the instrument itself. </w:t>
      </w:r>
    </w:p>
    <w:p w:rsidR="00000000" w:rsidDel="00000000" w:rsidP="00000000" w:rsidRDefault="00000000" w:rsidRPr="00000000" w14:paraId="00000013">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To further explore this transfer of ideas, this paper will utilize World Systems Theory, or World Systems Analysis. </w:t>
      </w:r>
      <w:r w:rsidDel="00000000" w:rsidR="00000000" w:rsidRPr="00000000">
        <w:rPr>
          <w:rtl w:val="0"/>
        </w:rPr>
        <w:t xml:space="preserve">At its core, this theory is, as is observed by Hall, Nick Kardulias and Chase-Dunn (2010), rooted in the idea that ancient cultures were not isolated, and therefore what is discovered about them is not a result of their people alone. Rather, any interaction was a part of a larger network. This idea is not unique to World Systems Theory, however. Hall, Nick Kardulias and Chase-Dunn (2010) note that what sets this theory apart from others like it is, in part, in its centering of a hierarchy in these cultural systems. </w:t>
      </w:r>
      <w:r w:rsidDel="00000000" w:rsidR="00000000" w:rsidRPr="00000000">
        <w:rPr>
          <w:rtl w:val="0"/>
        </w:rPr>
        <w:t xml:space="preserve">World Systems Theory is rooted in Marxist Theory, specifically the idea that metropoles take raw materials and resources from satellites (Hall, Nick Kardulias and Chase-Dunn, 2010). When translated into World Systems Theory, metropoles are referred to as cores, satellites are referred to as peripheries, and though the flow of resources remains the same, goods flow outward from the core to the peripheries (Hall, Nick Kardulias and Chase-Dunn, 2010). Though there is much debate and many different aspects of this theory that are regularly explored and utilized, it is essentially “a general approach that encompasses several competing theories, all of which emphasize interaction as central to cultural and social change” (Hall, Nick Kardulias and Chase-Dunn, 2010). However, Peter N. Peregrine (1990) noted that it is not always such a simple or straightforward transaction, with it containing varying levels of independence. What does remain is the attachment of the elite to this power dynamic in the trade of prestigious objects and symbols</w:t>
      </w:r>
      <w:r w:rsidDel="00000000" w:rsidR="00000000" w:rsidRPr="00000000">
        <w:rPr>
          <w:rtl w:val="0"/>
        </w:rPr>
        <w:t xml:space="preserve"> (Peregrine, 1990).</w:t>
      </w:r>
      <w:r w:rsidDel="00000000" w:rsidR="00000000" w:rsidRPr="00000000">
        <w:rPr>
          <w:rtl w:val="0"/>
        </w:rPr>
        <w:t xml:space="preserve"> Essentially, World Systems Theory, as it applies to this paper, is an exploration of the flow of ideas when it comes to the power dynamics between two separate cultures, and an acknowledgement of their connection. </w:t>
      </w:r>
    </w:p>
    <w:p w:rsidR="00000000" w:rsidDel="00000000" w:rsidP="00000000" w:rsidRDefault="00000000" w:rsidRPr="00000000" w14:paraId="00000014">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An exploration of Egyptian-Minoan interactions and the remnants of it primarily appears to be a case of an Egyptianizing influence upon Crete, rather than the other way around. The Minoan sistrum is one of many objects that indicate this effect. The two cultures had a great deal of contact, and the sistrum is brought up by Kelder, Cole and Cline (2018) in reference to the more ideological and art-based influence of Egypt upon Crete. Betancourt (2011) explored some of these influential objects, such as those recovered from the Hagios Charalambos ossuary alongside the six sistra. These objects include two ape pendants made of hippopotamus ivory, which is an image associated with Egypt (Betancourt, 2011). Given the site’s removal from more coastal, and subsequently more internationally connected, regions, Betancourt (2011) believes that this indicates a more thorough saturation of Egyptian ideas and goods throughout the entirety of Crete. In the case of the sistra, their design is most similar to ones found in Egypt, though its distinctly Minoan elements, such as the clay and white paint (Betancourt, 2011), demonstrate the importation of a concept rather than the object itself. Additionally, Minoan trade with Egypt at the time did not seem to be a major trade of commodities, but rather a diffusion of goods and ideas (Betancourt, 2011).</w:t>
      </w:r>
    </w:p>
    <w:p w:rsidR="00000000" w:rsidDel="00000000" w:rsidP="00000000" w:rsidRDefault="00000000" w:rsidRPr="00000000" w14:paraId="00000015">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According to Martino (2012), Egyptian-Minoan interaction distinctly predates the sistra. This paved the way for the increased exchange of ideas implied by the presence of the sistra. These idea-based interactions can be traced through art, primarily the symbols and motifs central to one culture being found in another (Martino, 2012). Martino (2012) observed, “what is offered supports the growing scholarly argument that focuses on migrating populations, traveling artisans, and diplomatic missions, rather than the reductive discourse in support of bands of marauding conquerors, as the more likely sources for the hybridization of foreign and domestic ideas of artistic expression.” In other words, the travel of ideas is undeniable, but despite assumptions, it does not seem to be due to warfare or violence in the case of Egypt and Minos. The nature of these interactions inherently seems more conducive to the transfer of ideology like the sort found to accompany the presence of the sistrum. As Martino (2012) states, “these exchanges … acknowledge the exchange of ideas that could only be accomplished by traveling groups like artisans, craftsmen, emissaries, ambassadors and, perhaps, even the ruler themselves.” In short, Egyptian-Minoan interactions contain characteristics that indicate friendly, intellectual contact. This brand of interactions is the ideal setting for the transfer of ideas associated with the sistrum, which in turn supports the fact that Hathoric associations were preserved with the sistrum’s use.</w:t>
      </w:r>
    </w:p>
    <w:p w:rsidR="00000000" w:rsidDel="00000000" w:rsidP="00000000" w:rsidRDefault="00000000" w:rsidRPr="00000000" w14:paraId="00000016">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The Minoan sistrum, given its presence at a time when Egypt and Crete were primarily engaging through more artistic and intellectual forums, embodies the intellectual influence of Egypt as well as the intrinsic nature of art and music in cross-cultural human interaction. World Systems Theory, from a large-scale perspective, indicates that Egypt took on the role of the core, whereas Minos was a periphery. This is seen in the primary exchanges being an influx of goods from the core into the periphery. However, when applied on the smaller scale, the theory allows for an analysis of social structure. The Egyptian instrument and its accompanying symbols and ideas find a place in more elite individuals’ burials, indicating an association between Egyptian elements and social influence. Given this associated importance with the foreign, it stands to reason that these same elements will be lifted up and preserved in the form of art. The sistrum, whether used in life or reserved for the afterlife, was undoubtedly important. However, being perceived as such could either have been solely due to Egyptian associations, or a more subconscious aspect. What began as foreign-sourced importance could have simply become important, without the necessity for the explicit foreign perception, as can be seen in the blending of Hathoric rituals into the Minoans’ own fertility goddess. </w:t>
      </w:r>
    </w:p>
    <w:p w:rsidR="00000000" w:rsidDel="00000000" w:rsidP="00000000" w:rsidRDefault="00000000" w:rsidRPr="00000000" w14:paraId="00000017">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The Minoan sistrum embodies the flow of ideas from Egypt into Minos, and the hold those ideas had upon the Minoans. Through World Systems Analysis and a study of the sistrum in Minoan rituals, the adaptation and translation of ideas from Egyptian to Minoan demonstrates an initial semblance of foreign appreciation, but leads to more wide-spread significance. Though ideas may flow from a core and be initially preserved due to their foreign nature, with enough time and diffusion, these ideas may have been perceived simply as something special and an appreciated part of daily life.</w:t>
      </w:r>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spacing w:after="360" w:before="0" w:line="360" w:lineRule="auto"/>
        <w:ind w:left="0" w:firstLine="0"/>
        <w:rPr>
          <w:b w:val="1"/>
          <w:sz w:val="36"/>
          <w:szCs w:val="36"/>
        </w:rPr>
      </w:pPr>
      <w:bookmarkStart w:colFirst="0" w:colLast="0" w:name="_ho4ilrwkprmr" w:id="0"/>
      <w:bookmarkEnd w:id="0"/>
      <w:r w:rsidDel="00000000" w:rsidR="00000000" w:rsidRPr="00000000">
        <w:rPr>
          <w:b w:val="1"/>
          <w:sz w:val="36"/>
          <w:szCs w:val="36"/>
          <w:rtl w:val="0"/>
        </w:rPr>
        <w:t xml:space="preserve">Reference list</w:t>
      </w:r>
    </w:p>
    <w:p w:rsidR="00000000" w:rsidDel="00000000" w:rsidP="00000000" w:rsidRDefault="00000000" w:rsidRPr="00000000" w14:paraId="00000019">
      <w:pPr>
        <w:spacing w:after="240" w:line="360" w:lineRule="auto"/>
        <w:ind w:firstLine="0"/>
        <w:rPr/>
      </w:pPr>
      <w:r w:rsidDel="00000000" w:rsidR="00000000" w:rsidRPr="00000000">
        <w:rPr>
          <w:rtl w:val="0"/>
        </w:rPr>
        <w:t xml:space="preserve">Betancourt, P.P. (2011). Newly Excavated Artifacts from Hagios Charalambos, Crete, with Egyptian Connections. </w:t>
      </w:r>
      <w:r w:rsidDel="00000000" w:rsidR="00000000" w:rsidRPr="00000000">
        <w:rPr>
          <w:i w:val="1"/>
          <w:rtl w:val="0"/>
        </w:rPr>
        <w:t xml:space="preserve">Journal of Ancient Egyptian Interconnections</w:t>
      </w:r>
      <w:r w:rsidDel="00000000" w:rsidR="00000000" w:rsidRPr="00000000">
        <w:rPr>
          <w:rtl w:val="0"/>
        </w:rPr>
        <w:t xml:space="preserve">, 3(2), pp.1–5.</w:t>
      </w:r>
    </w:p>
    <w:p w:rsidR="00000000" w:rsidDel="00000000" w:rsidP="00000000" w:rsidRDefault="00000000" w:rsidRPr="00000000" w14:paraId="0000001A">
      <w:pPr>
        <w:spacing w:after="240" w:line="360" w:lineRule="auto"/>
        <w:ind w:firstLine="0"/>
        <w:rPr/>
      </w:pPr>
      <w:r w:rsidDel="00000000" w:rsidR="00000000" w:rsidRPr="00000000">
        <w:rPr>
          <w:rtl w:val="0"/>
        </w:rPr>
        <w:t xml:space="preserve">Borowka, D. (2020). The Sistrum and its Mistress. Some thoughts about the usage of sistrum on Crete and its Hathoric associations. </w:t>
      </w:r>
      <w:r w:rsidDel="00000000" w:rsidR="00000000" w:rsidRPr="00000000">
        <w:rPr>
          <w:i w:val="1"/>
          <w:rtl w:val="0"/>
        </w:rPr>
        <w:t xml:space="preserve">Fontes Archaeologici Posnanienses</w:t>
      </w:r>
      <w:r w:rsidDel="00000000" w:rsidR="00000000" w:rsidRPr="00000000">
        <w:rPr>
          <w:rtl w:val="0"/>
        </w:rPr>
        <w:t xml:space="preserve">, 56, pp.37–56. doi:https://doi.org/10.34868/fap.56.002.</w:t>
      </w:r>
    </w:p>
    <w:p w:rsidR="00000000" w:rsidDel="00000000" w:rsidP="00000000" w:rsidRDefault="00000000" w:rsidRPr="00000000" w14:paraId="0000001B">
      <w:pPr>
        <w:spacing w:after="240" w:line="360" w:lineRule="auto"/>
        <w:ind w:firstLine="0"/>
        <w:rPr/>
      </w:pPr>
      <w:r w:rsidDel="00000000" w:rsidR="00000000" w:rsidRPr="00000000">
        <w:rPr>
          <w:rtl w:val="0"/>
        </w:rPr>
        <w:t xml:space="preserve">Hall, T.D., Nick Kardulias, P. and Chase-Dunn, C. (2010). World-Systems Analysis and Archaeology: Continuing the Dialogue. </w:t>
      </w:r>
      <w:r w:rsidDel="00000000" w:rsidR="00000000" w:rsidRPr="00000000">
        <w:rPr>
          <w:i w:val="1"/>
          <w:rtl w:val="0"/>
        </w:rPr>
        <w:t xml:space="preserve">Journal of Archaeological Research</w:t>
      </w:r>
      <w:r w:rsidDel="00000000" w:rsidR="00000000" w:rsidRPr="00000000">
        <w:rPr>
          <w:rtl w:val="0"/>
        </w:rPr>
        <w:t xml:space="preserve">, 19(3), pp.233–279. doi:https://doi.org/10.1007/s10814-010-9047-5.</w:t>
      </w:r>
    </w:p>
    <w:p w:rsidR="00000000" w:rsidDel="00000000" w:rsidP="00000000" w:rsidRDefault="00000000" w:rsidRPr="00000000" w14:paraId="0000001C">
      <w:pPr>
        <w:spacing w:after="240" w:line="360" w:lineRule="auto"/>
        <w:ind w:firstLine="0"/>
        <w:rPr/>
      </w:pPr>
      <w:r w:rsidDel="00000000" w:rsidR="00000000" w:rsidRPr="00000000">
        <w:rPr>
          <w:rtl w:val="0"/>
        </w:rPr>
        <w:t xml:space="preserve">Kelder, J.M., Cole, S.E. and Cline, E.H. (2018). Memphis, Minos, and Mycenae: Bronze Age Contact between Egypt and the Aegean. </w:t>
      </w:r>
      <w:r w:rsidDel="00000000" w:rsidR="00000000" w:rsidRPr="00000000">
        <w:rPr>
          <w:i w:val="1"/>
          <w:rtl w:val="0"/>
        </w:rPr>
        <w:t xml:space="preserve">Beyond the Nile: Egypt and the Classical World, Los Angeles</w:t>
      </w:r>
      <w:r w:rsidDel="00000000" w:rsidR="00000000" w:rsidRPr="00000000">
        <w:rPr>
          <w:rtl w:val="0"/>
        </w:rPr>
        <w:t xml:space="preserve">, pp.9–17.</w:t>
      </w:r>
    </w:p>
    <w:p w:rsidR="00000000" w:rsidDel="00000000" w:rsidP="00000000" w:rsidRDefault="00000000" w:rsidRPr="00000000" w14:paraId="0000001D">
      <w:pPr>
        <w:spacing w:after="240" w:line="360" w:lineRule="auto"/>
        <w:ind w:firstLine="0"/>
        <w:rPr/>
      </w:pPr>
      <w:r w:rsidDel="00000000" w:rsidR="00000000" w:rsidRPr="00000000">
        <w:rPr>
          <w:rtl w:val="0"/>
        </w:rPr>
        <w:t xml:space="preserve">Martino, P.L. (2012). Egyptian Ideas, Minoan Rituals: Evidence of the Interconnections between Crete and Egypt in the Bronze Age on the Hagia Triada Sarcophagus. </w:t>
      </w:r>
      <w:r w:rsidDel="00000000" w:rsidR="00000000" w:rsidRPr="00000000">
        <w:rPr>
          <w:i w:val="1"/>
          <w:rtl w:val="0"/>
        </w:rPr>
        <w:t xml:space="preserve">Journal of Ancient Egyptian Interconnections</w:t>
      </w:r>
      <w:r w:rsidDel="00000000" w:rsidR="00000000" w:rsidRPr="00000000">
        <w:rPr>
          <w:rtl w:val="0"/>
        </w:rPr>
        <w:t xml:space="preserve">, [online] 4(1), pp.31–50. doi:https://doi.org/10.2458/azu_jaei_v04i1_martino.</w:t>
      </w:r>
    </w:p>
    <w:p w:rsidR="00000000" w:rsidDel="00000000" w:rsidP="00000000" w:rsidRDefault="00000000" w:rsidRPr="00000000" w14:paraId="0000001E">
      <w:pPr>
        <w:spacing w:after="240" w:line="360" w:lineRule="auto"/>
        <w:ind w:firstLine="0"/>
        <w:rPr/>
      </w:pPr>
      <w:r w:rsidDel="00000000" w:rsidR="00000000" w:rsidRPr="00000000">
        <w:rPr>
          <w:rtl w:val="0"/>
        </w:rPr>
        <w:t xml:space="preserve">Peregrine, P.N. (1990). Archaeology and World-Systems Theory. </w:t>
      </w:r>
      <w:r w:rsidDel="00000000" w:rsidR="00000000" w:rsidRPr="00000000">
        <w:rPr>
          <w:i w:val="1"/>
          <w:rtl w:val="0"/>
        </w:rPr>
        <w:t xml:space="preserve">Sociological Inquiry</w:t>
      </w:r>
      <w:r w:rsidDel="00000000" w:rsidR="00000000" w:rsidRPr="00000000">
        <w:rPr>
          <w:rtl w:val="0"/>
        </w:rPr>
        <w:t xml:space="preserve">, 60(1), pp.486–495. doi:https://doi.org/10.1111/j.1475-682x.1990.tb00129.x.</w:t>
      </w:r>
    </w:p>
    <w:p w:rsidR="00000000" w:rsidDel="00000000" w:rsidP="00000000" w:rsidRDefault="00000000" w:rsidRPr="00000000" w14:paraId="0000001F">
      <w:pPr>
        <w:spacing w:after="240" w:line="360" w:lineRule="auto"/>
        <w:ind w:firstLine="0"/>
        <w:rPr/>
      </w:pPr>
      <w:r w:rsidDel="00000000" w:rsidR="00000000" w:rsidRPr="00000000">
        <w:rPr>
          <w:rtl w:val="0"/>
        </w:rPr>
        <w:t xml:space="preserve">Pinch, G. (1982). Offerings to Hathor. </w:t>
      </w:r>
      <w:r w:rsidDel="00000000" w:rsidR="00000000" w:rsidRPr="00000000">
        <w:rPr>
          <w:i w:val="1"/>
          <w:rtl w:val="0"/>
        </w:rPr>
        <w:t xml:space="preserve">Folklore</w:t>
      </w:r>
      <w:r w:rsidDel="00000000" w:rsidR="00000000" w:rsidRPr="00000000">
        <w:rPr>
          <w:rtl w:val="0"/>
        </w:rPr>
        <w:t xml:space="preserve">, 93(2), pp.138–150. doi:https://doi.org/10.1080/0015587x.1982.9716233.</w:t>
      </w:r>
    </w:p>
    <w:p w:rsidR="00000000" w:rsidDel="00000000" w:rsidP="00000000" w:rsidRDefault="00000000" w:rsidRPr="00000000" w14:paraId="00000020">
      <w:pPr>
        <w:spacing w:after="240" w:line="360" w:lineRule="auto"/>
        <w:ind w:firstLine="0"/>
        <w:rPr/>
      </w:pPr>
      <w:r w:rsidDel="00000000" w:rsidR="00000000" w:rsidRPr="00000000">
        <w:rPr>
          <w:rtl w:val="0"/>
        </w:rPr>
        <w:t xml:space="preserve">Warren, P. (1995). </w:t>
      </w:r>
      <w:r w:rsidDel="00000000" w:rsidR="00000000" w:rsidRPr="00000000">
        <w:rPr>
          <w:i w:val="1"/>
          <w:rtl w:val="0"/>
        </w:rPr>
        <w:t xml:space="preserve">Egypt, the Aegean and the Levant</w:t>
      </w:r>
      <w:r w:rsidDel="00000000" w:rsidR="00000000" w:rsidRPr="00000000">
        <w:rPr>
          <w:rtl w:val="0"/>
        </w:rPr>
        <w:t xml:space="preserve">. British Museum Press, pp.1–18.</w:t>
      </w:r>
    </w:p>
    <w:p w:rsidR="00000000" w:rsidDel="00000000" w:rsidP="00000000" w:rsidRDefault="00000000" w:rsidRPr="00000000" w14:paraId="00000021">
      <w:pPr>
        <w:spacing w:after="240" w:line="360" w:lineRule="auto"/>
        <w:ind w:firstLine="0"/>
        <w:rPr/>
      </w:pPr>
      <w:r w:rsidDel="00000000" w:rsidR="00000000" w:rsidRPr="00000000">
        <w:rPr>
          <w:rtl w:val="0"/>
        </w:rPr>
        <w:t xml:space="preserve">Warren, P. (2005). A model of iconographical transfer. The case of Crete and Egypt. </w:t>
      </w:r>
      <w:r w:rsidDel="00000000" w:rsidR="00000000" w:rsidRPr="00000000">
        <w:rPr>
          <w:i w:val="1"/>
          <w:rtl w:val="0"/>
        </w:rPr>
        <w:t xml:space="preserve">KΡΗΣ ΤΕΧΝΙΤΗΣ = L’Artisan Crétois</w:t>
      </w:r>
      <w:r w:rsidDel="00000000" w:rsidR="00000000" w:rsidRPr="00000000">
        <w:rPr>
          <w:rtl w:val="0"/>
        </w:rPr>
        <w:t xml:space="preserve">, pp.221–227.</w:t>
      </w:r>
      <w:r w:rsidDel="00000000" w:rsidR="00000000" w:rsidRPr="00000000">
        <w:rPr>
          <w:rtl w:val="0"/>
        </w:rPr>
      </w:r>
    </w:p>
    <w:sectPr>
      <w:headerReference r:id="rId6" w:type="default"/>
      <w:pgSz w:h="15840" w:w="12240" w:orient="portrait"/>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2">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23">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rtl w:val="0"/>
      </w:rPr>
      <w:t xml:space="preserve">Appreciation to Normalization </w:t>
    </w: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
      </w:rPr>
    </w:rPrDefault>
    <w:pPrDefault>
      <w:pPr>
        <w:spacing w:line="480" w:lineRule="auto"/>
        <w:ind w:firstLine="72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pageBreakBefore w:val="0"/>
      <w:spacing w:before="200" w:lineRule="auto"/>
      <w:ind w:firstLine="0"/>
    </w:pPr>
    <w:rPr/>
  </w:style>
  <w:style w:type="paragraph" w:styleId="Heading2">
    <w:name w:val="heading 2"/>
    <w:basedOn w:val="Normal"/>
    <w:next w:val="Normal"/>
    <w:pPr>
      <w:keepNext w:val="1"/>
      <w:keepLines w:val="1"/>
      <w:pageBreakBefore w:val="0"/>
      <w:spacing w:after="0" w:before="200" w:lineRule="auto"/>
    </w:pPr>
    <w:rPr>
      <w:rFonts w:ascii="Trebuchet MS" w:cs="Trebuchet MS" w:eastAsia="Trebuchet MS" w:hAnsi="Trebuchet MS"/>
      <w:b w:val="1"/>
      <w:sz w:val="26"/>
      <w:szCs w:val="26"/>
    </w:rPr>
  </w:style>
  <w:style w:type="paragraph" w:styleId="Heading3">
    <w:name w:val="heading 3"/>
    <w:basedOn w:val="Normal"/>
    <w:next w:val="Normal"/>
    <w:pPr>
      <w:keepNext w:val="1"/>
      <w:keepLines w:val="1"/>
      <w:pageBreakBefore w:val="0"/>
      <w:spacing w:after="0" w:before="160" w:lineRule="auto"/>
    </w:pPr>
    <w:rPr>
      <w:rFonts w:ascii="Trebuchet MS" w:cs="Trebuchet MS" w:eastAsia="Trebuchet MS" w:hAnsi="Trebuchet MS"/>
      <w:b w:val="1"/>
      <w:color w:val="666666"/>
      <w:sz w:val="24"/>
      <w:szCs w:val="24"/>
    </w:rPr>
  </w:style>
  <w:style w:type="paragraph" w:styleId="Heading4">
    <w:name w:val="heading 4"/>
    <w:basedOn w:val="Normal"/>
    <w:next w:val="Normal"/>
    <w:pPr>
      <w:keepNext w:val="1"/>
      <w:keepLines w:val="1"/>
      <w:pageBreakBefore w:val="0"/>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pageBreakBefore w:val="0"/>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pageBreakBefore w:val="0"/>
      <w:spacing w:before="600" w:lineRule="auto"/>
      <w:ind w:firstLine="0"/>
      <w:jc w:val="center"/>
    </w:pPr>
    <w:rPr/>
  </w:style>
  <w:style w:type="paragraph" w:styleId="Subtitle">
    <w:name w:val="Subtitle"/>
    <w:basedOn w:val="Normal"/>
    <w:next w:val="Normal"/>
    <w:pPr>
      <w:keepNext w:val="1"/>
      <w:keepLines w:val="1"/>
      <w:pageBreakBefore w:val="0"/>
      <w:spacing w:after="200" w:before="0" w:lineRule="auto"/>
    </w:pPr>
    <w:rPr>
      <w:rFonts w:ascii="Trebuchet MS" w:cs="Trebuchet MS" w:eastAsia="Trebuchet MS" w:hAnsi="Trebuchet MS"/>
      <w:i w:val="1"/>
      <w:color w:val="666666"/>
      <w:sz w:val="26"/>
      <w:szCs w:val="26"/>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