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38A6DA" w14:textId="42B92B62" w:rsidR="007237BA" w:rsidRPr="00984CBA" w:rsidRDefault="00902302" w:rsidP="00984CBA">
      <w:pPr>
        <w:spacing w:line="480" w:lineRule="auto"/>
        <w:jc w:val="center"/>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t>Michael Aitcheson</w:t>
      </w:r>
    </w:p>
    <w:p w14:paraId="54C2349E" w14:textId="65371BE0" w:rsidR="00902302" w:rsidRPr="00984CBA" w:rsidRDefault="00902302" w:rsidP="00984CBA">
      <w:pPr>
        <w:spacing w:line="480" w:lineRule="auto"/>
        <w:jc w:val="center"/>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t>Paraphrasing assignment</w:t>
      </w:r>
    </w:p>
    <w:p w14:paraId="16EDFEC9" w14:textId="2C633DD6" w:rsidR="00902302" w:rsidRPr="00984CBA" w:rsidRDefault="00902302" w:rsidP="00984CBA">
      <w:pPr>
        <w:spacing w:line="480" w:lineRule="auto"/>
        <w:jc w:val="center"/>
        <w:rPr>
          <w:rFonts w:ascii="Times New Roman" w:hAnsi="Times New Roman" w:cs="Times New Roman"/>
          <w:sz w:val="24"/>
          <w:szCs w:val="24"/>
        </w:rPr>
      </w:pPr>
    </w:p>
    <w:p w14:paraId="7647F808" w14:textId="42033B13" w:rsidR="0066140F" w:rsidRPr="00984CBA" w:rsidRDefault="0066140F" w:rsidP="00984CBA">
      <w:pPr>
        <w:spacing w:line="480" w:lineRule="auto"/>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t>Anxiety Disorders.</w:t>
      </w:r>
    </w:p>
    <w:p w14:paraId="0B53BC4A" w14:textId="3CBD3629" w:rsidR="00902302" w:rsidRPr="00984CBA" w:rsidRDefault="00572021"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According to Scott Lilienfeld some of the most common forms of Psychological Distress are ‘Emotional Disturbances’ (Lilienfeld, 1998) whilst fear</w:t>
      </w:r>
      <w:r w:rsidR="00F46835" w:rsidRPr="00984CBA">
        <w:rPr>
          <w:rFonts w:ascii="Times New Roman" w:hAnsi="Times New Roman" w:cs="Times New Roman"/>
          <w:sz w:val="24"/>
          <w:szCs w:val="24"/>
        </w:rPr>
        <w:t xml:space="preserve"> can be </w:t>
      </w:r>
      <w:r w:rsidR="005F2A25" w:rsidRPr="00984CBA">
        <w:rPr>
          <w:rFonts w:ascii="Times New Roman" w:hAnsi="Times New Roman" w:cs="Times New Roman"/>
          <w:sz w:val="24"/>
          <w:szCs w:val="24"/>
        </w:rPr>
        <w:t>attributed as core emotion in Psychopathology (LeDoux, 1998a). Anxiety (a brooding fear for what might happen)</w:t>
      </w:r>
      <w:r w:rsidR="00581CCE" w:rsidRPr="00984CBA">
        <w:rPr>
          <w:rFonts w:ascii="Times New Roman" w:hAnsi="Times New Roman" w:cs="Times New Roman"/>
          <w:sz w:val="24"/>
          <w:szCs w:val="24"/>
        </w:rPr>
        <w:t xml:space="preserve"> is</w:t>
      </w:r>
      <w:r w:rsidR="005F2A25" w:rsidRPr="00984CBA">
        <w:rPr>
          <w:rFonts w:ascii="Times New Roman" w:hAnsi="Times New Roman" w:cs="Times New Roman"/>
          <w:sz w:val="24"/>
          <w:szCs w:val="24"/>
        </w:rPr>
        <w:t xml:space="preserve"> one of the main focal points of Sigmund Freud’s psychoanalytic theory (LeDoux, 1998a), many Psychologists predominantly argue that fear is </w:t>
      </w:r>
      <w:r w:rsidR="00581CCE" w:rsidRPr="00984CBA">
        <w:rPr>
          <w:rFonts w:ascii="Times New Roman" w:hAnsi="Times New Roman" w:cs="Times New Roman"/>
          <w:sz w:val="24"/>
          <w:szCs w:val="24"/>
        </w:rPr>
        <w:t>the leading response to stressors (specifically, but not limited to threat) however, it is considered irregular when the stressor is not relatable to the current circumstances.</w:t>
      </w:r>
    </w:p>
    <w:p w14:paraId="062D6A6E" w14:textId="36D13AC1" w:rsidR="00581CCE" w:rsidRPr="00984CBA" w:rsidRDefault="00581CCE"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Fear could have advanced</w:t>
      </w:r>
      <w:r w:rsidR="00552B17" w:rsidRPr="00984CBA">
        <w:rPr>
          <w:rFonts w:ascii="Times New Roman" w:hAnsi="Times New Roman" w:cs="Times New Roman"/>
          <w:sz w:val="24"/>
          <w:szCs w:val="24"/>
        </w:rPr>
        <w:t xml:space="preserve"> as a potential ‘early warning system’ when the subject in question is presented with a difficult or dangerous occurrence however, there are some people who have the tendency to feel ‘afraid’ when there is no threat present, this is commonly known as Anxiety Disorders. People that experience Panic Disorders can and often have sudden bouts of terror in the extreme, even if their surroundings are perfectly safe. Lilienfeld </w:t>
      </w:r>
      <w:r w:rsidR="008A50D9" w:rsidRPr="00984CBA">
        <w:rPr>
          <w:rFonts w:ascii="Times New Roman" w:hAnsi="Times New Roman" w:cs="Times New Roman"/>
          <w:sz w:val="24"/>
          <w:szCs w:val="24"/>
        </w:rPr>
        <w:t xml:space="preserve">(1998) suggested that anything could </w:t>
      </w:r>
      <w:r w:rsidR="00556D81" w:rsidRPr="00984CBA">
        <w:rPr>
          <w:rFonts w:ascii="Times New Roman" w:hAnsi="Times New Roman" w:cs="Times New Roman"/>
          <w:sz w:val="24"/>
          <w:szCs w:val="24"/>
        </w:rPr>
        <w:t>possibly</w:t>
      </w:r>
      <w:r w:rsidR="008A50D9" w:rsidRPr="00984CBA">
        <w:rPr>
          <w:rFonts w:ascii="Times New Roman" w:hAnsi="Times New Roman" w:cs="Times New Roman"/>
          <w:sz w:val="24"/>
          <w:szCs w:val="24"/>
        </w:rPr>
        <w:t xml:space="preserve"> become the object of a phobia, but some phobias tend to be more typical than other types of phobias. The Diagnostic and Statistical Manual of Mental Disorders (4</w:t>
      </w:r>
      <w:r w:rsidR="008A50D9" w:rsidRPr="00984CBA">
        <w:rPr>
          <w:rFonts w:ascii="Times New Roman" w:hAnsi="Times New Roman" w:cs="Times New Roman"/>
          <w:sz w:val="24"/>
          <w:szCs w:val="24"/>
          <w:vertAlign w:val="superscript"/>
        </w:rPr>
        <w:t>th</w:t>
      </w:r>
      <w:r w:rsidR="008A50D9" w:rsidRPr="00984CBA">
        <w:rPr>
          <w:rFonts w:ascii="Times New Roman" w:hAnsi="Times New Roman" w:cs="Times New Roman"/>
          <w:sz w:val="24"/>
          <w:szCs w:val="24"/>
        </w:rPr>
        <w:t xml:space="preserve"> Edition, Text review) states that there are three categories of phobia, these are as follows:</w:t>
      </w:r>
    </w:p>
    <w:p w14:paraId="6458843F" w14:textId="08B05CF7" w:rsidR="008A50D9" w:rsidRPr="00984CBA" w:rsidRDefault="008A50D9" w:rsidP="00984CBA">
      <w:pPr>
        <w:pStyle w:val="ListParagraph"/>
        <w:numPr>
          <w:ilvl w:val="0"/>
          <w:numId w:val="1"/>
        </w:numPr>
        <w:spacing w:line="480" w:lineRule="auto"/>
        <w:rPr>
          <w:rFonts w:ascii="Times New Roman" w:hAnsi="Times New Roman" w:cs="Times New Roman"/>
          <w:sz w:val="24"/>
          <w:szCs w:val="24"/>
        </w:rPr>
      </w:pPr>
      <w:r w:rsidRPr="00984CBA">
        <w:rPr>
          <w:rFonts w:ascii="Times New Roman" w:hAnsi="Times New Roman" w:cs="Times New Roman"/>
          <w:sz w:val="24"/>
          <w:szCs w:val="24"/>
        </w:rPr>
        <w:t>Agoraphobia (without the history of panic disorders)</w:t>
      </w:r>
    </w:p>
    <w:p w14:paraId="5F7220AF" w14:textId="32D6447F" w:rsidR="008A50D9" w:rsidRPr="00984CBA" w:rsidRDefault="008A50D9" w:rsidP="00984CBA">
      <w:pPr>
        <w:pStyle w:val="ListParagraph"/>
        <w:numPr>
          <w:ilvl w:val="0"/>
          <w:numId w:val="1"/>
        </w:numPr>
        <w:spacing w:line="480" w:lineRule="auto"/>
        <w:rPr>
          <w:rFonts w:ascii="Times New Roman" w:hAnsi="Times New Roman" w:cs="Times New Roman"/>
          <w:sz w:val="24"/>
          <w:szCs w:val="24"/>
        </w:rPr>
      </w:pPr>
      <w:r w:rsidRPr="00984CBA">
        <w:rPr>
          <w:rFonts w:ascii="Times New Roman" w:hAnsi="Times New Roman" w:cs="Times New Roman"/>
          <w:sz w:val="24"/>
          <w:szCs w:val="24"/>
        </w:rPr>
        <w:t>Social Phobia</w:t>
      </w:r>
    </w:p>
    <w:p w14:paraId="31DEAFB3" w14:textId="425C4AD2" w:rsidR="008A50D9" w:rsidRPr="00984CBA" w:rsidRDefault="008A50D9" w:rsidP="00984CBA">
      <w:pPr>
        <w:pStyle w:val="ListParagraph"/>
        <w:numPr>
          <w:ilvl w:val="0"/>
          <w:numId w:val="1"/>
        </w:numPr>
        <w:spacing w:line="480" w:lineRule="auto"/>
        <w:rPr>
          <w:rFonts w:ascii="Times New Roman" w:hAnsi="Times New Roman" w:cs="Times New Roman"/>
          <w:sz w:val="24"/>
          <w:szCs w:val="24"/>
          <w:u w:val="single"/>
        </w:rPr>
      </w:pPr>
      <w:r w:rsidRPr="00984CBA">
        <w:rPr>
          <w:rFonts w:ascii="Times New Roman" w:hAnsi="Times New Roman" w:cs="Times New Roman"/>
          <w:sz w:val="24"/>
          <w:szCs w:val="24"/>
        </w:rPr>
        <w:t>Specific Phobias</w:t>
      </w:r>
    </w:p>
    <w:p w14:paraId="69AF2750" w14:textId="68068C16" w:rsidR="004A7078" w:rsidRPr="00984CBA" w:rsidRDefault="004A7078" w:rsidP="00984CBA">
      <w:pPr>
        <w:spacing w:line="480" w:lineRule="auto"/>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lastRenderedPageBreak/>
        <w:t>Agoraphobia</w:t>
      </w:r>
    </w:p>
    <w:p w14:paraId="328A5404" w14:textId="5B6848D1" w:rsidR="00DC3139" w:rsidRPr="00984CBA" w:rsidRDefault="004A7078"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This is the most prevalent of all phobias, it accounts for at least 60 percent of all patients with a phobia</w:t>
      </w:r>
      <w:r w:rsidR="00DC3139" w:rsidRPr="00984CBA">
        <w:rPr>
          <w:rFonts w:ascii="Times New Roman" w:hAnsi="Times New Roman" w:cs="Times New Roman"/>
          <w:sz w:val="24"/>
          <w:szCs w:val="24"/>
        </w:rPr>
        <w:t xml:space="preserve">, most commonly found in women. Most other phobias are more evenly distributed between the genders. Agoraphobia is usually described as having a fear of open spaces, the main fear is leaving the security of friends or family. As a secondary disposition, the fear of being in public places is significant in the </w:t>
      </w:r>
      <w:r w:rsidR="00556D81" w:rsidRPr="00984CBA">
        <w:rPr>
          <w:rFonts w:ascii="Times New Roman" w:hAnsi="Times New Roman" w:cs="Times New Roman"/>
          <w:sz w:val="24"/>
          <w:szCs w:val="24"/>
        </w:rPr>
        <w:t>patient’s</w:t>
      </w:r>
      <w:r w:rsidR="00DC3139" w:rsidRPr="00984CBA">
        <w:rPr>
          <w:rFonts w:ascii="Times New Roman" w:hAnsi="Times New Roman" w:cs="Times New Roman"/>
          <w:sz w:val="24"/>
          <w:szCs w:val="24"/>
        </w:rPr>
        <w:t xml:space="preserve"> awareness.</w:t>
      </w:r>
    </w:p>
    <w:p w14:paraId="147A4364" w14:textId="4401EBBF" w:rsidR="00DC3139" w:rsidRPr="00984CBA" w:rsidRDefault="00DC3139" w:rsidP="00984CBA">
      <w:pPr>
        <w:spacing w:line="480" w:lineRule="auto"/>
        <w:rPr>
          <w:rFonts w:ascii="Times New Roman" w:hAnsi="Times New Roman" w:cs="Times New Roman"/>
          <w:sz w:val="24"/>
          <w:szCs w:val="24"/>
        </w:rPr>
      </w:pPr>
      <w:r w:rsidRPr="00984CBA">
        <w:rPr>
          <w:rFonts w:ascii="Times New Roman" w:hAnsi="Times New Roman" w:cs="Times New Roman"/>
          <w:b/>
          <w:bCs/>
          <w:sz w:val="24"/>
          <w:szCs w:val="24"/>
          <w:u w:val="single"/>
        </w:rPr>
        <w:t>Specific Phobias.</w:t>
      </w:r>
    </w:p>
    <w:p w14:paraId="59E76B08" w14:textId="689D72BB" w:rsidR="00003F9B" w:rsidRPr="00984CBA" w:rsidRDefault="00DC3139"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 xml:space="preserve">The vast majority of phobias tend to fall into this classification and definitions of phobias relate to specific phobias, an example of this could be Arachnophobia (the fear of spiders). These </w:t>
      </w:r>
      <w:r w:rsidR="00003F9B" w:rsidRPr="00984CBA">
        <w:rPr>
          <w:rFonts w:ascii="Times New Roman" w:hAnsi="Times New Roman" w:cs="Times New Roman"/>
          <w:sz w:val="24"/>
          <w:szCs w:val="24"/>
        </w:rPr>
        <w:t xml:space="preserve">tend to be less of a </w:t>
      </w:r>
      <w:r w:rsidR="0066140F" w:rsidRPr="00984CBA">
        <w:rPr>
          <w:rFonts w:ascii="Times New Roman" w:hAnsi="Times New Roman" w:cs="Times New Roman"/>
          <w:sz w:val="24"/>
          <w:szCs w:val="24"/>
        </w:rPr>
        <w:t>disruption</w:t>
      </w:r>
      <w:r w:rsidR="00003F9B" w:rsidRPr="00984CBA">
        <w:rPr>
          <w:rFonts w:ascii="Times New Roman" w:hAnsi="Times New Roman" w:cs="Times New Roman"/>
          <w:sz w:val="24"/>
          <w:szCs w:val="24"/>
        </w:rPr>
        <w:t xml:space="preserve"> than other sorts of phobias. They’re able to manifest at any stage in life, the majority of the time they develop during childhood an example of this could be </w:t>
      </w:r>
      <w:r w:rsidR="0066140F" w:rsidRPr="00984CBA">
        <w:rPr>
          <w:rFonts w:ascii="Times New Roman" w:hAnsi="Times New Roman" w:cs="Times New Roman"/>
          <w:sz w:val="24"/>
          <w:szCs w:val="24"/>
        </w:rPr>
        <w:t>Nyctophobia</w:t>
      </w:r>
      <w:r w:rsidR="00003F9B" w:rsidRPr="00984CBA">
        <w:rPr>
          <w:rFonts w:ascii="Times New Roman" w:hAnsi="Times New Roman" w:cs="Times New Roman"/>
          <w:sz w:val="24"/>
          <w:szCs w:val="24"/>
        </w:rPr>
        <w:t xml:space="preserve"> (fear of the dark), there are phobias that are related to illness and injury, including the fear of death (Thanatophobia). These tend to occur in the middle ages.</w:t>
      </w:r>
    </w:p>
    <w:p w14:paraId="4A30F665" w14:textId="77777777" w:rsidR="00003F9B" w:rsidRPr="00984CBA" w:rsidRDefault="00003F9B" w:rsidP="00984CBA">
      <w:pPr>
        <w:spacing w:line="480" w:lineRule="auto"/>
        <w:rPr>
          <w:rFonts w:ascii="Times New Roman" w:hAnsi="Times New Roman" w:cs="Times New Roman"/>
          <w:sz w:val="24"/>
          <w:szCs w:val="24"/>
        </w:rPr>
      </w:pPr>
    </w:p>
    <w:p w14:paraId="50DAF3DC" w14:textId="77777777" w:rsidR="00556D81" w:rsidRPr="00984CBA" w:rsidRDefault="00556D81" w:rsidP="00984CBA">
      <w:pPr>
        <w:spacing w:line="480" w:lineRule="auto"/>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t>References.</w:t>
      </w:r>
    </w:p>
    <w:p w14:paraId="18BDDEF9" w14:textId="3D29B87F" w:rsidR="00AF5978" w:rsidRPr="00984CBA" w:rsidRDefault="0066140F"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Gross, R. (20</w:t>
      </w:r>
      <w:r w:rsidR="00240D6E" w:rsidRPr="00984CBA">
        <w:rPr>
          <w:rFonts w:ascii="Times New Roman" w:hAnsi="Times New Roman" w:cs="Times New Roman"/>
          <w:sz w:val="24"/>
          <w:szCs w:val="24"/>
        </w:rPr>
        <w:t>20</w:t>
      </w:r>
      <w:r w:rsidRPr="00984CBA">
        <w:rPr>
          <w:rFonts w:ascii="Times New Roman" w:hAnsi="Times New Roman" w:cs="Times New Roman"/>
          <w:sz w:val="24"/>
          <w:szCs w:val="24"/>
        </w:rPr>
        <w:t xml:space="preserve">). Psychology: The Science of Mind &amp; Behaviour (S. Lilienfeld &amp; J. Ledoux, Eds.; Illustrated ed., </w:t>
      </w:r>
      <w:r w:rsidR="00240D6E" w:rsidRPr="00984CBA">
        <w:rPr>
          <w:rFonts w:ascii="Times New Roman" w:hAnsi="Times New Roman" w:cs="Times New Roman"/>
          <w:sz w:val="24"/>
          <w:szCs w:val="24"/>
        </w:rPr>
        <w:t>Vol 8</w:t>
      </w:r>
      <w:r w:rsidRPr="00984CBA">
        <w:rPr>
          <w:rFonts w:ascii="Times New Roman" w:hAnsi="Times New Roman" w:cs="Times New Roman"/>
          <w:sz w:val="24"/>
          <w:szCs w:val="24"/>
        </w:rPr>
        <w:t>).</w:t>
      </w:r>
      <w:r w:rsidR="00B11E34" w:rsidRPr="00984CBA">
        <w:rPr>
          <w:rFonts w:ascii="Times New Roman" w:hAnsi="Times New Roman" w:cs="Times New Roman"/>
          <w:sz w:val="24"/>
          <w:szCs w:val="24"/>
        </w:rPr>
        <w:t xml:space="preserve"> London.</w:t>
      </w:r>
      <w:r w:rsidRPr="00984CBA">
        <w:rPr>
          <w:rFonts w:ascii="Times New Roman" w:hAnsi="Times New Roman" w:cs="Times New Roman"/>
          <w:sz w:val="24"/>
          <w:szCs w:val="24"/>
        </w:rPr>
        <w:t xml:space="preserve"> Hodder Education.</w:t>
      </w:r>
    </w:p>
    <w:p w14:paraId="0497AE37" w14:textId="2D4B3BB2" w:rsidR="00AF5978" w:rsidRPr="00984CBA" w:rsidRDefault="00AF5978" w:rsidP="00984CBA">
      <w:pPr>
        <w:spacing w:line="480" w:lineRule="auto"/>
        <w:rPr>
          <w:rFonts w:ascii="Times New Roman" w:hAnsi="Times New Roman" w:cs="Times New Roman"/>
          <w:sz w:val="24"/>
          <w:szCs w:val="24"/>
        </w:rPr>
      </w:pPr>
    </w:p>
    <w:p w14:paraId="77DA5FA0" w14:textId="26934DC2" w:rsidR="00D4731D" w:rsidRPr="00984CBA" w:rsidRDefault="00D4731D" w:rsidP="00984CBA">
      <w:pPr>
        <w:spacing w:line="480" w:lineRule="auto"/>
        <w:jc w:val="center"/>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t>Summarisation Assignment.</w:t>
      </w:r>
    </w:p>
    <w:p w14:paraId="7C1AC910" w14:textId="5CC6B788" w:rsidR="00985C60" w:rsidRPr="00984CBA" w:rsidRDefault="00985C60" w:rsidP="00984CBA">
      <w:pPr>
        <w:spacing w:line="480" w:lineRule="auto"/>
        <w:jc w:val="center"/>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t>Article 1.</w:t>
      </w:r>
    </w:p>
    <w:p w14:paraId="018F2E1A" w14:textId="6CE8427B" w:rsidR="00D4731D" w:rsidRPr="00984CBA" w:rsidRDefault="00D4731D" w:rsidP="00984CBA">
      <w:pPr>
        <w:spacing w:line="480" w:lineRule="auto"/>
        <w:jc w:val="center"/>
        <w:rPr>
          <w:rFonts w:ascii="Times New Roman" w:hAnsi="Times New Roman" w:cs="Times New Roman"/>
          <w:b/>
          <w:bCs/>
          <w:sz w:val="24"/>
          <w:szCs w:val="24"/>
          <w:u w:val="single"/>
        </w:rPr>
      </w:pPr>
    </w:p>
    <w:p w14:paraId="25D20F46" w14:textId="77777777" w:rsidR="004B367A" w:rsidRPr="00984CBA" w:rsidRDefault="00985C60" w:rsidP="00984CBA">
      <w:pPr>
        <w:spacing w:line="480" w:lineRule="auto"/>
        <w:jc w:val="both"/>
        <w:rPr>
          <w:rFonts w:ascii="Times New Roman" w:hAnsi="Times New Roman" w:cs="Times New Roman"/>
          <w:sz w:val="24"/>
          <w:szCs w:val="24"/>
        </w:rPr>
      </w:pPr>
      <w:r w:rsidRPr="00984CBA">
        <w:rPr>
          <w:rFonts w:ascii="Times New Roman" w:hAnsi="Times New Roman" w:cs="Times New Roman"/>
          <w:sz w:val="24"/>
          <w:szCs w:val="24"/>
        </w:rPr>
        <w:lastRenderedPageBreak/>
        <w:t>In the article, the author(s) (</w:t>
      </w:r>
      <w:proofErr w:type="spellStart"/>
      <w:proofErr w:type="gramStart"/>
      <w:r w:rsidRPr="00984CBA">
        <w:rPr>
          <w:rFonts w:ascii="Times New Roman" w:hAnsi="Times New Roman" w:cs="Times New Roman"/>
          <w:sz w:val="24"/>
          <w:szCs w:val="24"/>
        </w:rPr>
        <w:t>F.Atherton</w:t>
      </w:r>
      <w:proofErr w:type="spellEnd"/>
      <w:proofErr w:type="gramEnd"/>
      <w:r w:rsidRPr="00984CBA">
        <w:rPr>
          <w:rFonts w:ascii="Times New Roman" w:hAnsi="Times New Roman" w:cs="Times New Roman"/>
          <w:sz w:val="24"/>
          <w:szCs w:val="24"/>
        </w:rPr>
        <w:t xml:space="preserve"> &amp; </w:t>
      </w:r>
      <w:proofErr w:type="spellStart"/>
      <w:r w:rsidRPr="00984CBA">
        <w:rPr>
          <w:rFonts w:ascii="Times New Roman" w:hAnsi="Times New Roman" w:cs="Times New Roman"/>
          <w:sz w:val="24"/>
          <w:szCs w:val="24"/>
        </w:rPr>
        <w:t>C.Beynon</w:t>
      </w:r>
      <w:proofErr w:type="spellEnd"/>
      <w:r w:rsidRPr="00984CBA">
        <w:rPr>
          <w:rFonts w:ascii="Times New Roman" w:hAnsi="Times New Roman" w:cs="Times New Roman"/>
          <w:sz w:val="24"/>
          <w:szCs w:val="24"/>
        </w:rPr>
        <w:t xml:space="preserve">) asks the question, </w:t>
      </w:r>
      <w:r w:rsidRPr="00984CBA">
        <w:rPr>
          <w:rFonts w:ascii="Times New Roman" w:hAnsi="Times New Roman" w:cs="Times New Roman"/>
          <w:sz w:val="24"/>
          <w:szCs w:val="24"/>
        </w:rPr>
        <w:t>Is gambling an emerging public health issue for Wales, UK?</w:t>
      </w:r>
      <w:r w:rsidRPr="00984CBA">
        <w:rPr>
          <w:rFonts w:ascii="Times New Roman" w:hAnsi="Times New Roman" w:cs="Times New Roman"/>
          <w:sz w:val="24"/>
          <w:szCs w:val="24"/>
        </w:rPr>
        <w:t xml:space="preserve"> </w:t>
      </w:r>
      <w:r w:rsidR="00E11D49" w:rsidRPr="00984CBA">
        <w:rPr>
          <w:rFonts w:ascii="Times New Roman" w:hAnsi="Times New Roman" w:cs="Times New Roman"/>
          <w:sz w:val="24"/>
          <w:szCs w:val="24"/>
        </w:rPr>
        <w:t xml:space="preserve">To do this, they have collated data from pre-existing sources of information. Using this </w:t>
      </w:r>
      <w:r w:rsidR="004B367A" w:rsidRPr="00984CBA">
        <w:rPr>
          <w:rFonts w:ascii="Times New Roman" w:hAnsi="Times New Roman" w:cs="Times New Roman"/>
          <w:sz w:val="24"/>
          <w:szCs w:val="24"/>
        </w:rPr>
        <w:t>information,</w:t>
      </w:r>
      <w:r w:rsidR="00E11D49" w:rsidRPr="00984CBA">
        <w:rPr>
          <w:rFonts w:ascii="Times New Roman" w:hAnsi="Times New Roman" w:cs="Times New Roman"/>
          <w:sz w:val="24"/>
          <w:szCs w:val="24"/>
        </w:rPr>
        <w:t xml:space="preserve"> the authors have identified that Gambling does indeed have a harmful effect on the individual, their social circles and at family levels. The definition of gambling is “</w:t>
      </w:r>
      <w:r w:rsidR="00E11D49" w:rsidRPr="00984CBA">
        <w:rPr>
          <w:rFonts w:ascii="Times New Roman" w:hAnsi="Times New Roman" w:cs="Times New Roman"/>
          <w:sz w:val="24"/>
          <w:szCs w:val="24"/>
        </w:rPr>
        <w:t>Staking money or something of material value on an event having an uncertain outcome in the hope of winning additional money and/or material goods.</w:t>
      </w:r>
      <w:r w:rsidR="00E11D49" w:rsidRPr="00984CBA">
        <w:rPr>
          <w:rFonts w:ascii="Times New Roman" w:hAnsi="Times New Roman" w:cs="Times New Roman"/>
          <w:sz w:val="24"/>
          <w:szCs w:val="24"/>
        </w:rPr>
        <w:t xml:space="preserve">” (Williams. </w:t>
      </w:r>
      <w:proofErr w:type="spellStart"/>
      <w:r w:rsidR="00E11D49" w:rsidRPr="00984CBA">
        <w:rPr>
          <w:rFonts w:ascii="Times New Roman" w:hAnsi="Times New Roman" w:cs="Times New Roman"/>
          <w:sz w:val="24"/>
          <w:szCs w:val="24"/>
        </w:rPr>
        <w:t>R.j</w:t>
      </w:r>
      <w:proofErr w:type="spellEnd"/>
      <w:r w:rsidR="00E11D49" w:rsidRPr="00984CBA">
        <w:rPr>
          <w:rFonts w:ascii="Times New Roman" w:hAnsi="Times New Roman" w:cs="Times New Roman"/>
          <w:sz w:val="24"/>
          <w:szCs w:val="24"/>
        </w:rPr>
        <w:t xml:space="preserve">, Et al). </w:t>
      </w:r>
    </w:p>
    <w:p w14:paraId="7BFC3A58" w14:textId="04351FB1" w:rsidR="00E11D49" w:rsidRPr="00984CBA" w:rsidRDefault="00E11D49" w:rsidP="00984CBA">
      <w:pPr>
        <w:spacing w:line="480" w:lineRule="auto"/>
        <w:jc w:val="both"/>
        <w:rPr>
          <w:rFonts w:ascii="Times New Roman" w:hAnsi="Times New Roman" w:cs="Times New Roman"/>
          <w:sz w:val="24"/>
          <w:szCs w:val="24"/>
        </w:rPr>
      </w:pPr>
      <w:r w:rsidRPr="00984CBA">
        <w:rPr>
          <w:rFonts w:ascii="Times New Roman" w:hAnsi="Times New Roman" w:cs="Times New Roman"/>
          <w:sz w:val="24"/>
          <w:szCs w:val="24"/>
        </w:rPr>
        <w:t>Gambling however, is not wholly negative and can have several benefits. In casinos</w:t>
      </w:r>
      <w:r w:rsidR="00B1796E" w:rsidRPr="00984CBA">
        <w:rPr>
          <w:rFonts w:ascii="Times New Roman" w:hAnsi="Times New Roman" w:cs="Times New Roman"/>
          <w:sz w:val="24"/>
          <w:szCs w:val="24"/>
        </w:rPr>
        <w:t>, betting shops and sports events</w:t>
      </w:r>
      <w:r w:rsidRPr="00984CBA">
        <w:rPr>
          <w:rFonts w:ascii="Times New Roman" w:hAnsi="Times New Roman" w:cs="Times New Roman"/>
          <w:sz w:val="24"/>
          <w:szCs w:val="24"/>
        </w:rPr>
        <w:t xml:space="preserve"> jobs are created</w:t>
      </w:r>
      <w:r w:rsidR="00B1796E" w:rsidRPr="00984CBA">
        <w:rPr>
          <w:rFonts w:ascii="Times New Roman" w:hAnsi="Times New Roman" w:cs="Times New Roman"/>
          <w:sz w:val="24"/>
          <w:szCs w:val="24"/>
        </w:rPr>
        <w:t xml:space="preserve">. The money generated in tax revenues amounted up to £14.3 billion </w:t>
      </w:r>
      <w:r w:rsidR="00B1796E" w:rsidRPr="00984CBA">
        <w:rPr>
          <w:rFonts w:ascii="Times New Roman" w:hAnsi="Times New Roman" w:cs="Times New Roman"/>
          <w:sz w:val="24"/>
          <w:szCs w:val="24"/>
        </w:rPr>
        <w:t>(</w:t>
      </w:r>
      <w:r w:rsidR="00B1796E" w:rsidRPr="00984CBA">
        <w:rPr>
          <w:rFonts w:ascii="Times New Roman" w:hAnsi="Times New Roman" w:cs="Times New Roman"/>
          <w:sz w:val="24"/>
          <w:szCs w:val="24"/>
        </w:rPr>
        <w:t xml:space="preserve">Gambling </w:t>
      </w:r>
      <w:r w:rsidR="00B1796E" w:rsidRPr="00984CBA">
        <w:rPr>
          <w:rFonts w:ascii="Times New Roman" w:hAnsi="Times New Roman" w:cs="Times New Roman"/>
          <w:sz w:val="24"/>
          <w:szCs w:val="24"/>
        </w:rPr>
        <w:t>Commission, 2018)</w:t>
      </w:r>
      <w:r w:rsidR="004B367A" w:rsidRPr="00984CBA">
        <w:rPr>
          <w:rFonts w:ascii="Times New Roman" w:hAnsi="Times New Roman" w:cs="Times New Roman"/>
          <w:sz w:val="24"/>
          <w:szCs w:val="24"/>
        </w:rPr>
        <w:t xml:space="preserve"> however, the authors </w:t>
      </w:r>
      <w:r w:rsidR="00F5452E" w:rsidRPr="00984CBA">
        <w:rPr>
          <w:rFonts w:ascii="Times New Roman" w:hAnsi="Times New Roman" w:cs="Times New Roman"/>
          <w:sz w:val="24"/>
          <w:szCs w:val="24"/>
        </w:rPr>
        <w:t xml:space="preserve">were able to find out that gambling has a bigger detrimental effect in areas which are considered to be impoverished. In Wales, 61% of the population have said they have gambled within the space of a year, 63% of men have admitted they have a problem compared to 59% of women. </w:t>
      </w:r>
      <w:r w:rsidR="0056110A" w:rsidRPr="00984CBA">
        <w:rPr>
          <w:rFonts w:ascii="Times New Roman" w:hAnsi="Times New Roman" w:cs="Times New Roman"/>
          <w:sz w:val="24"/>
          <w:szCs w:val="24"/>
        </w:rPr>
        <w:t>(Gambling commission, 2015).</w:t>
      </w:r>
    </w:p>
    <w:p w14:paraId="050D8B64" w14:textId="58AF2AF6" w:rsidR="0056110A" w:rsidRPr="00984CBA" w:rsidRDefault="0056110A" w:rsidP="00984CBA">
      <w:pPr>
        <w:spacing w:line="480" w:lineRule="auto"/>
        <w:jc w:val="both"/>
        <w:rPr>
          <w:rFonts w:ascii="Times New Roman" w:hAnsi="Times New Roman" w:cs="Times New Roman"/>
          <w:sz w:val="24"/>
          <w:szCs w:val="24"/>
        </w:rPr>
      </w:pPr>
      <w:r w:rsidRPr="00984CBA">
        <w:rPr>
          <w:rFonts w:ascii="Times New Roman" w:hAnsi="Times New Roman" w:cs="Times New Roman"/>
          <w:sz w:val="24"/>
          <w:szCs w:val="24"/>
        </w:rPr>
        <w:t xml:space="preserve">In answer to the authors original question, there is quite evidently already a public health issue within wales with regards to gambling. One of the methods suggested to combat this issue was a ‘Population Level Intervention’. Given the fact that this has been shown to improve the </w:t>
      </w:r>
      <w:r w:rsidR="002D6E7E" w:rsidRPr="00984CBA">
        <w:rPr>
          <w:rFonts w:ascii="Times New Roman" w:hAnsi="Times New Roman" w:cs="Times New Roman"/>
          <w:sz w:val="24"/>
          <w:szCs w:val="24"/>
        </w:rPr>
        <w:t>problem</w:t>
      </w:r>
      <w:r w:rsidRPr="00984CBA">
        <w:rPr>
          <w:rFonts w:ascii="Times New Roman" w:hAnsi="Times New Roman" w:cs="Times New Roman"/>
          <w:sz w:val="24"/>
          <w:szCs w:val="24"/>
        </w:rPr>
        <w:t xml:space="preserve"> in other countries such as New Zealand and Australia</w:t>
      </w:r>
      <w:r w:rsidR="002D6E7E" w:rsidRPr="00984CBA">
        <w:rPr>
          <w:rFonts w:ascii="Times New Roman" w:hAnsi="Times New Roman" w:cs="Times New Roman"/>
          <w:sz w:val="24"/>
          <w:szCs w:val="24"/>
        </w:rPr>
        <w:t xml:space="preserve"> it should be given a trial within Wales.</w:t>
      </w:r>
    </w:p>
    <w:p w14:paraId="29004CDC" w14:textId="0D935D91" w:rsidR="00E11D49" w:rsidRPr="00984CBA" w:rsidRDefault="00E11D49" w:rsidP="00984CBA">
      <w:pPr>
        <w:spacing w:line="480" w:lineRule="auto"/>
        <w:jc w:val="both"/>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t>References</w:t>
      </w:r>
      <w:r w:rsidR="0056110A" w:rsidRPr="00984CBA">
        <w:rPr>
          <w:rFonts w:ascii="Times New Roman" w:hAnsi="Times New Roman" w:cs="Times New Roman"/>
          <w:b/>
          <w:bCs/>
          <w:sz w:val="24"/>
          <w:szCs w:val="24"/>
          <w:u w:val="single"/>
        </w:rPr>
        <w:t xml:space="preserve"> </w:t>
      </w:r>
    </w:p>
    <w:p w14:paraId="6D1F3647" w14:textId="7C10DF5A" w:rsidR="00E11D49" w:rsidRPr="00984CBA" w:rsidRDefault="00E11D49" w:rsidP="00984CBA">
      <w:pPr>
        <w:spacing w:line="480" w:lineRule="auto"/>
        <w:jc w:val="both"/>
        <w:rPr>
          <w:rFonts w:ascii="Times New Roman" w:hAnsi="Times New Roman" w:cs="Times New Roman"/>
          <w:sz w:val="24"/>
          <w:szCs w:val="24"/>
        </w:rPr>
      </w:pPr>
      <w:r w:rsidRPr="00984CBA">
        <w:rPr>
          <w:rFonts w:ascii="Times New Roman" w:hAnsi="Times New Roman" w:cs="Times New Roman"/>
          <w:sz w:val="24"/>
          <w:szCs w:val="24"/>
        </w:rPr>
        <w:t xml:space="preserve">Williams RJ, </w:t>
      </w:r>
      <w:proofErr w:type="spellStart"/>
      <w:r w:rsidRPr="00984CBA">
        <w:rPr>
          <w:rFonts w:ascii="Times New Roman" w:hAnsi="Times New Roman" w:cs="Times New Roman"/>
          <w:sz w:val="24"/>
          <w:szCs w:val="24"/>
        </w:rPr>
        <w:t>Volberg</w:t>
      </w:r>
      <w:proofErr w:type="spellEnd"/>
      <w:r w:rsidRPr="00984CBA">
        <w:rPr>
          <w:rFonts w:ascii="Times New Roman" w:hAnsi="Times New Roman" w:cs="Times New Roman"/>
          <w:sz w:val="24"/>
          <w:szCs w:val="24"/>
        </w:rPr>
        <w:t xml:space="preserve"> RA, Stevens RMG et al. The Definition, </w:t>
      </w:r>
      <w:proofErr w:type="spellStart"/>
      <w:r w:rsidRPr="00984CBA">
        <w:rPr>
          <w:rFonts w:ascii="Times New Roman" w:hAnsi="Times New Roman" w:cs="Times New Roman"/>
          <w:sz w:val="24"/>
          <w:szCs w:val="24"/>
        </w:rPr>
        <w:t>Dimensionalization</w:t>
      </w:r>
      <w:proofErr w:type="spellEnd"/>
      <w:r w:rsidRPr="00984CBA">
        <w:rPr>
          <w:rFonts w:ascii="Times New Roman" w:hAnsi="Times New Roman" w:cs="Times New Roman"/>
          <w:sz w:val="24"/>
          <w:szCs w:val="24"/>
        </w:rPr>
        <w:t>, and Assessment of Gambling Participation. Report Prepared for the Canadian Consortium for Gambling Research. 2017</w:t>
      </w:r>
    </w:p>
    <w:p w14:paraId="2E557855" w14:textId="0FE31EDF" w:rsidR="00B1796E" w:rsidRPr="00984CBA" w:rsidRDefault="0056110A" w:rsidP="00984CBA">
      <w:pPr>
        <w:spacing w:line="480" w:lineRule="auto"/>
        <w:jc w:val="both"/>
        <w:rPr>
          <w:rFonts w:ascii="Times New Roman" w:hAnsi="Times New Roman" w:cs="Times New Roman"/>
          <w:sz w:val="24"/>
          <w:szCs w:val="24"/>
        </w:rPr>
      </w:pPr>
      <w:r w:rsidRPr="00984CBA">
        <w:rPr>
          <w:rFonts w:ascii="Times New Roman" w:hAnsi="Times New Roman" w:cs="Times New Roman"/>
          <w:sz w:val="24"/>
          <w:szCs w:val="24"/>
        </w:rPr>
        <w:lastRenderedPageBreak/>
        <w:t xml:space="preserve">Gambling </w:t>
      </w:r>
      <w:r w:rsidR="00B1796E" w:rsidRPr="00984CBA">
        <w:rPr>
          <w:rFonts w:ascii="Times New Roman" w:hAnsi="Times New Roman" w:cs="Times New Roman"/>
          <w:sz w:val="24"/>
          <w:szCs w:val="24"/>
        </w:rPr>
        <w:t>Commission</w:t>
      </w:r>
      <w:proofErr w:type="gramStart"/>
      <w:r w:rsidR="00B1796E" w:rsidRPr="00984CBA">
        <w:rPr>
          <w:rFonts w:ascii="Times New Roman" w:hAnsi="Times New Roman" w:cs="Times New Roman"/>
          <w:sz w:val="24"/>
          <w:szCs w:val="24"/>
        </w:rPr>
        <w:t>, .</w:t>
      </w:r>
      <w:proofErr w:type="gramEnd"/>
      <w:r w:rsidR="00B1796E" w:rsidRPr="00984CBA">
        <w:rPr>
          <w:rFonts w:ascii="Times New Roman" w:hAnsi="Times New Roman" w:cs="Times New Roman"/>
          <w:sz w:val="24"/>
          <w:szCs w:val="24"/>
        </w:rPr>
        <w:t xml:space="preserve"> (2018, October). Industry statistics. Gambling Commission - Industry Statistics. https://www.gamblingcommission.gov.uk/news-action-and-statistics/Statistics-and-research/Statistics/Industry-statistics.aspx</w:t>
      </w:r>
    </w:p>
    <w:p w14:paraId="23A2F1FA" w14:textId="3A3DE3E5" w:rsidR="00AF5978" w:rsidRPr="00984CBA" w:rsidRDefault="0056110A"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Gambling Commission. Participation in Gambling and Rates of Problem Gambling in Wales, 2015. 2016</w:t>
      </w:r>
      <w:r w:rsidR="00AF5978" w:rsidRPr="00984CBA">
        <w:rPr>
          <w:rFonts w:ascii="Times New Roman" w:hAnsi="Times New Roman" w:cs="Times New Roman"/>
          <w:sz w:val="24"/>
          <w:szCs w:val="24"/>
        </w:rPr>
        <w:br w:type="page"/>
      </w:r>
    </w:p>
    <w:p w14:paraId="735CA5ED" w14:textId="77F2C680" w:rsidR="002D0404" w:rsidRPr="00984CBA" w:rsidRDefault="002D0404" w:rsidP="00984CBA">
      <w:pPr>
        <w:spacing w:line="480" w:lineRule="auto"/>
        <w:jc w:val="center"/>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lastRenderedPageBreak/>
        <w:t>Article two – The Price of Sexy.</w:t>
      </w:r>
    </w:p>
    <w:p w14:paraId="37B61BF4" w14:textId="605B386E" w:rsidR="002D0404" w:rsidRPr="00984CBA" w:rsidRDefault="002D0404" w:rsidP="00984CBA">
      <w:pPr>
        <w:spacing w:line="480" w:lineRule="auto"/>
        <w:jc w:val="center"/>
        <w:rPr>
          <w:rFonts w:ascii="Times New Roman" w:hAnsi="Times New Roman" w:cs="Times New Roman"/>
          <w:b/>
          <w:bCs/>
          <w:sz w:val="24"/>
          <w:szCs w:val="24"/>
          <w:u w:val="single"/>
        </w:rPr>
      </w:pPr>
    </w:p>
    <w:p w14:paraId="2690B72B" w14:textId="5D74CA9F" w:rsidR="002D0404" w:rsidRPr="00984CBA" w:rsidRDefault="002D0404"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 xml:space="preserve">In the article ‘The Price of Sexy’ E.A Daniels </w:t>
      </w:r>
      <w:r w:rsidR="00664368" w:rsidRPr="00984CBA">
        <w:rPr>
          <w:rFonts w:ascii="Times New Roman" w:hAnsi="Times New Roman" w:cs="Times New Roman"/>
          <w:sz w:val="24"/>
          <w:szCs w:val="24"/>
        </w:rPr>
        <w:t xml:space="preserve">&amp; E.L Zurbriggen are researching and noting down the views of young adults and adolescents with regards to the ‘sexualisation’ of social media profiles. In order to complete this, Daniels and Zurbriggen gathered information from a </w:t>
      </w:r>
      <w:r w:rsidR="00F63925" w:rsidRPr="00984CBA">
        <w:rPr>
          <w:rFonts w:ascii="Times New Roman" w:hAnsi="Times New Roman" w:cs="Times New Roman"/>
          <w:sz w:val="24"/>
          <w:szCs w:val="24"/>
        </w:rPr>
        <w:t xml:space="preserve">group of 58 adolescent girls and 60 young adults. </w:t>
      </w:r>
    </w:p>
    <w:p w14:paraId="648E196A" w14:textId="5330300E" w:rsidR="00F63925" w:rsidRPr="00984CBA" w:rsidRDefault="00F63925"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 xml:space="preserve">Both Daniels and Zurbriggen noted that in the United States the </w:t>
      </w:r>
      <w:proofErr w:type="gramStart"/>
      <w:r w:rsidRPr="00984CBA">
        <w:rPr>
          <w:rFonts w:ascii="Times New Roman" w:hAnsi="Times New Roman" w:cs="Times New Roman"/>
          <w:sz w:val="24"/>
          <w:szCs w:val="24"/>
        </w:rPr>
        <w:t>modern day</w:t>
      </w:r>
      <w:proofErr w:type="gramEnd"/>
      <w:r w:rsidRPr="00984CBA">
        <w:rPr>
          <w:rFonts w:ascii="Times New Roman" w:hAnsi="Times New Roman" w:cs="Times New Roman"/>
          <w:sz w:val="24"/>
          <w:szCs w:val="24"/>
        </w:rPr>
        <w:t xml:space="preserve"> culture of the developing youth is largely based around </w:t>
      </w:r>
      <w:r w:rsidR="00C31271" w:rsidRPr="00984CBA">
        <w:rPr>
          <w:rFonts w:ascii="Times New Roman" w:hAnsi="Times New Roman" w:cs="Times New Roman"/>
          <w:sz w:val="24"/>
          <w:szCs w:val="24"/>
        </w:rPr>
        <w:t>self-image</w:t>
      </w:r>
      <w:r w:rsidRPr="00984CBA">
        <w:rPr>
          <w:rFonts w:ascii="Times New Roman" w:hAnsi="Times New Roman" w:cs="Times New Roman"/>
          <w:sz w:val="24"/>
          <w:szCs w:val="24"/>
        </w:rPr>
        <w:t xml:space="preserve">, beauty and physical standards. </w:t>
      </w:r>
      <w:r w:rsidR="00C31271" w:rsidRPr="00984CBA">
        <w:rPr>
          <w:rFonts w:ascii="Times New Roman" w:hAnsi="Times New Roman" w:cs="Times New Roman"/>
          <w:sz w:val="24"/>
          <w:szCs w:val="24"/>
        </w:rPr>
        <w:t xml:space="preserve">This has been noted to have a detrimental effect upon these age groups, such as a lessoning of </w:t>
      </w:r>
      <w:proofErr w:type="gramStart"/>
      <w:r w:rsidR="00C31271" w:rsidRPr="00984CBA">
        <w:rPr>
          <w:rFonts w:ascii="Times New Roman" w:hAnsi="Times New Roman" w:cs="Times New Roman"/>
          <w:sz w:val="24"/>
          <w:szCs w:val="24"/>
        </w:rPr>
        <w:t>ones</w:t>
      </w:r>
      <w:proofErr w:type="gramEnd"/>
      <w:r w:rsidR="00C31271" w:rsidRPr="00984CBA">
        <w:rPr>
          <w:rFonts w:ascii="Times New Roman" w:hAnsi="Times New Roman" w:cs="Times New Roman"/>
          <w:sz w:val="24"/>
          <w:szCs w:val="24"/>
        </w:rPr>
        <w:t xml:space="preserve"> impression in the eyes of others however, there have been noted ‘benefits’ such as increased confidence when attraction from the opposite gender increases. It is also noted that when compared to their male peers, women have encountered numerous challenges which have in turn lead to </w:t>
      </w:r>
      <w:r w:rsidR="00596AA9" w:rsidRPr="00984CBA">
        <w:rPr>
          <w:rFonts w:ascii="Times New Roman" w:hAnsi="Times New Roman" w:cs="Times New Roman"/>
          <w:sz w:val="24"/>
          <w:szCs w:val="24"/>
        </w:rPr>
        <w:t xml:space="preserve">increased cases of depression, this has been attributed to causes such as body shaming, body surveillance </w:t>
      </w:r>
      <w:r w:rsidR="00596AA9" w:rsidRPr="00984CBA">
        <w:rPr>
          <w:rFonts w:ascii="Times New Roman" w:hAnsi="Times New Roman" w:cs="Times New Roman"/>
          <w:sz w:val="24"/>
          <w:szCs w:val="24"/>
        </w:rPr>
        <w:t>(</w:t>
      </w:r>
      <w:proofErr w:type="spellStart"/>
      <w:r w:rsidR="00596AA9" w:rsidRPr="00984CBA">
        <w:rPr>
          <w:rFonts w:ascii="Times New Roman" w:hAnsi="Times New Roman" w:cs="Times New Roman"/>
          <w:sz w:val="24"/>
          <w:szCs w:val="24"/>
        </w:rPr>
        <w:t>Grabe</w:t>
      </w:r>
      <w:proofErr w:type="spellEnd"/>
      <w:r w:rsidR="00596AA9" w:rsidRPr="00984CBA">
        <w:rPr>
          <w:rFonts w:ascii="Times New Roman" w:hAnsi="Times New Roman" w:cs="Times New Roman"/>
          <w:sz w:val="24"/>
          <w:szCs w:val="24"/>
        </w:rPr>
        <w:t>, Hyde, &amp; Lindberg, 2007; Lindberg, Hyde, &amp; McKinley, 2006)</w:t>
      </w:r>
      <w:r w:rsidR="00596AA9" w:rsidRPr="00984CBA">
        <w:rPr>
          <w:rFonts w:ascii="Times New Roman" w:hAnsi="Times New Roman" w:cs="Times New Roman"/>
          <w:sz w:val="24"/>
          <w:szCs w:val="24"/>
        </w:rPr>
        <w:t>. Having completed a test of creating a mock Facebook profile using a sexualised photo, it was found to have a detrimental effect as the mock individual was thought to be less competent and less socially attractive.</w:t>
      </w:r>
    </w:p>
    <w:p w14:paraId="7AB0628C" w14:textId="5BC1906A" w:rsidR="00596AA9" w:rsidRPr="00984CBA" w:rsidRDefault="00596AA9" w:rsidP="00984CBA">
      <w:pPr>
        <w:spacing w:line="480" w:lineRule="auto"/>
        <w:rPr>
          <w:rFonts w:ascii="Times New Roman" w:hAnsi="Times New Roman" w:cs="Times New Roman"/>
          <w:sz w:val="24"/>
          <w:szCs w:val="24"/>
        </w:rPr>
      </w:pPr>
    </w:p>
    <w:p w14:paraId="2BCE2094" w14:textId="01B77135" w:rsidR="00596AA9" w:rsidRPr="00984CBA" w:rsidRDefault="00596AA9" w:rsidP="00984CBA">
      <w:pPr>
        <w:spacing w:line="480" w:lineRule="auto"/>
        <w:jc w:val="center"/>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t>References</w:t>
      </w:r>
    </w:p>
    <w:p w14:paraId="26232013" w14:textId="41BB947C" w:rsidR="002D6E7E" w:rsidRPr="00984CBA" w:rsidRDefault="005A1D3D" w:rsidP="00984CBA">
      <w:pPr>
        <w:spacing w:line="480" w:lineRule="auto"/>
        <w:rPr>
          <w:rFonts w:ascii="Times New Roman" w:hAnsi="Times New Roman" w:cs="Times New Roman"/>
          <w:sz w:val="24"/>
          <w:szCs w:val="24"/>
        </w:rPr>
      </w:pPr>
      <w:proofErr w:type="spellStart"/>
      <w:r w:rsidRPr="00984CBA">
        <w:rPr>
          <w:rFonts w:ascii="Times New Roman" w:hAnsi="Times New Roman" w:cs="Times New Roman"/>
          <w:sz w:val="24"/>
          <w:szCs w:val="24"/>
        </w:rPr>
        <w:t>Grabe</w:t>
      </w:r>
      <w:proofErr w:type="spellEnd"/>
      <w:r w:rsidRPr="00984CBA">
        <w:rPr>
          <w:rFonts w:ascii="Times New Roman" w:hAnsi="Times New Roman" w:cs="Times New Roman"/>
          <w:sz w:val="24"/>
          <w:szCs w:val="24"/>
        </w:rPr>
        <w:t>, S., Hyde, J. S., &amp; Lindberg, S. M. (2007). Body Objectification and Depression in Adolescents: The Role of Gender, Shame, and Rumination. </w:t>
      </w:r>
      <w:r w:rsidRPr="00984CBA">
        <w:rPr>
          <w:rFonts w:ascii="Times New Roman" w:hAnsi="Times New Roman" w:cs="Times New Roman"/>
          <w:i/>
          <w:iCs/>
          <w:sz w:val="24"/>
          <w:szCs w:val="24"/>
        </w:rPr>
        <w:t>Psychology of Women Quarterly</w:t>
      </w:r>
      <w:r w:rsidRPr="00984CBA">
        <w:rPr>
          <w:rFonts w:ascii="Times New Roman" w:hAnsi="Times New Roman" w:cs="Times New Roman"/>
          <w:sz w:val="24"/>
          <w:szCs w:val="24"/>
        </w:rPr>
        <w:t>, </w:t>
      </w:r>
      <w:r w:rsidRPr="00984CBA">
        <w:rPr>
          <w:rFonts w:ascii="Times New Roman" w:hAnsi="Times New Roman" w:cs="Times New Roman"/>
          <w:i/>
          <w:iCs/>
          <w:sz w:val="24"/>
          <w:szCs w:val="24"/>
        </w:rPr>
        <w:t>31</w:t>
      </w:r>
      <w:r w:rsidRPr="00984CBA">
        <w:rPr>
          <w:rFonts w:ascii="Times New Roman" w:hAnsi="Times New Roman" w:cs="Times New Roman"/>
          <w:sz w:val="24"/>
          <w:szCs w:val="24"/>
        </w:rPr>
        <w:t xml:space="preserve">(2), 164–175. </w:t>
      </w:r>
      <w:hyperlink r:id="rId8" w:history="1">
        <w:r w:rsidRPr="00984CBA">
          <w:rPr>
            <w:rStyle w:val="Hyperlink"/>
            <w:rFonts w:ascii="Times New Roman" w:hAnsi="Times New Roman" w:cs="Times New Roman"/>
            <w:sz w:val="24"/>
            <w:szCs w:val="24"/>
          </w:rPr>
          <w:t>https://doi.org/10.1111/j.1471-6402.2007.00350.x</w:t>
        </w:r>
      </w:hyperlink>
    </w:p>
    <w:p w14:paraId="6C141220" w14:textId="3B66E9CA" w:rsidR="005A1D3D" w:rsidRPr="00984CBA" w:rsidRDefault="005A1D3D" w:rsidP="00984CBA">
      <w:pPr>
        <w:spacing w:line="480" w:lineRule="auto"/>
        <w:rPr>
          <w:rFonts w:ascii="Times New Roman" w:hAnsi="Times New Roman" w:cs="Times New Roman"/>
          <w:sz w:val="24"/>
          <w:szCs w:val="24"/>
        </w:rPr>
      </w:pPr>
    </w:p>
    <w:p w14:paraId="065233C0" w14:textId="7C233DA2" w:rsidR="00477943" w:rsidRPr="00984CBA" w:rsidRDefault="005A1D3D" w:rsidP="00984CBA">
      <w:pPr>
        <w:spacing w:line="480" w:lineRule="auto"/>
        <w:jc w:val="center"/>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lastRenderedPageBreak/>
        <w:t xml:space="preserve">Article Three </w:t>
      </w:r>
      <w:r w:rsidR="00477943" w:rsidRPr="00984CBA">
        <w:rPr>
          <w:rFonts w:ascii="Times New Roman" w:hAnsi="Times New Roman" w:cs="Times New Roman"/>
          <w:b/>
          <w:bCs/>
          <w:sz w:val="24"/>
          <w:szCs w:val="24"/>
          <w:u w:val="single"/>
        </w:rPr>
        <w:t>–</w:t>
      </w:r>
      <w:r w:rsidRPr="00984CBA">
        <w:rPr>
          <w:rFonts w:ascii="Times New Roman" w:hAnsi="Times New Roman" w:cs="Times New Roman"/>
          <w:b/>
          <w:bCs/>
          <w:sz w:val="24"/>
          <w:szCs w:val="24"/>
          <w:u w:val="single"/>
        </w:rPr>
        <w:t xml:space="preserve"> </w:t>
      </w:r>
      <w:r w:rsidR="00477943" w:rsidRPr="00984CBA">
        <w:rPr>
          <w:rFonts w:ascii="Times New Roman" w:hAnsi="Times New Roman" w:cs="Times New Roman"/>
          <w:b/>
          <w:bCs/>
          <w:sz w:val="24"/>
          <w:szCs w:val="24"/>
          <w:u w:val="single"/>
        </w:rPr>
        <w:t>The role of narcissism in health-risk and health-protective behavio</w:t>
      </w:r>
      <w:r w:rsidR="00477943" w:rsidRPr="00984CBA">
        <w:rPr>
          <w:rFonts w:ascii="Times New Roman" w:hAnsi="Times New Roman" w:cs="Times New Roman"/>
          <w:b/>
          <w:bCs/>
          <w:sz w:val="24"/>
          <w:szCs w:val="24"/>
          <w:u w:val="single"/>
        </w:rPr>
        <w:t xml:space="preserve">urs. </w:t>
      </w:r>
    </w:p>
    <w:p w14:paraId="2A4C9A2C" w14:textId="6BE9392B" w:rsidR="00477943" w:rsidRPr="00984CBA" w:rsidRDefault="00477943" w:rsidP="00984CBA">
      <w:pPr>
        <w:spacing w:line="480" w:lineRule="auto"/>
        <w:rPr>
          <w:rFonts w:ascii="Times New Roman" w:hAnsi="Times New Roman" w:cs="Times New Roman"/>
          <w:b/>
          <w:bCs/>
          <w:sz w:val="24"/>
          <w:szCs w:val="24"/>
          <w:u w:val="single"/>
        </w:rPr>
      </w:pPr>
    </w:p>
    <w:p w14:paraId="6D4304F4" w14:textId="2EDCE3AA" w:rsidR="00477943" w:rsidRPr="00984CBA" w:rsidRDefault="00477943"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 xml:space="preserve">E. Hill, the author of this article intended to study the effects of different behaviours on individuals who tended to show narcissistic attitudes. To do this he studied and collated data from 365 students. In order to find the relationship between narcissism and health risk/protective behaviours, different students were given various influences, such as alcohol, marijuana and were exposed to risk-enhanced driving. </w:t>
      </w:r>
    </w:p>
    <w:p w14:paraId="6B16CCC4" w14:textId="5718CF00" w:rsidR="00477943" w:rsidRPr="00984CBA" w:rsidRDefault="00477943" w:rsidP="00984CBA">
      <w:pPr>
        <w:spacing w:line="480" w:lineRule="auto"/>
        <w:rPr>
          <w:rFonts w:ascii="Times New Roman" w:hAnsi="Times New Roman" w:cs="Times New Roman"/>
          <w:sz w:val="24"/>
          <w:szCs w:val="24"/>
        </w:rPr>
      </w:pPr>
      <w:r w:rsidRPr="00984CBA">
        <w:rPr>
          <w:rFonts w:ascii="Times New Roman" w:hAnsi="Times New Roman" w:cs="Times New Roman"/>
          <w:sz w:val="24"/>
          <w:szCs w:val="24"/>
        </w:rPr>
        <w:t xml:space="preserve">Hill found that in the majority of cases, narcissistic tendencies were more evident towards the end of the week and/or during the weekend where alcohol and cannabis consumption was more readily </w:t>
      </w:r>
      <w:r w:rsidR="00766E94" w:rsidRPr="00984CBA">
        <w:rPr>
          <w:rFonts w:ascii="Times New Roman" w:hAnsi="Times New Roman" w:cs="Times New Roman"/>
          <w:sz w:val="24"/>
          <w:szCs w:val="24"/>
        </w:rPr>
        <w:t xml:space="preserve">available whereas the health protective behaviours such as physical exercise was more likely to be evident during the week. </w:t>
      </w:r>
    </w:p>
    <w:p w14:paraId="688A0741" w14:textId="77777777" w:rsidR="00477943" w:rsidRPr="00984CBA" w:rsidRDefault="00477943" w:rsidP="00984CBA">
      <w:pPr>
        <w:spacing w:line="480" w:lineRule="auto"/>
        <w:rPr>
          <w:rFonts w:ascii="Times New Roman" w:hAnsi="Times New Roman" w:cs="Times New Roman"/>
          <w:b/>
          <w:bCs/>
          <w:sz w:val="24"/>
          <w:szCs w:val="24"/>
          <w:u w:val="single"/>
        </w:rPr>
      </w:pPr>
      <w:r w:rsidRPr="00984CBA">
        <w:rPr>
          <w:rFonts w:ascii="Times New Roman" w:hAnsi="Times New Roman" w:cs="Times New Roman"/>
          <w:b/>
          <w:bCs/>
          <w:sz w:val="24"/>
          <w:szCs w:val="24"/>
          <w:u w:val="single"/>
        </w:rPr>
        <w:br w:type="page"/>
      </w:r>
    </w:p>
    <w:p w14:paraId="045406D1" w14:textId="77777777" w:rsidR="005A1D3D" w:rsidRPr="00984CBA" w:rsidRDefault="005A1D3D" w:rsidP="00984CBA">
      <w:pPr>
        <w:spacing w:line="480" w:lineRule="auto"/>
        <w:jc w:val="center"/>
        <w:rPr>
          <w:rFonts w:ascii="Times New Roman" w:hAnsi="Times New Roman" w:cs="Times New Roman"/>
          <w:b/>
          <w:bCs/>
          <w:sz w:val="24"/>
          <w:szCs w:val="24"/>
          <w:u w:val="single"/>
        </w:rPr>
      </w:pPr>
    </w:p>
    <w:p w14:paraId="71AFFDA5" w14:textId="77777777" w:rsidR="00AF5978" w:rsidRPr="00984CBA" w:rsidRDefault="00AF5978" w:rsidP="00984CBA">
      <w:pPr>
        <w:spacing w:after="177" w:line="480" w:lineRule="auto"/>
        <w:ind w:left="335" w:right="3"/>
        <w:jc w:val="center"/>
        <w:rPr>
          <w:rFonts w:ascii="Times New Roman" w:hAnsi="Times New Roman" w:cs="Times New Roman"/>
          <w:sz w:val="24"/>
          <w:szCs w:val="24"/>
          <w:u w:val="single"/>
        </w:rPr>
      </w:pPr>
      <w:r w:rsidRPr="00984CBA">
        <w:rPr>
          <w:rFonts w:ascii="Times New Roman" w:hAnsi="Times New Roman" w:cs="Times New Roman"/>
          <w:b/>
          <w:sz w:val="24"/>
          <w:szCs w:val="24"/>
          <w:u w:val="single"/>
        </w:rPr>
        <w:t xml:space="preserve">Academic Study Skills for Students: ECGE4001R </w:t>
      </w:r>
    </w:p>
    <w:p w14:paraId="07A2A4F2" w14:textId="77777777" w:rsidR="00AF5978" w:rsidRPr="00984CBA" w:rsidRDefault="00AF5978" w:rsidP="00984CBA">
      <w:pPr>
        <w:spacing w:after="177" w:line="480" w:lineRule="auto"/>
        <w:ind w:left="335"/>
        <w:jc w:val="center"/>
        <w:rPr>
          <w:rFonts w:ascii="Times New Roman" w:hAnsi="Times New Roman" w:cs="Times New Roman"/>
          <w:sz w:val="24"/>
          <w:szCs w:val="24"/>
          <w:u w:val="single"/>
        </w:rPr>
      </w:pPr>
      <w:r w:rsidRPr="00984CBA">
        <w:rPr>
          <w:rFonts w:ascii="Times New Roman" w:hAnsi="Times New Roman" w:cs="Times New Roman"/>
          <w:b/>
          <w:sz w:val="24"/>
          <w:szCs w:val="24"/>
          <w:u w:val="single"/>
        </w:rPr>
        <w:t xml:space="preserve">Jumbled Reference List </w:t>
      </w:r>
    </w:p>
    <w:p w14:paraId="059E9117" w14:textId="77777777" w:rsidR="00AF5978" w:rsidRPr="00984CBA" w:rsidRDefault="00AF5978" w:rsidP="00984CBA">
      <w:pPr>
        <w:spacing w:after="182" w:line="480" w:lineRule="auto"/>
        <w:ind w:left="60"/>
        <w:rPr>
          <w:rFonts w:ascii="Times New Roman" w:hAnsi="Times New Roman" w:cs="Times New Roman"/>
          <w:sz w:val="24"/>
          <w:szCs w:val="24"/>
        </w:rPr>
      </w:pPr>
    </w:p>
    <w:p w14:paraId="2F30C32C" w14:textId="77777777" w:rsidR="00AF5978" w:rsidRPr="00984CBA" w:rsidRDefault="00AF5978" w:rsidP="00984CBA">
      <w:pPr>
        <w:spacing w:after="7" w:line="480" w:lineRule="auto"/>
        <w:ind w:left="705"/>
        <w:jc w:val="center"/>
        <w:rPr>
          <w:rFonts w:ascii="Times New Roman" w:hAnsi="Times New Roman" w:cs="Times New Roman"/>
          <w:sz w:val="24"/>
          <w:szCs w:val="24"/>
        </w:rPr>
      </w:pPr>
      <w:r w:rsidRPr="00984CBA">
        <w:rPr>
          <w:rFonts w:ascii="Times New Roman" w:hAnsi="Times New Roman" w:cs="Times New Roman"/>
          <w:sz w:val="24"/>
          <w:szCs w:val="24"/>
        </w:rPr>
        <w:t xml:space="preserve">G. </w:t>
      </w:r>
      <w:proofErr w:type="spellStart"/>
      <w:r w:rsidRPr="00984CBA">
        <w:rPr>
          <w:rFonts w:ascii="Times New Roman" w:hAnsi="Times New Roman" w:cs="Times New Roman"/>
          <w:sz w:val="24"/>
          <w:szCs w:val="24"/>
        </w:rPr>
        <w:t>Mazetti</w:t>
      </w:r>
      <w:proofErr w:type="spellEnd"/>
      <w:r w:rsidRPr="00984CBA">
        <w:rPr>
          <w:rFonts w:ascii="Times New Roman" w:hAnsi="Times New Roman" w:cs="Times New Roman"/>
          <w:sz w:val="24"/>
          <w:szCs w:val="24"/>
        </w:rPr>
        <w:t xml:space="preserve">, W. B Schaufeli and D. </w:t>
      </w:r>
      <w:proofErr w:type="spellStart"/>
      <w:r w:rsidRPr="00984CBA">
        <w:rPr>
          <w:rFonts w:ascii="Times New Roman" w:hAnsi="Times New Roman" w:cs="Times New Roman"/>
          <w:sz w:val="24"/>
          <w:szCs w:val="24"/>
        </w:rPr>
        <w:t>Guglielmi</w:t>
      </w:r>
      <w:proofErr w:type="spellEnd"/>
      <w:r w:rsidRPr="00984CBA">
        <w:rPr>
          <w:rFonts w:ascii="Times New Roman" w:hAnsi="Times New Roman" w:cs="Times New Roman"/>
          <w:sz w:val="24"/>
          <w:szCs w:val="24"/>
        </w:rPr>
        <w:t>. (2014).  International journal of stress management. Are workaholics born or made? Relations of workaholism with person characteristics and overwork climate, 23(3), 227-254.</w:t>
      </w:r>
    </w:p>
    <w:p w14:paraId="7CBC4214" w14:textId="77777777" w:rsidR="00AF5978" w:rsidRPr="00984CBA" w:rsidRDefault="00AF5978" w:rsidP="00984CBA">
      <w:pPr>
        <w:spacing w:after="180" w:line="480" w:lineRule="auto"/>
        <w:ind w:left="60"/>
        <w:jc w:val="center"/>
        <w:rPr>
          <w:rFonts w:ascii="Times New Roman" w:hAnsi="Times New Roman" w:cs="Times New Roman"/>
          <w:sz w:val="24"/>
          <w:szCs w:val="24"/>
        </w:rPr>
      </w:pPr>
    </w:p>
    <w:p w14:paraId="5D3FE3F6" w14:textId="77777777" w:rsidR="00AF5978" w:rsidRPr="00984CBA" w:rsidRDefault="00AF5978" w:rsidP="00984CBA">
      <w:pPr>
        <w:spacing w:after="180" w:line="480" w:lineRule="auto"/>
        <w:ind w:left="60"/>
        <w:jc w:val="center"/>
        <w:rPr>
          <w:rFonts w:ascii="Times New Roman" w:hAnsi="Times New Roman" w:cs="Times New Roman"/>
          <w:sz w:val="24"/>
          <w:szCs w:val="24"/>
        </w:rPr>
      </w:pPr>
      <w:proofErr w:type="spellStart"/>
      <w:r w:rsidRPr="00984CBA">
        <w:rPr>
          <w:rFonts w:ascii="Times New Roman" w:hAnsi="Times New Roman" w:cs="Times New Roman"/>
          <w:sz w:val="24"/>
          <w:szCs w:val="24"/>
        </w:rPr>
        <w:t>Hefferon</w:t>
      </w:r>
      <w:proofErr w:type="spellEnd"/>
      <w:r w:rsidRPr="00984CBA">
        <w:rPr>
          <w:rFonts w:ascii="Times New Roman" w:hAnsi="Times New Roman" w:cs="Times New Roman"/>
          <w:sz w:val="24"/>
          <w:szCs w:val="24"/>
        </w:rPr>
        <w:t xml:space="preserve">, K., &amp; </w:t>
      </w:r>
      <w:proofErr w:type="spellStart"/>
      <w:r w:rsidRPr="00984CBA">
        <w:rPr>
          <w:rFonts w:ascii="Times New Roman" w:hAnsi="Times New Roman" w:cs="Times New Roman"/>
          <w:sz w:val="24"/>
          <w:szCs w:val="24"/>
        </w:rPr>
        <w:t>Boniwell</w:t>
      </w:r>
      <w:proofErr w:type="spellEnd"/>
      <w:r w:rsidRPr="00984CBA">
        <w:rPr>
          <w:rFonts w:ascii="Times New Roman" w:hAnsi="Times New Roman" w:cs="Times New Roman"/>
          <w:sz w:val="24"/>
          <w:szCs w:val="24"/>
        </w:rPr>
        <w:t xml:space="preserve">, L. (2011). Positive Psychology: Theory, Research </w:t>
      </w:r>
      <w:proofErr w:type="gramStart"/>
      <w:r w:rsidRPr="00984CBA">
        <w:rPr>
          <w:rFonts w:ascii="Times New Roman" w:hAnsi="Times New Roman" w:cs="Times New Roman"/>
          <w:sz w:val="24"/>
          <w:szCs w:val="24"/>
        </w:rPr>
        <w:t>And</w:t>
      </w:r>
      <w:proofErr w:type="gramEnd"/>
      <w:r w:rsidRPr="00984CBA">
        <w:rPr>
          <w:rFonts w:ascii="Times New Roman" w:hAnsi="Times New Roman" w:cs="Times New Roman"/>
          <w:sz w:val="24"/>
          <w:szCs w:val="24"/>
        </w:rPr>
        <w:t xml:space="preserve"> Applications (1st ed.). Open University Press.</w:t>
      </w:r>
    </w:p>
    <w:p w14:paraId="77194761" w14:textId="77777777" w:rsidR="00AF5978" w:rsidRPr="00984CBA" w:rsidRDefault="00AF5978" w:rsidP="00984CBA">
      <w:pPr>
        <w:spacing w:after="9" w:line="480" w:lineRule="auto"/>
        <w:ind w:left="345"/>
        <w:jc w:val="center"/>
        <w:rPr>
          <w:rFonts w:ascii="Times New Roman" w:hAnsi="Times New Roman" w:cs="Times New Roman"/>
          <w:sz w:val="24"/>
          <w:szCs w:val="24"/>
        </w:rPr>
      </w:pPr>
    </w:p>
    <w:p w14:paraId="1FD44D79" w14:textId="77777777" w:rsidR="00AF5978" w:rsidRPr="00984CBA" w:rsidRDefault="00AF5978" w:rsidP="00984CBA">
      <w:pPr>
        <w:spacing w:after="9" w:line="480" w:lineRule="auto"/>
        <w:ind w:left="345"/>
        <w:jc w:val="center"/>
        <w:rPr>
          <w:rFonts w:ascii="Times New Roman" w:hAnsi="Times New Roman" w:cs="Times New Roman"/>
          <w:sz w:val="24"/>
          <w:szCs w:val="24"/>
        </w:rPr>
      </w:pPr>
    </w:p>
    <w:p w14:paraId="2EACF0E7" w14:textId="77777777" w:rsidR="00AF5978" w:rsidRPr="00984CBA" w:rsidRDefault="00AF5978" w:rsidP="00984CBA">
      <w:pPr>
        <w:spacing w:after="9"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t>Office for National Statistics (2016). Adult drinking habits in Great Britain: 2005 to 2016.</w:t>
      </w:r>
    </w:p>
    <w:p w14:paraId="3BA28E82" w14:textId="77777777" w:rsidR="00AF5978" w:rsidRPr="00984CBA" w:rsidRDefault="00AF5978" w:rsidP="00984CBA">
      <w:pPr>
        <w:spacing w:after="161" w:line="480" w:lineRule="auto"/>
        <w:ind w:left="335"/>
        <w:jc w:val="center"/>
        <w:rPr>
          <w:rFonts w:ascii="Times New Roman" w:hAnsi="Times New Roman" w:cs="Times New Roman"/>
          <w:sz w:val="24"/>
          <w:szCs w:val="24"/>
        </w:rPr>
      </w:pPr>
      <w:hyperlink r:id="rId9">
        <w:r w:rsidRPr="00984CBA">
          <w:rPr>
            <w:rFonts w:ascii="Times New Roman" w:hAnsi="Times New Roman" w:cs="Times New Roman"/>
            <w:color w:val="0562C1"/>
            <w:sz w:val="24"/>
            <w:szCs w:val="24"/>
            <w:u w:val="single" w:color="0562C1"/>
          </w:rPr>
          <w:t xml:space="preserve">https://www.ons.gov.uk/peoplepopulationandcommunity/healthandsocialcare/ </w:t>
        </w:r>
      </w:hyperlink>
      <w:hyperlink r:id="rId10">
        <w:r w:rsidRPr="00984CBA">
          <w:rPr>
            <w:rFonts w:ascii="Times New Roman" w:hAnsi="Times New Roman" w:cs="Times New Roman"/>
            <w:color w:val="0562C1"/>
            <w:sz w:val="24"/>
            <w:szCs w:val="24"/>
            <w:u w:val="single" w:color="0562C1"/>
          </w:rPr>
          <w:t xml:space="preserve">drugusealcoholandsmoking/bulletins/opinionsandlifestylesurveyadultdrinkingh </w:t>
        </w:r>
      </w:hyperlink>
      <w:hyperlink r:id="rId11">
        <w:proofErr w:type="spellStart"/>
        <w:r w:rsidRPr="00984CBA">
          <w:rPr>
            <w:rFonts w:ascii="Times New Roman" w:hAnsi="Times New Roman" w:cs="Times New Roman"/>
            <w:color w:val="0562C1"/>
            <w:sz w:val="24"/>
            <w:szCs w:val="24"/>
            <w:u w:val="single" w:color="0562C1"/>
          </w:rPr>
          <w:t>abit</w:t>
        </w:r>
        <w:proofErr w:type="spellEnd"/>
        <w:r w:rsidRPr="00984CBA">
          <w:rPr>
            <w:rFonts w:ascii="Times New Roman" w:hAnsi="Times New Roman" w:cs="Times New Roman"/>
            <w:color w:val="0562C1"/>
            <w:sz w:val="24"/>
            <w:szCs w:val="24"/>
            <w:u w:val="single" w:color="0562C1"/>
          </w:rPr>
          <w:t xml:space="preserve"> </w:t>
        </w:r>
        <w:proofErr w:type="spellStart"/>
        <w:r w:rsidRPr="00984CBA">
          <w:rPr>
            <w:rFonts w:ascii="Times New Roman" w:hAnsi="Times New Roman" w:cs="Times New Roman"/>
            <w:color w:val="0562C1"/>
            <w:sz w:val="24"/>
            <w:szCs w:val="24"/>
            <w:u w:val="single" w:color="0562C1"/>
          </w:rPr>
          <w:t>singreatbritain</w:t>
        </w:r>
        <w:proofErr w:type="spellEnd"/>
        <w:r w:rsidRPr="00984CBA">
          <w:rPr>
            <w:rFonts w:ascii="Times New Roman" w:hAnsi="Times New Roman" w:cs="Times New Roman"/>
            <w:color w:val="0562C1"/>
            <w:sz w:val="24"/>
            <w:szCs w:val="24"/>
            <w:u w:val="single" w:color="0562C1"/>
          </w:rPr>
          <w:t>/2005to2016</w:t>
        </w:r>
      </w:hyperlink>
      <w:hyperlink r:id="rId12">
        <w:r w:rsidRPr="00984CBA">
          <w:rPr>
            <w:rFonts w:ascii="Times New Roman" w:hAnsi="Times New Roman" w:cs="Times New Roman"/>
            <w:sz w:val="24"/>
            <w:szCs w:val="24"/>
          </w:rPr>
          <w:t xml:space="preserve"> </w:t>
        </w:r>
      </w:hyperlink>
    </w:p>
    <w:p w14:paraId="6641DABB" w14:textId="77777777" w:rsidR="00AF5978" w:rsidRPr="00984CBA" w:rsidRDefault="00AF5978" w:rsidP="00984CBA">
      <w:pPr>
        <w:spacing w:after="180" w:line="480" w:lineRule="auto"/>
        <w:ind w:left="1207"/>
        <w:jc w:val="center"/>
        <w:rPr>
          <w:rFonts w:ascii="Times New Roman" w:hAnsi="Times New Roman" w:cs="Times New Roman"/>
          <w:sz w:val="24"/>
          <w:szCs w:val="24"/>
        </w:rPr>
      </w:pPr>
    </w:p>
    <w:p w14:paraId="0771190B" w14:textId="77777777" w:rsidR="00AF5978" w:rsidRPr="00984CBA" w:rsidRDefault="00AF5978" w:rsidP="00984CBA">
      <w:pPr>
        <w:spacing w:after="10"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t xml:space="preserve">S. </w:t>
      </w:r>
      <w:proofErr w:type="spellStart"/>
      <w:r w:rsidRPr="00984CBA">
        <w:rPr>
          <w:rFonts w:ascii="Times New Roman" w:hAnsi="Times New Roman" w:cs="Times New Roman"/>
          <w:sz w:val="24"/>
          <w:szCs w:val="24"/>
        </w:rPr>
        <w:t>Hanton</w:t>
      </w:r>
      <w:proofErr w:type="spellEnd"/>
      <w:r w:rsidRPr="00984CBA">
        <w:rPr>
          <w:rFonts w:ascii="Times New Roman" w:hAnsi="Times New Roman" w:cs="Times New Roman"/>
          <w:sz w:val="24"/>
          <w:szCs w:val="24"/>
        </w:rPr>
        <w:t xml:space="preserve"> &amp; </w:t>
      </w:r>
      <w:proofErr w:type="spellStart"/>
      <w:r w:rsidRPr="00984CBA">
        <w:rPr>
          <w:rFonts w:ascii="Times New Roman" w:hAnsi="Times New Roman" w:cs="Times New Roman"/>
          <w:sz w:val="24"/>
          <w:szCs w:val="24"/>
        </w:rPr>
        <w:t>S.</w:t>
      </w:r>
      <w:proofErr w:type="gramStart"/>
      <w:r w:rsidRPr="00984CBA">
        <w:rPr>
          <w:rFonts w:ascii="Times New Roman" w:hAnsi="Times New Roman" w:cs="Times New Roman"/>
          <w:sz w:val="24"/>
          <w:szCs w:val="24"/>
        </w:rPr>
        <w:t>D.Mellalieu</w:t>
      </w:r>
      <w:proofErr w:type="spellEnd"/>
      <w:proofErr w:type="gramEnd"/>
      <w:r w:rsidRPr="00984CBA">
        <w:rPr>
          <w:rFonts w:ascii="Times New Roman" w:hAnsi="Times New Roman" w:cs="Times New Roman"/>
          <w:sz w:val="24"/>
          <w:szCs w:val="24"/>
        </w:rPr>
        <w:t xml:space="preserve"> (2006). Psychological Response to Sport Injury by Lynne Evans, </w:t>
      </w:r>
      <w:proofErr w:type="spellStart"/>
      <w:r w:rsidRPr="00984CBA">
        <w:rPr>
          <w:rFonts w:ascii="Times New Roman" w:hAnsi="Times New Roman" w:cs="Times New Roman"/>
          <w:sz w:val="24"/>
          <w:szCs w:val="24"/>
        </w:rPr>
        <w:t>Ian.D</w:t>
      </w:r>
      <w:proofErr w:type="spellEnd"/>
      <w:r w:rsidRPr="00984CBA">
        <w:rPr>
          <w:rFonts w:ascii="Times New Roman" w:hAnsi="Times New Roman" w:cs="Times New Roman"/>
          <w:sz w:val="24"/>
          <w:szCs w:val="24"/>
        </w:rPr>
        <w:t>. Mitchell and Stuart Jones in the Book called Literature reviews in Sport. Psychology by. Nova Science Publications. Hauppauge/NY. (PP 289-319)</w:t>
      </w:r>
    </w:p>
    <w:p w14:paraId="18DA7E0F" w14:textId="77777777" w:rsidR="00AF5978" w:rsidRPr="00984CBA" w:rsidRDefault="00AF5978" w:rsidP="00984CBA">
      <w:pPr>
        <w:spacing w:after="10" w:line="480" w:lineRule="auto"/>
        <w:ind w:left="345"/>
        <w:jc w:val="center"/>
        <w:rPr>
          <w:rFonts w:ascii="Times New Roman" w:hAnsi="Times New Roman" w:cs="Times New Roman"/>
          <w:sz w:val="24"/>
          <w:szCs w:val="24"/>
        </w:rPr>
      </w:pPr>
    </w:p>
    <w:p w14:paraId="1122CEBB" w14:textId="77777777" w:rsidR="00AF5978" w:rsidRPr="00984CBA" w:rsidRDefault="00AF5978" w:rsidP="00984CBA">
      <w:pPr>
        <w:spacing w:after="180" w:line="480" w:lineRule="auto"/>
        <w:ind w:left="60"/>
        <w:jc w:val="center"/>
        <w:rPr>
          <w:rFonts w:ascii="Times New Roman" w:hAnsi="Times New Roman" w:cs="Times New Roman"/>
          <w:sz w:val="24"/>
          <w:szCs w:val="24"/>
        </w:rPr>
      </w:pPr>
    </w:p>
    <w:p w14:paraId="7F61A822" w14:textId="77777777" w:rsidR="00AF5978" w:rsidRPr="00984CBA" w:rsidRDefault="00AF5978" w:rsidP="00984CBA">
      <w:pPr>
        <w:spacing w:after="10"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lastRenderedPageBreak/>
        <w:t xml:space="preserve">Phelps, Ceri, </w:t>
      </w:r>
      <w:proofErr w:type="spellStart"/>
      <w:proofErr w:type="gramStart"/>
      <w:r w:rsidRPr="00984CBA">
        <w:rPr>
          <w:rFonts w:ascii="Times New Roman" w:hAnsi="Times New Roman" w:cs="Times New Roman"/>
          <w:sz w:val="24"/>
          <w:szCs w:val="24"/>
        </w:rPr>
        <w:t>M.Minou</w:t>
      </w:r>
      <w:proofErr w:type="spellEnd"/>
      <w:proofErr w:type="gramEnd"/>
      <w:r w:rsidRPr="00984CBA">
        <w:rPr>
          <w:rFonts w:ascii="Times New Roman" w:hAnsi="Times New Roman" w:cs="Times New Roman"/>
          <w:sz w:val="24"/>
          <w:szCs w:val="24"/>
        </w:rPr>
        <w:t xml:space="preserve">, </w:t>
      </w:r>
      <w:proofErr w:type="spellStart"/>
      <w:r w:rsidRPr="00984CBA">
        <w:rPr>
          <w:rFonts w:ascii="Times New Roman" w:hAnsi="Times New Roman" w:cs="Times New Roman"/>
          <w:sz w:val="24"/>
          <w:szCs w:val="24"/>
        </w:rPr>
        <w:t>A.Baker</w:t>
      </w:r>
      <w:proofErr w:type="spellEnd"/>
      <w:r w:rsidRPr="00984CBA">
        <w:rPr>
          <w:rFonts w:ascii="Times New Roman" w:hAnsi="Times New Roman" w:cs="Times New Roman"/>
          <w:sz w:val="24"/>
          <w:szCs w:val="24"/>
        </w:rPr>
        <w:t xml:space="preserve">, </w:t>
      </w:r>
      <w:proofErr w:type="spellStart"/>
      <w:r w:rsidRPr="00984CBA">
        <w:rPr>
          <w:rFonts w:ascii="Times New Roman" w:hAnsi="Times New Roman" w:cs="Times New Roman"/>
          <w:sz w:val="24"/>
          <w:szCs w:val="24"/>
        </w:rPr>
        <w:t>C.Hughes</w:t>
      </w:r>
      <w:proofErr w:type="spellEnd"/>
      <w:r w:rsidRPr="00984CBA">
        <w:rPr>
          <w:rFonts w:ascii="Times New Roman" w:hAnsi="Times New Roman" w:cs="Times New Roman"/>
          <w:sz w:val="24"/>
          <w:szCs w:val="24"/>
        </w:rPr>
        <w:t xml:space="preserve">, </w:t>
      </w:r>
      <w:proofErr w:type="spellStart"/>
      <w:r w:rsidRPr="00984CBA">
        <w:rPr>
          <w:rFonts w:ascii="Times New Roman" w:hAnsi="Times New Roman" w:cs="Times New Roman"/>
          <w:sz w:val="24"/>
          <w:szCs w:val="24"/>
        </w:rPr>
        <w:t>H.French</w:t>
      </w:r>
      <w:proofErr w:type="spellEnd"/>
      <w:r w:rsidRPr="00984CBA">
        <w:rPr>
          <w:rFonts w:ascii="Times New Roman" w:hAnsi="Times New Roman" w:cs="Times New Roman"/>
          <w:sz w:val="24"/>
          <w:szCs w:val="24"/>
        </w:rPr>
        <w:t xml:space="preserve">, </w:t>
      </w:r>
      <w:proofErr w:type="spellStart"/>
      <w:r w:rsidRPr="00984CBA">
        <w:rPr>
          <w:rFonts w:ascii="Times New Roman" w:hAnsi="Times New Roman" w:cs="Times New Roman"/>
          <w:sz w:val="24"/>
          <w:szCs w:val="24"/>
        </w:rPr>
        <w:t>W.Hawkins</w:t>
      </w:r>
      <w:proofErr w:type="spellEnd"/>
      <w:r w:rsidRPr="00984CBA">
        <w:rPr>
          <w:rFonts w:ascii="Times New Roman" w:hAnsi="Times New Roman" w:cs="Times New Roman"/>
          <w:sz w:val="24"/>
          <w:szCs w:val="24"/>
        </w:rPr>
        <w:t xml:space="preserve">, </w:t>
      </w:r>
      <w:proofErr w:type="spellStart"/>
      <w:r w:rsidRPr="00984CBA">
        <w:rPr>
          <w:rFonts w:ascii="Times New Roman" w:hAnsi="Times New Roman" w:cs="Times New Roman"/>
          <w:sz w:val="24"/>
          <w:szCs w:val="24"/>
        </w:rPr>
        <w:t>A.Leeuwenberg</w:t>
      </w:r>
      <w:proofErr w:type="spellEnd"/>
      <w:r w:rsidRPr="00984CBA">
        <w:rPr>
          <w:rFonts w:ascii="Times New Roman" w:hAnsi="Times New Roman" w:cs="Times New Roman"/>
          <w:sz w:val="24"/>
          <w:szCs w:val="24"/>
        </w:rPr>
        <w:t xml:space="preserve">, </w:t>
      </w:r>
      <w:proofErr w:type="spellStart"/>
      <w:r w:rsidRPr="00984CBA">
        <w:rPr>
          <w:rFonts w:ascii="Times New Roman" w:hAnsi="Times New Roman" w:cs="Times New Roman"/>
          <w:sz w:val="24"/>
          <w:szCs w:val="24"/>
        </w:rPr>
        <w:t>R.Crabtree</w:t>
      </w:r>
      <w:proofErr w:type="spellEnd"/>
      <w:r w:rsidRPr="00984CBA">
        <w:rPr>
          <w:rFonts w:ascii="Times New Roman" w:hAnsi="Times New Roman" w:cs="Times New Roman"/>
          <w:sz w:val="24"/>
          <w:szCs w:val="24"/>
        </w:rPr>
        <w:t xml:space="preserve"> &amp; </w:t>
      </w:r>
      <w:proofErr w:type="spellStart"/>
      <w:r w:rsidRPr="00984CBA">
        <w:rPr>
          <w:rFonts w:ascii="Times New Roman" w:hAnsi="Times New Roman" w:cs="Times New Roman"/>
          <w:sz w:val="24"/>
          <w:szCs w:val="24"/>
        </w:rPr>
        <w:t>P.B.Hutchings</w:t>
      </w:r>
      <w:proofErr w:type="spellEnd"/>
      <w:r w:rsidRPr="00984CBA">
        <w:rPr>
          <w:rFonts w:ascii="Times New Roman" w:hAnsi="Times New Roman" w:cs="Times New Roman"/>
          <w:sz w:val="24"/>
          <w:szCs w:val="24"/>
        </w:rPr>
        <w:t>. (2017). Necessary but not sufficient? Engaging young people in the development of an avatar</w:t>
      </w:r>
      <w:r w:rsidRPr="00984CBA">
        <w:rPr>
          <w:rFonts w:ascii="Times New Roman" w:eastAsia="Cambria Math" w:hAnsi="Times New Roman" w:cs="Times New Roman"/>
          <w:sz w:val="24"/>
          <w:szCs w:val="24"/>
        </w:rPr>
        <w:t>‐</w:t>
      </w:r>
      <w:r w:rsidRPr="00984CBA">
        <w:rPr>
          <w:rFonts w:ascii="Times New Roman" w:hAnsi="Times New Roman" w:cs="Times New Roman"/>
          <w:sz w:val="24"/>
          <w:szCs w:val="24"/>
        </w:rPr>
        <w:t>based online intervention designed to provide psychosocial support to young people affected by their own or a family member's cancer diagnosis. (Health Expectations 20, no. 3), (pp. 459-470).</w:t>
      </w:r>
    </w:p>
    <w:p w14:paraId="607C1623" w14:textId="77777777" w:rsidR="00AF5978" w:rsidRPr="00984CBA" w:rsidRDefault="00AF5978" w:rsidP="00984CBA">
      <w:pPr>
        <w:spacing w:after="10" w:line="480" w:lineRule="auto"/>
        <w:ind w:left="345"/>
        <w:jc w:val="center"/>
        <w:rPr>
          <w:rFonts w:ascii="Times New Roman" w:hAnsi="Times New Roman" w:cs="Times New Roman"/>
          <w:sz w:val="24"/>
          <w:szCs w:val="24"/>
        </w:rPr>
      </w:pPr>
    </w:p>
    <w:p w14:paraId="136A2B3D" w14:textId="77777777" w:rsidR="00AF5978" w:rsidRPr="00984CBA" w:rsidRDefault="00AF5978" w:rsidP="00984CBA">
      <w:pPr>
        <w:spacing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t>Davey, G. C. (2014). Psychopathology: Research, Assessment and Treatment in Clinical Psychology (BPS Textbooks in Psychology) (2nd ed.). Oxford, Blackwell.</w:t>
      </w:r>
    </w:p>
    <w:p w14:paraId="6B097390" w14:textId="77777777" w:rsidR="00AF5978" w:rsidRPr="00984CBA" w:rsidRDefault="00AF5978" w:rsidP="00984CBA">
      <w:pPr>
        <w:spacing w:after="177" w:line="480" w:lineRule="auto"/>
        <w:ind w:left="60"/>
        <w:jc w:val="center"/>
        <w:rPr>
          <w:rFonts w:ascii="Times New Roman" w:hAnsi="Times New Roman" w:cs="Times New Roman"/>
          <w:sz w:val="24"/>
          <w:szCs w:val="24"/>
        </w:rPr>
      </w:pPr>
    </w:p>
    <w:p w14:paraId="64A34230" w14:textId="77777777" w:rsidR="00AF5978" w:rsidRPr="00984CBA" w:rsidRDefault="00AF5978" w:rsidP="00984CBA">
      <w:pPr>
        <w:spacing w:line="480" w:lineRule="auto"/>
        <w:ind w:left="345"/>
        <w:jc w:val="center"/>
        <w:rPr>
          <w:rFonts w:ascii="Times New Roman" w:hAnsi="Times New Roman" w:cs="Times New Roman"/>
          <w:sz w:val="24"/>
          <w:szCs w:val="24"/>
        </w:rPr>
      </w:pPr>
      <w:proofErr w:type="spellStart"/>
      <w:r w:rsidRPr="00984CBA">
        <w:rPr>
          <w:rFonts w:ascii="Times New Roman" w:hAnsi="Times New Roman" w:cs="Times New Roman"/>
          <w:sz w:val="24"/>
          <w:szCs w:val="24"/>
        </w:rPr>
        <w:t>Geekie</w:t>
      </w:r>
      <w:proofErr w:type="spellEnd"/>
      <w:r w:rsidRPr="00984CBA">
        <w:rPr>
          <w:rFonts w:ascii="Times New Roman" w:hAnsi="Times New Roman" w:cs="Times New Roman"/>
          <w:sz w:val="24"/>
          <w:szCs w:val="24"/>
        </w:rPr>
        <w:t>, J., &amp; Read, J. (2009). Making Sense of Madness. Taylor &amp; Francis. https://doi.org/10.4324/9780203878422</w:t>
      </w:r>
    </w:p>
    <w:p w14:paraId="662F1469" w14:textId="77777777" w:rsidR="00AF5978" w:rsidRPr="00984CBA" w:rsidRDefault="00AF5978" w:rsidP="00984CBA">
      <w:pPr>
        <w:spacing w:after="180" w:line="480" w:lineRule="auto"/>
        <w:ind w:left="60"/>
        <w:jc w:val="center"/>
        <w:rPr>
          <w:rFonts w:ascii="Times New Roman" w:hAnsi="Times New Roman" w:cs="Times New Roman"/>
          <w:sz w:val="24"/>
          <w:szCs w:val="24"/>
        </w:rPr>
      </w:pPr>
      <w:proofErr w:type="spellStart"/>
      <w:r w:rsidRPr="00984CBA">
        <w:rPr>
          <w:rFonts w:ascii="Times New Roman" w:hAnsi="Times New Roman" w:cs="Times New Roman"/>
          <w:sz w:val="24"/>
          <w:szCs w:val="24"/>
        </w:rPr>
        <w:t>Vartanian</w:t>
      </w:r>
      <w:proofErr w:type="spellEnd"/>
      <w:r w:rsidRPr="00984CBA">
        <w:rPr>
          <w:rFonts w:ascii="Times New Roman" w:hAnsi="Times New Roman" w:cs="Times New Roman"/>
          <w:sz w:val="24"/>
          <w:szCs w:val="24"/>
        </w:rPr>
        <w:t xml:space="preserve">, L. R., Trewartha, T., &amp; </w:t>
      </w:r>
      <w:proofErr w:type="spellStart"/>
      <w:r w:rsidRPr="00984CBA">
        <w:rPr>
          <w:rFonts w:ascii="Times New Roman" w:hAnsi="Times New Roman" w:cs="Times New Roman"/>
          <w:sz w:val="24"/>
          <w:szCs w:val="24"/>
        </w:rPr>
        <w:t>Vanman</w:t>
      </w:r>
      <w:proofErr w:type="spellEnd"/>
      <w:r w:rsidRPr="00984CBA">
        <w:rPr>
          <w:rFonts w:ascii="Times New Roman" w:hAnsi="Times New Roman" w:cs="Times New Roman"/>
          <w:sz w:val="24"/>
          <w:szCs w:val="24"/>
        </w:rPr>
        <w:t>, E. J. (2016). Disgust predicts prejudice and discrimination toward individuals with obesity. Journal of Applied Social Psychology, 46(6), 369–375. https://doi.org/10.1111/jasp.12370</w:t>
      </w:r>
    </w:p>
    <w:p w14:paraId="372EEC58" w14:textId="77777777" w:rsidR="00AF5978" w:rsidRPr="00984CBA" w:rsidRDefault="00AF5978" w:rsidP="00984CBA">
      <w:pPr>
        <w:spacing w:after="9"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t xml:space="preserve">Williamson, H., Hamlet, C., White, P., Marques, E. M. R., Cadogan, J., </w:t>
      </w:r>
      <w:proofErr w:type="spellStart"/>
      <w:r w:rsidRPr="00984CBA">
        <w:rPr>
          <w:rFonts w:ascii="Times New Roman" w:hAnsi="Times New Roman" w:cs="Times New Roman"/>
          <w:sz w:val="24"/>
          <w:szCs w:val="24"/>
        </w:rPr>
        <w:t>Perera</w:t>
      </w:r>
      <w:proofErr w:type="spellEnd"/>
      <w:r w:rsidRPr="00984CBA">
        <w:rPr>
          <w:rFonts w:ascii="Times New Roman" w:hAnsi="Times New Roman" w:cs="Times New Roman"/>
          <w:sz w:val="24"/>
          <w:szCs w:val="24"/>
        </w:rPr>
        <w:t>, R., Rumsey, N., Hayward, L., &amp; Harcourt, D. (2016). Study protocol of the YP Face IT feasibility study: comparing an online psychosocial intervention versus treatment as usual for adolescents distressed by appearance-altering conditions/injuries. BMJ Open, 6(10), e012423. https://doi.org/10.1136/bmjopen-2016-012423</w:t>
      </w:r>
    </w:p>
    <w:p w14:paraId="1E2DAA89" w14:textId="77777777" w:rsidR="00AF5978" w:rsidRPr="00984CBA" w:rsidRDefault="00AF5978" w:rsidP="00984CBA">
      <w:pPr>
        <w:spacing w:after="180" w:line="480" w:lineRule="auto"/>
        <w:ind w:left="60"/>
        <w:jc w:val="center"/>
        <w:rPr>
          <w:rFonts w:ascii="Times New Roman" w:hAnsi="Times New Roman" w:cs="Times New Roman"/>
          <w:sz w:val="24"/>
          <w:szCs w:val="24"/>
        </w:rPr>
      </w:pPr>
    </w:p>
    <w:p w14:paraId="58F416F2" w14:textId="77777777" w:rsidR="00AF5978" w:rsidRPr="00984CBA" w:rsidRDefault="00AF5978" w:rsidP="00984CBA">
      <w:pPr>
        <w:spacing w:after="180" w:line="480" w:lineRule="auto"/>
        <w:ind w:left="60"/>
        <w:jc w:val="center"/>
        <w:rPr>
          <w:rFonts w:ascii="Times New Roman" w:hAnsi="Times New Roman" w:cs="Times New Roman"/>
          <w:sz w:val="24"/>
          <w:szCs w:val="24"/>
        </w:rPr>
      </w:pPr>
      <w:r w:rsidRPr="00984CBA">
        <w:rPr>
          <w:rFonts w:ascii="Times New Roman" w:hAnsi="Times New Roman" w:cs="Times New Roman"/>
          <w:sz w:val="24"/>
          <w:szCs w:val="24"/>
        </w:rPr>
        <w:t xml:space="preserve">Young, E. (2017). Women Know Better What Other Women Think and Feel: Gender Effects on Mindreading across the Adult Life Span. Frontiers in Psychology, 8, </w:t>
      </w:r>
      <w:hyperlink r:id="rId13" w:history="1">
        <w:r w:rsidRPr="00984CBA">
          <w:rPr>
            <w:rStyle w:val="Hyperlink"/>
            <w:rFonts w:ascii="Times New Roman" w:hAnsi="Times New Roman" w:cs="Times New Roman"/>
            <w:sz w:val="24"/>
            <w:szCs w:val="24"/>
          </w:rPr>
          <w:t>https://digest.bps.org.uk/2017/09/18/women-know-better-than-men-what-other-women-are-thinking-and-feeling/</w:t>
        </w:r>
      </w:hyperlink>
    </w:p>
    <w:p w14:paraId="27211F34" w14:textId="77777777" w:rsidR="00AF5978" w:rsidRPr="00984CBA" w:rsidRDefault="00AF5978" w:rsidP="00984CBA">
      <w:pPr>
        <w:spacing w:after="180" w:line="480" w:lineRule="auto"/>
        <w:ind w:left="60"/>
        <w:jc w:val="center"/>
        <w:rPr>
          <w:rFonts w:ascii="Times New Roman" w:hAnsi="Times New Roman" w:cs="Times New Roman"/>
          <w:sz w:val="24"/>
          <w:szCs w:val="24"/>
        </w:rPr>
      </w:pPr>
    </w:p>
    <w:p w14:paraId="3CB6C6D6" w14:textId="77777777" w:rsidR="00AF5978" w:rsidRPr="00984CBA" w:rsidRDefault="00AF5978" w:rsidP="00984CBA">
      <w:pPr>
        <w:spacing w:after="180" w:line="480" w:lineRule="auto"/>
        <w:ind w:left="60"/>
        <w:jc w:val="center"/>
        <w:rPr>
          <w:rFonts w:ascii="Times New Roman" w:hAnsi="Times New Roman" w:cs="Times New Roman"/>
          <w:sz w:val="24"/>
          <w:szCs w:val="24"/>
        </w:rPr>
      </w:pPr>
      <w:r w:rsidRPr="00984CBA">
        <w:rPr>
          <w:rFonts w:ascii="Times New Roman" w:hAnsi="Times New Roman" w:cs="Times New Roman"/>
          <w:sz w:val="24"/>
          <w:szCs w:val="24"/>
        </w:rPr>
        <w:t xml:space="preserve">Voigt, D. C., Dillard, J. P., Braddock, K. H., Anderson, J. W., </w:t>
      </w:r>
      <w:proofErr w:type="spellStart"/>
      <w:r w:rsidRPr="00984CBA">
        <w:rPr>
          <w:rFonts w:ascii="Times New Roman" w:hAnsi="Times New Roman" w:cs="Times New Roman"/>
          <w:sz w:val="24"/>
          <w:szCs w:val="24"/>
        </w:rPr>
        <w:t>Sopory</w:t>
      </w:r>
      <w:proofErr w:type="spellEnd"/>
      <w:r w:rsidRPr="00984CBA">
        <w:rPr>
          <w:rFonts w:ascii="Times New Roman" w:hAnsi="Times New Roman" w:cs="Times New Roman"/>
          <w:sz w:val="24"/>
          <w:szCs w:val="24"/>
        </w:rPr>
        <w:t xml:space="preserve">, P., &amp; Stephenson, M. T. (2009). Carver and white's (1994) BIS/BAS Scales and their relationship to risky health behaviours. Personality and Individual Differences, 47(2), 89–93. </w:t>
      </w:r>
      <w:hyperlink r:id="rId14" w:history="1">
        <w:r w:rsidRPr="00984CBA">
          <w:rPr>
            <w:rStyle w:val="Hyperlink"/>
            <w:rFonts w:ascii="Times New Roman" w:hAnsi="Times New Roman" w:cs="Times New Roman"/>
            <w:sz w:val="24"/>
            <w:szCs w:val="24"/>
          </w:rPr>
          <w:t>https://doi.org/10.1016/j.paid.2009.02.003</w:t>
        </w:r>
      </w:hyperlink>
    </w:p>
    <w:p w14:paraId="4AF6DB61" w14:textId="77777777" w:rsidR="00AF5978" w:rsidRPr="00984CBA" w:rsidRDefault="00AF5978" w:rsidP="00984CBA">
      <w:pPr>
        <w:spacing w:after="180" w:line="480" w:lineRule="auto"/>
        <w:ind w:left="60"/>
        <w:jc w:val="center"/>
        <w:rPr>
          <w:rFonts w:ascii="Times New Roman" w:hAnsi="Times New Roman" w:cs="Times New Roman"/>
          <w:sz w:val="24"/>
          <w:szCs w:val="24"/>
        </w:rPr>
      </w:pPr>
    </w:p>
    <w:p w14:paraId="7B4AF7B2" w14:textId="77777777" w:rsidR="00AF5978" w:rsidRPr="00984CBA" w:rsidRDefault="00AF5978" w:rsidP="00984CBA">
      <w:pPr>
        <w:spacing w:after="180" w:line="480" w:lineRule="auto"/>
        <w:ind w:left="60"/>
        <w:jc w:val="center"/>
        <w:rPr>
          <w:rFonts w:ascii="Times New Roman" w:hAnsi="Times New Roman" w:cs="Times New Roman"/>
          <w:sz w:val="24"/>
          <w:szCs w:val="24"/>
        </w:rPr>
      </w:pPr>
      <w:r w:rsidRPr="00984CBA">
        <w:rPr>
          <w:rFonts w:ascii="Times New Roman" w:hAnsi="Times New Roman" w:cs="Times New Roman"/>
          <w:sz w:val="24"/>
          <w:szCs w:val="24"/>
        </w:rPr>
        <w:t>Tarrier, N., Liversidge, T., &amp; Gregg, L. (2006). The acceptability and preference for the psychological treatment of PTSD. Behaviour research and therapy, 44(11), 1643-1656.</w:t>
      </w:r>
    </w:p>
    <w:p w14:paraId="060D513E" w14:textId="77777777" w:rsidR="00AF5978" w:rsidRPr="00984CBA" w:rsidRDefault="00AF5978" w:rsidP="00984CBA">
      <w:pPr>
        <w:spacing w:after="180" w:line="480" w:lineRule="auto"/>
        <w:ind w:left="60"/>
        <w:jc w:val="center"/>
        <w:rPr>
          <w:rFonts w:ascii="Times New Roman" w:hAnsi="Times New Roman" w:cs="Times New Roman"/>
          <w:sz w:val="24"/>
          <w:szCs w:val="24"/>
        </w:rPr>
      </w:pPr>
    </w:p>
    <w:p w14:paraId="47F26874" w14:textId="77777777" w:rsidR="00AF5978" w:rsidRPr="00984CBA" w:rsidRDefault="00AF5978" w:rsidP="00984CBA">
      <w:pPr>
        <w:spacing w:after="164" w:line="480" w:lineRule="auto"/>
        <w:ind w:left="60"/>
        <w:jc w:val="center"/>
        <w:rPr>
          <w:rFonts w:ascii="Times New Roman" w:hAnsi="Times New Roman" w:cs="Times New Roman"/>
          <w:sz w:val="24"/>
          <w:szCs w:val="24"/>
        </w:rPr>
      </w:pPr>
      <w:r w:rsidRPr="00984CBA">
        <w:rPr>
          <w:rFonts w:ascii="Times New Roman" w:hAnsi="Times New Roman" w:cs="Times New Roman"/>
          <w:sz w:val="24"/>
          <w:szCs w:val="24"/>
        </w:rPr>
        <w:t xml:space="preserve">Hill, E. M. (2015). The role of narcissism in health-risk and health-protective </w:t>
      </w:r>
      <w:proofErr w:type="spellStart"/>
      <w:r w:rsidRPr="00984CBA">
        <w:rPr>
          <w:rFonts w:ascii="Times New Roman" w:hAnsi="Times New Roman" w:cs="Times New Roman"/>
          <w:sz w:val="24"/>
          <w:szCs w:val="24"/>
        </w:rPr>
        <w:t>behaviors</w:t>
      </w:r>
      <w:proofErr w:type="spellEnd"/>
      <w:r w:rsidRPr="00984CBA">
        <w:rPr>
          <w:rFonts w:ascii="Times New Roman" w:hAnsi="Times New Roman" w:cs="Times New Roman"/>
          <w:sz w:val="24"/>
          <w:szCs w:val="24"/>
        </w:rPr>
        <w:t xml:space="preserve">. Journal of Health Psychology, 21(9), 1–12. </w:t>
      </w:r>
      <w:hyperlink r:id="rId15" w:history="1">
        <w:r w:rsidRPr="00984CBA">
          <w:rPr>
            <w:rStyle w:val="Hyperlink"/>
            <w:rFonts w:ascii="Times New Roman" w:hAnsi="Times New Roman" w:cs="Times New Roman"/>
            <w:sz w:val="24"/>
            <w:szCs w:val="24"/>
          </w:rPr>
          <w:t>https://doi.org/10.1177/1359105315569858</w:t>
        </w:r>
      </w:hyperlink>
    </w:p>
    <w:p w14:paraId="399DF512" w14:textId="77777777" w:rsidR="00AF5978" w:rsidRPr="00984CBA" w:rsidRDefault="00AF5978" w:rsidP="00984CBA">
      <w:pPr>
        <w:spacing w:after="164" w:line="480" w:lineRule="auto"/>
        <w:ind w:left="60"/>
        <w:jc w:val="center"/>
        <w:rPr>
          <w:rFonts w:ascii="Times New Roman" w:hAnsi="Times New Roman" w:cs="Times New Roman"/>
          <w:sz w:val="24"/>
          <w:szCs w:val="24"/>
        </w:rPr>
      </w:pPr>
    </w:p>
    <w:p w14:paraId="7BCF7F97" w14:textId="77777777" w:rsidR="00AF5978" w:rsidRPr="00984CBA" w:rsidRDefault="00AF5978" w:rsidP="00984CBA">
      <w:pPr>
        <w:spacing w:after="23"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t>Bennett, P. (2011). Abnormal and Clinical Psychology: An Introductory Textbook (3rd ed.). Open University Press.</w:t>
      </w:r>
    </w:p>
    <w:p w14:paraId="625EABB4" w14:textId="77777777" w:rsidR="00AF5978" w:rsidRPr="00984CBA" w:rsidRDefault="00AF5978" w:rsidP="00984CBA">
      <w:pPr>
        <w:spacing w:after="23" w:line="480" w:lineRule="auto"/>
        <w:ind w:left="345"/>
        <w:jc w:val="center"/>
        <w:rPr>
          <w:rFonts w:ascii="Times New Roman" w:hAnsi="Times New Roman" w:cs="Times New Roman"/>
          <w:sz w:val="24"/>
          <w:szCs w:val="24"/>
        </w:rPr>
      </w:pPr>
    </w:p>
    <w:p w14:paraId="64EE0F4D" w14:textId="77777777" w:rsidR="00AF5978" w:rsidRPr="00984CBA" w:rsidRDefault="00AF5978" w:rsidP="00984CBA">
      <w:pPr>
        <w:spacing w:after="10"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t xml:space="preserve">Van Hasselt, V. B., Romano, S. J., &amp; </w:t>
      </w:r>
      <w:proofErr w:type="spellStart"/>
      <w:r w:rsidRPr="00984CBA">
        <w:rPr>
          <w:rFonts w:ascii="Times New Roman" w:hAnsi="Times New Roman" w:cs="Times New Roman"/>
          <w:sz w:val="24"/>
          <w:szCs w:val="24"/>
        </w:rPr>
        <w:t>Vecchi</w:t>
      </w:r>
      <w:proofErr w:type="spellEnd"/>
      <w:r w:rsidRPr="00984CBA">
        <w:rPr>
          <w:rFonts w:ascii="Times New Roman" w:hAnsi="Times New Roman" w:cs="Times New Roman"/>
          <w:sz w:val="24"/>
          <w:szCs w:val="24"/>
        </w:rPr>
        <w:t xml:space="preserve">, G. M. (2008). Role Playing: Applications in Hostage and Crisis Negotiation Skills Training. </w:t>
      </w:r>
      <w:proofErr w:type="spellStart"/>
      <w:r w:rsidRPr="00984CBA">
        <w:rPr>
          <w:rFonts w:ascii="Times New Roman" w:hAnsi="Times New Roman" w:cs="Times New Roman"/>
          <w:sz w:val="24"/>
          <w:szCs w:val="24"/>
        </w:rPr>
        <w:t>Behavior</w:t>
      </w:r>
      <w:proofErr w:type="spellEnd"/>
      <w:r w:rsidRPr="00984CBA">
        <w:rPr>
          <w:rFonts w:ascii="Times New Roman" w:hAnsi="Times New Roman" w:cs="Times New Roman"/>
          <w:sz w:val="24"/>
          <w:szCs w:val="24"/>
        </w:rPr>
        <w:t xml:space="preserve"> Modification, 32(2), 248–263. https://doi.org/10.1177/0145445507308281</w:t>
      </w:r>
    </w:p>
    <w:p w14:paraId="1BCDE0EE" w14:textId="77777777" w:rsidR="00AF5978" w:rsidRPr="00984CBA" w:rsidRDefault="00AF5978" w:rsidP="00984CBA">
      <w:pPr>
        <w:spacing w:after="10" w:line="480" w:lineRule="auto"/>
        <w:ind w:left="345"/>
        <w:jc w:val="center"/>
        <w:rPr>
          <w:rFonts w:ascii="Times New Roman" w:hAnsi="Times New Roman" w:cs="Times New Roman"/>
          <w:sz w:val="24"/>
          <w:szCs w:val="24"/>
        </w:rPr>
      </w:pPr>
    </w:p>
    <w:p w14:paraId="443AC9C7" w14:textId="77777777" w:rsidR="00AF5978" w:rsidRPr="00984CBA" w:rsidRDefault="00AF5978" w:rsidP="00984CBA">
      <w:pPr>
        <w:spacing w:line="480" w:lineRule="auto"/>
        <w:ind w:left="345"/>
        <w:jc w:val="center"/>
        <w:rPr>
          <w:rFonts w:ascii="Times New Roman" w:hAnsi="Times New Roman" w:cs="Times New Roman"/>
          <w:sz w:val="24"/>
          <w:szCs w:val="24"/>
        </w:rPr>
      </w:pPr>
      <w:proofErr w:type="spellStart"/>
      <w:r w:rsidRPr="00984CBA">
        <w:rPr>
          <w:rFonts w:ascii="Times New Roman" w:hAnsi="Times New Roman" w:cs="Times New Roman"/>
          <w:sz w:val="24"/>
          <w:szCs w:val="24"/>
        </w:rPr>
        <w:t>Ulleberg</w:t>
      </w:r>
      <w:proofErr w:type="spellEnd"/>
      <w:r w:rsidRPr="00984CBA">
        <w:rPr>
          <w:rFonts w:ascii="Times New Roman" w:hAnsi="Times New Roman" w:cs="Times New Roman"/>
          <w:sz w:val="24"/>
          <w:szCs w:val="24"/>
        </w:rPr>
        <w:t xml:space="preserve">, P., &amp; </w:t>
      </w:r>
      <w:proofErr w:type="spellStart"/>
      <w:r w:rsidRPr="00984CBA">
        <w:rPr>
          <w:rFonts w:ascii="Times New Roman" w:hAnsi="Times New Roman" w:cs="Times New Roman"/>
          <w:sz w:val="24"/>
          <w:szCs w:val="24"/>
        </w:rPr>
        <w:t>Rundmo</w:t>
      </w:r>
      <w:proofErr w:type="spellEnd"/>
      <w:r w:rsidRPr="00984CBA">
        <w:rPr>
          <w:rFonts w:ascii="Times New Roman" w:hAnsi="Times New Roman" w:cs="Times New Roman"/>
          <w:sz w:val="24"/>
          <w:szCs w:val="24"/>
        </w:rPr>
        <w:t>, T. (2003). Personality, attitudes and risk perception as predictors of risky driving behaviour among young drivers. Safety Science, 41(5), 427–443. https://doi.org/10.1016/S0925-7535(01)00077-7</w:t>
      </w:r>
    </w:p>
    <w:p w14:paraId="1E5B9D6E" w14:textId="77777777" w:rsidR="00AF5978" w:rsidRPr="00984CBA" w:rsidRDefault="00AF5978" w:rsidP="00984CBA">
      <w:pPr>
        <w:spacing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lastRenderedPageBreak/>
        <w:t xml:space="preserve">Lauren </w:t>
      </w:r>
      <w:proofErr w:type="spellStart"/>
      <w:r w:rsidRPr="00984CBA">
        <w:rPr>
          <w:rFonts w:ascii="Times New Roman" w:hAnsi="Times New Roman" w:cs="Times New Roman"/>
          <w:sz w:val="24"/>
          <w:szCs w:val="24"/>
        </w:rPr>
        <w:t>Chakkalackal</w:t>
      </w:r>
      <w:proofErr w:type="spellEnd"/>
      <w:r w:rsidRPr="00984CBA">
        <w:rPr>
          <w:rFonts w:ascii="Times New Roman" w:hAnsi="Times New Roman" w:cs="Times New Roman"/>
          <w:sz w:val="24"/>
          <w:szCs w:val="24"/>
        </w:rPr>
        <w:t xml:space="preserve">, Aaron </w:t>
      </w:r>
      <w:proofErr w:type="spellStart"/>
      <w:r w:rsidRPr="00984CBA">
        <w:rPr>
          <w:rFonts w:ascii="Times New Roman" w:hAnsi="Times New Roman" w:cs="Times New Roman"/>
          <w:sz w:val="24"/>
          <w:szCs w:val="24"/>
        </w:rPr>
        <w:t>Kandola</w:t>
      </w:r>
      <w:proofErr w:type="spellEnd"/>
      <w:r w:rsidRPr="00984CBA">
        <w:rPr>
          <w:rFonts w:ascii="Times New Roman" w:hAnsi="Times New Roman" w:cs="Times New Roman"/>
          <w:sz w:val="24"/>
          <w:szCs w:val="24"/>
        </w:rPr>
        <w:t xml:space="preserve">, &amp; Derek Tracy. (2017). Computerised cognitive behavioural therapy. Mental Health Foundation. </w:t>
      </w:r>
      <w:hyperlink r:id="rId16">
        <w:r w:rsidRPr="00984CBA">
          <w:rPr>
            <w:rFonts w:ascii="Times New Roman" w:hAnsi="Times New Roman" w:cs="Times New Roman"/>
            <w:color w:val="0562C1"/>
            <w:sz w:val="24"/>
            <w:szCs w:val="24"/>
            <w:u w:val="single" w:color="0562C1"/>
          </w:rPr>
          <w:t>http://www.mentalhealth.org.uk/podcasts</w:t>
        </w:r>
      </w:hyperlink>
      <w:hyperlink r:id="rId17">
        <w:r w:rsidRPr="00984CBA">
          <w:rPr>
            <w:rFonts w:ascii="Times New Roman" w:hAnsi="Times New Roman" w:cs="Times New Roman"/>
            <w:color w:val="0562C1"/>
            <w:sz w:val="24"/>
            <w:szCs w:val="24"/>
            <w:u w:val="single" w:color="0562C1"/>
          </w:rPr>
          <w:t>and-videos/computerised-cognitivebehavioural-therapy</w:t>
        </w:r>
      </w:hyperlink>
      <w:hyperlink r:id="rId18">
        <w:r w:rsidRPr="00984CBA">
          <w:rPr>
            <w:rFonts w:ascii="Times New Roman" w:hAnsi="Times New Roman" w:cs="Times New Roman"/>
            <w:sz w:val="24"/>
            <w:szCs w:val="24"/>
          </w:rPr>
          <w:t xml:space="preserve"> </w:t>
        </w:r>
      </w:hyperlink>
    </w:p>
    <w:p w14:paraId="3BB33909" w14:textId="77777777" w:rsidR="00AF5978" w:rsidRPr="00984CBA" w:rsidRDefault="00AF5978" w:rsidP="00984CBA">
      <w:pPr>
        <w:spacing w:after="180" w:line="480" w:lineRule="auto"/>
        <w:ind w:left="60"/>
        <w:jc w:val="center"/>
        <w:rPr>
          <w:rFonts w:ascii="Times New Roman" w:hAnsi="Times New Roman" w:cs="Times New Roman"/>
          <w:sz w:val="24"/>
          <w:szCs w:val="24"/>
        </w:rPr>
      </w:pPr>
    </w:p>
    <w:p w14:paraId="659FF153" w14:textId="77777777" w:rsidR="00AF5978" w:rsidRPr="00984CBA" w:rsidRDefault="00AF5978" w:rsidP="00984CBA">
      <w:pPr>
        <w:spacing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t xml:space="preserve">Mohamed, S. (2011). Stigma and mental illness: are there cultural differences? (Publication no. 573771) [Doctoral dissertation, University of East Anglia]. </w:t>
      </w:r>
      <w:proofErr w:type="spellStart"/>
      <w:r w:rsidRPr="00984CBA">
        <w:rPr>
          <w:rFonts w:ascii="Times New Roman" w:hAnsi="Times New Roman" w:cs="Times New Roman"/>
          <w:sz w:val="24"/>
          <w:szCs w:val="24"/>
        </w:rPr>
        <w:t>EThOS</w:t>
      </w:r>
      <w:proofErr w:type="spellEnd"/>
      <w:r w:rsidRPr="00984CBA">
        <w:rPr>
          <w:rFonts w:ascii="Times New Roman" w:hAnsi="Times New Roman" w:cs="Times New Roman"/>
          <w:sz w:val="24"/>
          <w:szCs w:val="24"/>
        </w:rPr>
        <w:t xml:space="preserve">, </w:t>
      </w:r>
      <w:proofErr w:type="spellStart"/>
      <w:proofErr w:type="gramStart"/>
      <w:r w:rsidRPr="00984CBA">
        <w:rPr>
          <w:rFonts w:ascii="Times New Roman" w:hAnsi="Times New Roman" w:cs="Times New Roman"/>
          <w:sz w:val="24"/>
          <w:szCs w:val="24"/>
        </w:rPr>
        <w:t>uk.bl.ethos</w:t>
      </w:r>
      <w:proofErr w:type="spellEnd"/>
      <w:proofErr w:type="gramEnd"/>
    </w:p>
    <w:p w14:paraId="43F9DBF0" w14:textId="77777777" w:rsidR="00AF5978" w:rsidRPr="00984CBA" w:rsidRDefault="00AF5978" w:rsidP="00984CBA">
      <w:pPr>
        <w:spacing w:after="180" w:line="480" w:lineRule="auto"/>
        <w:ind w:left="60"/>
        <w:jc w:val="center"/>
        <w:rPr>
          <w:rFonts w:ascii="Times New Roman" w:hAnsi="Times New Roman" w:cs="Times New Roman"/>
          <w:sz w:val="24"/>
          <w:szCs w:val="24"/>
        </w:rPr>
      </w:pPr>
    </w:p>
    <w:p w14:paraId="63775768" w14:textId="77777777" w:rsidR="00AF5978" w:rsidRPr="00984CBA" w:rsidRDefault="00AF5978" w:rsidP="00984CBA">
      <w:pPr>
        <w:spacing w:line="480" w:lineRule="auto"/>
        <w:ind w:left="345"/>
        <w:jc w:val="center"/>
        <w:rPr>
          <w:rFonts w:ascii="Times New Roman" w:hAnsi="Times New Roman" w:cs="Times New Roman"/>
          <w:sz w:val="24"/>
          <w:szCs w:val="24"/>
        </w:rPr>
      </w:pPr>
      <w:r w:rsidRPr="00984CBA">
        <w:rPr>
          <w:rFonts w:ascii="Times New Roman" w:hAnsi="Times New Roman" w:cs="Times New Roman"/>
          <w:sz w:val="24"/>
          <w:szCs w:val="24"/>
        </w:rPr>
        <w:t xml:space="preserve">Welsh Government. (2015). Well-being of future generations (Wales) act. United Kingdom: The Office </w:t>
      </w:r>
      <w:proofErr w:type="gramStart"/>
      <w:r w:rsidRPr="00984CBA">
        <w:rPr>
          <w:rFonts w:ascii="Times New Roman" w:hAnsi="Times New Roman" w:cs="Times New Roman"/>
          <w:sz w:val="24"/>
          <w:szCs w:val="24"/>
        </w:rPr>
        <w:t>Stationary</w:t>
      </w:r>
      <w:proofErr w:type="gramEnd"/>
      <w:r w:rsidRPr="00984CBA">
        <w:rPr>
          <w:rFonts w:ascii="Times New Roman" w:hAnsi="Times New Roman" w:cs="Times New Roman"/>
          <w:sz w:val="24"/>
          <w:szCs w:val="24"/>
        </w:rPr>
        <w:t xml:space="preserve"> Limited. https://www.futuregenerations.wales/about-us/future-generations-act/</w:t>
      </w:r>
    </w:p>
    <w:p w14:paraId="779A3353" w14:textId="77777777" w:rsidR="00DC3139" w:rsidRPr="00984CBA" w:rsidRDefault="00DC3139" w:rsidP="00984CBA">
      <w:pPr>
        <w:spacing w:line="480" w:lineRule="auto"/>
        <w:rPr>
          <w:rFonts w:ascii="Times New Roman" w:hAnsi="Times New Roman" w:cs="Times New Roman"/>
          <w:sz w:val="24"/>
          <w:szCs w:val="24"/>
        </w:rPr>
      </w:pPr>
    </w:p>
    <w:sectPr w:rsidR="00DC3139" w:rsidRPr="00984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1B5954"/>
    <w:multiLevelType w:val="hybridMultilevel"/>
    <w:tmpl w:val="510CA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302"/>
    <w:rsid w:val="00003F9B"/>
    <w:rsid w:val="001F4C05"/>
    <w:rsid w:val="00240D6E"/>
    <w:rsid w:val="002D0404"/>
    <w:rsid w:val="002D6E7E"/>
    <w:rsid w:val="00477943"/>
    <w:rsid w:val="004A7078"/>
    <w:rsid w:val="004B367A"/>
    <w:rsid w:val="004C6462"/>
    <w:rsid w:val="00552B17"/>
    <w:rsid w:val="00556D81"/>
    <w:rsid w:val="0056110A"/>
    <w:rsid w:val="00572021"/>
    <w:rsid w:val="00581CCE"/>
    <w:rsid w:val="00596AA9"/>
    <w:rsid w:val="005A1D3D"/>
    <w:rsid w:val="005F2A25"/>
    <w:rsid w:val="0066140F"/>
    <w:rsid w:val="006631D1"/>
    <w:rsid w:val="00664368"/>
    <w:rsid w:val="00766E94"/>
    <w:rsid w:val="0077082D"/>
    <w:rsid w:val="00897CFF"/>
    <w:rsid w:val="008A50D9"/>
    <w:rsid w:val="00902302"/>
    <w:rsid w:val="00984CBA"/>
    <w:rsid w:val="00985C60"/>
    <w:rsid w:val="00AF5978"/>
    <w:rsid w:val="00B11E34"/>
    <w:rsid w:val="00B1796E"/>
    <w:rsid w:val="00C31271"/>
    <w:rsid w:val="00D4731D"/>
    <w:rsid w:val="00DC3139"/>
    <w:rsid w:val="00E11D49"/>
    <w:rsid w:val="00F46835"/>
    <w:rsid w:val="00F5452E"/>
    <w:rsid w:val="00F63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FFF85"/>
  <w15:chartTrackingRefBased/>
  <w15:docId w15:val="{6507BD78-028F-4198-930C-43B868DC6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50D9"/>
    <w:pPr>
      <w:ind w:left="720"/>
      <w:contextualSpacing/>
    </w:pPr>
  </w:style>
  <w:style w:type="character" w:styleId="Hyperlink">
    <w:name w:val="Hyperlink"/>
    <w:basedOn w:val="DefaultParagraphFont"/>
    <w:uiPriority w:val="99"/>
    <w:unhideWhenUsed/>
    <w:rsid w:val="00AF5978"/>
    <w:rPr>
      <w:color w:val="0563C1" w:themeColor="hyperlink"/>
      <w:u w:val="single"/>
    </w:rPr>
  </w:style>
  <w:style w:type="character" w:styleId="UnresolvedMention">
    <w:name w:val="Unresolved Mention"/>
    <w:basedOn w:val="DefaultParagraphFont"/>
    <w:uiPriority w:val="99"/>
    <w:semiHidden/>
    <w:unhideWhenUsed/>
    <w:rsid w:val="005A1D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71-6402.2007.00350.x" TargetMode="External"/><Relationship Id="rId13" Type="http://schemas.openxmlformats.org/officeDocument/2006/relationships/hyperlink" Target="https://digest.bps.org.uk/2017/09/18/women-know-better-than-men-what-other-women-are-thinking-and-feeling/" TargetMode="External"/><Relationship Id="rId18" Type="http://schemas.openxmlformats.org/officeDocument/2006/relationships/hyperlink" Target="http://www.mentalhealth.org.uk/podcasts-and-videos/computerised-cognitivebehavioural-therap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17" Type="http://schemas.openxmlformats.org/officeDocument/2006/relationships/hyperlink" Target="http://www.mentalhealth.org.uk/podcasts-and-videos/computerised-cognitivebehavioural-therapy" TargetMode="External"/><Relationship Id="rId2" Type="http://schemas.openxmlformats.org/officeDocument/2006/relationships/customXml" Target="../customXml/item2.xml"/><Relationship Id="rId16" Type="http://schemas.openxmlformats.org/officeDocument/2006/relationships/hyperlink" Target="http://www.mentalhealth.org.uk/podcasts-and-videos/computerised-cognitivebehavioural-therap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5" Type="http://schemas.openxmlformats.org/officeDocument/2006/relationships/styles" Target="styles.xml"/><Relationship Id="rId15" Type="http://schemas.openxmlformats.org/officeDocument/2006/relationships/hyperlink" Target="https://doi.org/10.1177/1359105315569858" TargetMode="External"/><Relationship Id="rId10"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14" Type="http://schemas.openxmlformats.org/officeDocument/2006/relationships/hyperlink" Target="https://doi.org/10.1016/j.paid.2009.0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B3C92B-98D6-4588-84E8-99095B8BDB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5844D1DA-DF41-4BF7-B103-323F91255AFC}">
  <ds:schemaRefs>
    <ds:schemaRef ds:uri="http://schemas.microsoft.com/sharepoint/v3/contenttype/forms"/>
  </ds:schemaRefs>
</ds:datastoreItem>
</file>

<file path=customXml/itemProps3.xml><?xml version="1.0" encoding="utf-8"?>
<ds:datastoreItem xmlns:ds="http://schemas.openxmlformats.org/officeDocument/2006/customXml" ds:itemID="{6C206A82-331A-4006-86D5-04E07AA8373B}">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1918</Words>
  <Characters>10939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Aitcheson</dc:creator>
  <cp:keywords/>
  <dc:description/>
  <cp:lastModifiedBy>Michael Aitcheson (1900858)</cp:lastModifiedBy>
  <cp:revision>2</cp:revision>
  <dcterms:created xsi:type="dcterms:W3CDTF">2020-10-30T23:32:00Z</dcterms:created>
  <dcterms:modified xsi:type="dcterms:W3CDTF">2020-10-30T23:32:00Z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