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4BA399" w14:textId="77777777" w:rsidR="00467A98" w:rsidRPr="001C04E0" w:rsidRDefault="00000000" w:rsidP="001C04E0">
      <w:pPr>
        <w:pStyle w:val="p1"/>
        <w:spacing w:line="360" w:lineRule="auto"/>
        <w:rPr>
          <w:rFonts w:ascii="Times New Roman" w:hAnsi="Times New Roman" w:cs="Times New Roman"/>
          <w:b/>
          <w:bCs/>
          <w:sz w:val="48"/>
          <w:szCs w:val="48"/>
          <w:lang w:val="en-GB"/>
        </w:rPr>
      </w:pPr>
      <w:r w:rsidRPr="001C04E0">
        <w:rPr>
          <w:rFonts w:ascii="Times New Roman" w:hAnsi="Times New Roman" w:cs="Times New Roman"/>
          <w:b/>
          <w:bCs/>
          <w:noProof/>
          <w:sz w:val="48"/>
          <w:szCs w:val="48"/>
          <w:lang w:val="en-GB"/>
        </w:rPr>
        <w:drawing>
          <wp:anchor distT="0" distB="0" distL="114300" distR="114300" simplePos="0" relativeHeight="251658240" behindDoc="0" locked="0" layoutInCell="1" allowOverlap="1" wp14:anchorId="0505746B" wp14:editId="3D4FEAD6">
            <wp:simplePos x="0" y="0"/>
            <wp:positionH relativeFrom="column">
              <wp:posOffset>1187557</wp:posOffset>
            </wp:positionH>
            <wp:positionV relativeFrom="paragraph">
              <wp:posOffset>179461</wp:posOffset>
            </wp:positionV>
            <wp:extent cx="3195955" cy="1160145"/>
            <wp:effectExtent l="0" t="0" r="4445" b="0"/>
            <wp:wrapTopAndBottom/>
            <wp:docPr id="557626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626010" name=""/>
                    <pic:cNvPicPr/>
                  </pic:nvPicPr>
                  <pic:blipFill>
                    <a:blip r:embed="rId8"/>
                    <a:stretch>
                      <a:fillRect/>
                    </a:stretch>
                  </pic:blipFill>
                  <pic:spPr>
                    <a:xfrm>
                      <a:off x="0" y="0"/>
                      <a:ext cx="3195955" cy="1160145"/>
                    </a:xfrm>
                    <a:prstGeom prst="rect">
                      <a:avLst/>
                    </a:prstGeom>
                  </pic:spPr>
                </pic:pic>
              </a:graphicData>
            </a:graphic>
            <wp14:sizeRelH relativeFrom="margin">
              <wp14:pctWidth>0</wp14:pctWidth>
            </wp14:sizeRelH>
            <wp14:sizeRelV relativeFrom="margin">
              <wp14:pctHeight>0</wp14:pctHeight>
            </wp14:sizeRelV>
          </wp:anchor>
        </w:drawing>
      </w:r>
    </w:p>
    <w:p w14:paraId="6CCFFF3E" w14:textId="77777777" w:rsidR="00467A98" w:rsidRPr="001C04E0" w:rsidRDefault="00467A98" w:rsidP="001C04E0">
      <w:pPr>
        <w:pStyle w:val="p1"/>
        <w:spacing w:line="360" w:lineRule="auto"/>
        <w:rPr>
          <w:rFonts w:ascii="Times New Roman" w:hAnsi="Times New Roman" w:cs="Times New Roman"/>
          <w:b/>
          <w:bCs/>
          <w:sz w:val="48"/>
          <w:szCs w:val="48"/>
          <w:lang w:val="en-GB"/>
        </w:rPr>
      </w:pPr>
    </w:p>
    <w:p w14:paraId="027FE57D" w14:textId="77777777" w:rsidR="00467A98" w:rsidRPr="001C04E0" w:rsidRDefault="00467A98" w:rsidP="001C04E0">
      <w:pPr>
        <w:pStyle w:val="p1"/>
        <w:spacing w:line="360" w:lineRule="auto"/>
        <w:jc w:val="center"/>
        <w:rPr>
          <w:rFonts w:ascii="Times New Roman" w:hAnsi="Times New Roman" w:cs="Times New Roman"/>
          <w:b/>
          <w:bCs/>
          <w:sz w:val="48"/>
          <w:szCs w:val="48"/>
          <w:lang w:val="en-GB"/>
        </w:rPr>
      </w:pPr>
    </w:p>
    <w:p w14:paraId="7F93988A" w14:textId="77777777" w:rsidR="00467A98" w:rsidRPr="001C04E0" w:rsidRDefault="00000000" w:rsidP="001C04E0">
      <w:pPr>
        <w:pStyle w:val="p1"/>
        <w:spacing w:line="360" w:lineRule="auto"/>
        <w:jc w:val="center"/>
        <w:rPr>
          <w:rFonts w:ascii="Times New Roman" w:hAnsi="Times New Roman" w:cs="Times New Roman"/>
          <w:sz w:val="48"/>
          <w:szCs w:val="48"/>
          <w:lang w:val="en-GB"/>
        </w:rPr>
      </w:pPr>
      <w:r w:rsidRPr="001C04E0">
        <w:rPr>
          <w:rFonts w:ascii="Times New Roman" w:hAnsi="Times New Roman" w:cs="Times New Roman"/>
          <w:b/>
          <w:bCs/>
          <w:sz w:val="48"/>
          <w:szCs w:val="48"/>
          <w:lang w:val="en-GB"/>
        </w:rPr>
        <w:t>BA International Hotel Management</w:t>
      </w:r>
    </w:p>
    <w:p w14:paraId="5C4FE5D0" w14:textId="77777777" w:rsidR="00467A98" w:rsidRPr="001C04E0" w:rsidRDefault="00000000" w:rsidP="001C04E0">
      <w:pPr>
        <w:pStyle w:val="p2"/>
        <w:spacing w:line="360" w:lineRule="auto"/>
        <w:jc w:val="center"/>
        <w:rPr>
          <w:rFonts w:ascii="Times New Roman" w:hAnsi="Times New Roman" w:cs="Times New Roman"/>
          <w:sz w:val="48"/>
          <w:szCs w:val="48"/>
          <w:lang w:val="en-GB"/>
        </w:rPr>
      </w:pPr>
      <w:r w:rsidRPr="001C04E0">
        <w:rPr>
          <w:rFonts w:ascii="Times New Roman" w:hAnsi="Times New Roman" w:cs="Times New Roman"/>
          <w:b/>
          <w:bCs/>
          <w:sz w:val="48"/>
          <w:szCs w:val="48"/>
          <w:lang w:val="en-GB"/>
        </w:rPr>
        <w:t>Hotel Placement Research Project</w:t>
      </w:r>
    </w:p>
    <w:p w14:paraId="00303AE7" w14:textId="77777777" w:rsidR="00467A98" w:rsidRPr="001C04E0" w:rsidRDefault="00000000" w:rsidP="001C04E0">
      <w:pPr>
        <w:pStyle w:val="p2"/>
        <w:spacing w:line="360" w:lineRule="auto"/>
        <w:jc w:val="center"/>
        <w:rPr>
          <w:rFonts w:ascii="Times New Roman" w:hAnsi="Times New Roman" w:cs="Times New Roman"/>
          <w:sz w:val="48"/>
          <w:szCs w:val="48"/>
          <w:lang w:val="en-GB"/>
        </w:rPr>
      </w:pPr>
      <w:r w:rsidRPr="001C04E0">
        <w:rPr>
          <w:rFonts w:ascii="Times New Roman" w:hAnsi="Times New Roman" w:cs="Times New Roman"/>
          <w:b/>
          <w:bCs/>
          <w:sz w:val="48"/>
          <w:szCs w:val="48"/>
          <w:lang w:val="en-GB"/>
        </w:rPr>
        <w:t>BMIH6008</w:t>
      </w:r>
    </w:p>
    <w:p w14:paraId="55505754" w14:textId="77777777" w:rsidR="00467A98" w:rsidRPr="001C04E0" w:rsidRDefault="00467A98" w:rsidP="001C04E0">
      <w:pPr>
        <w:rPr>
          <w:rFonts w:cs="Times New Roman"/>
          <w:b/>
          <w:bCs/>
        </w:rPr>
      </w:pPr>
    </w:p>
    <w:p w14:paraId="06332031" w14:textId="77777777" w:rsidR="00467A98" w:rsidRPr="001C04E0" w:rsidRDefault="00467A98" w:rsidP="001C04E0">
      <w:pPr>
        <w:rPr>
          <w:rFonts w:cs="Times New Roman"/>
          <w:b/>
          <w:bCs/>
        </w:rPr>
      </w:pPr>
    </w:p>
    <w:p w14:paraId="72669E29" w14:textId="77777777" w:rsidR="002722B4" w:rsidRPr="001C04E0" w:rsidRDefault="00000000" w:rsidP="001C04E0">
      <w:pPr>
        <w:jc w:val="center"/>
        <w:rPr>
          <w:rFonts w:cs="Times New Roman"/>
          <w:b/>
          <w:bCs/>
          <w:i/>
          <w:iCs/>
        </w:rPr>
      </w:pPr>
      <w:r w:rsidRPr="001C04E0">
        <w:rPr>
          <w:rFonts w:cs="Times New Roman"/>
          <w:b/>
          <w:bCs/>
          <w:i/>
          <w:iCs/>
          <w:sz w:val="36"/>
          <w:szCs w:val="40"/>
        </w:rPr>
        <w:t>“</w:t>
      </w:r>
      <w:r w:rsidR="008077C0" w:rsidRPr="001C04E0">
        <w:rPr>
          <w:rFonts w:cs="Times New Roman"/>
          <w:b/>
          <w:bCs/>
          <w:i/>
          <w:iCs/>
          <w:sz w:val="36"/>
          <w:szCs w:val="40"/>
        </w:rPr>
        <w:t>Enhancing Guest Service Efficiency during Peak Hours: A Case Study of IBIS Red – Barking</w:t>
      </w:r>
      <w:r w:rsidRPr="001C04E0">
        <w:rPr>
          <w:rFonts w:cs="Times New Roman"/>
          <w:b/>
          <w:bCs/>
          <w:i/>
          <w:iCs/>
        </w:rPr>
        <w:t>”</w:t>
      </w:r>
    </w:p>
    <w:p w14:paraId="65CE8B18" w14:textId="77777777" w:rsidR="00467A98" w:rsidRPr="001C04E0" w:rsidRDefault="00467A98" w:rsidP="001C04E0">
      <w:pPr>
        <w:jc w:val="center"/>
        <w:rPr>
          <w:rFonts w:cs="Times New Roman"/>
          <w:b/>
          <w:bCs/>
          <w:i/>
          <w:iCs/>
        </w:rPr>
      </w:pPr>
    </w:p>
    <w:p w14:paraId="3FBB0FD4" w14:textId="77777777" w:rsidR="00467A98" w:rsidRPr="001C04E0" w:rsidRDefault="00467A98" w:rsidP="001C04E0">
      <w:pPr>
        <w:jc w:val="center"/>
        <w:rPr>
          <w:rFonts w:cs="Times New Roman"/>
          <w:b/>
          <w:bCs/>
          <w:i/>
          <w:iCs/>
        </w:rPr>
      </w:pPr>
    </w:p>
    <w:p w14:paraId="065B1861" w14:textId="77777777" w:rsidR="00467A98" w:rsidRPr="001C04E0" w:rsidRDefault="00467A98" w:rsidP="001C04E0">
      <w:pPr>
        <w:jc w:val="center"/>
        <w:rPr>
          <w:rFonts w:cs="Times New Roman"/>
          <w:b/>
          <w:bCs/>
          <w:i/>
          <w:iCs/>
        </w:rPr>
      </w:pPr>
    </w:p>
    <w:p w14:paraId="6FC2E4FA" w14:textId="77777777" w:rsidR="00467A98" w:rsidRPr="001C04E0" w:rsidRDefault="00467A98" w:rsidP="001C04E0">
      <w:pPr>
        <w:jc w:val="center"/>
        <w:rPr>
          <w:rFonts w:cs="Times New Roman"/>
          <w:b/>
          <w:bCs/>
          <w:i/>
          <w:iCs/>
        </w:rPr>
      </w:pPr>
    </w:p>
    <w:p w14:paraId="22D73D50" w14:textId="77777777" w:rsidR="00467A98" w:rsidRPr="001C04E0" w:rsidRDefault="00467A98" w:rsidP="001C04E0">
      <w:pPr>
        <w:rPr>
          <w:rFonts w:cs="Times New Roman"/>
          <w:b/>
          <w:bCs/>
          <w:i/>
          <w:iCs/>
        </w:rPr>
      </w:pPr>
    </w:p>
    <w:p w14:paraId="3657EE85" w14:textId="77777777" w:rsidR="00467A98" w:rsidRPr="001C04E0" w:rsidRDefault="00467A98" w:rsidP="001C04E0">
      <w:pPr>
        <w:jc w:val="center"/>
        <w:rPr>
          <w:rFonts w:cs="Times New Roman"/>
          <w:b/>
          <w:bCs/>
          <w:i/>
          <w:iCs/>
        </w:rPr>
      </w:pPr>
    </w:p>
    <w:p w14:paraId="66663097" w14:textId="77777777" w:rsidR="00467A98" w:rsidRPr="001C04E0" w:rsidRDefault="00467A98" w:rsidP="001C04E0">
      <w:pPr>
        <w:jc w:val="center"/>
        <w:rPr>
          <w:rFonts w:cs="Times New Roman"/>
          <w:b/>
          <w:bCs/>
          <w:i/>
          <w:iCs/>
        </w:rPr>
      </w:pPr>
    </w:p>
    <w:p w14:paraId="79630D9C" w14:textId="726AAC5B" w:rsidR="00467A98" w:rsidRPr="00C936B5" w:rsidRDefault="00000000" w:rsidP="00C936B5">
      <w:pPr>
        <w:rPr>
          <w:rFonts w:cs="Times New Roman"/>
          <w:lang w:val="nl-NL"/>
        </w:rPr>
      </w:pPr>
      <w:r w:rsidRPr="00C936B5">
        <w:rPr>
          <w:rFonts w:cs="Times New Roman"/>
          <w:lang w:val="nl-NL"/>
        </w:rPr>
        <w:t>Student Name:</w:t>
      </w:r>
      <w:r w:rsidR="00C936B5" w:rsidRPr="00C936B5">
        <w:rPr>
          <w:rFonts w:cs="Times New Roman"/>
          <w:lang w:val="nl-NL"/>
        </w:rPr>
        <w:t xml:space="preserve"> Buddhini We</w:t>
      </w:r>
      <w:r w:rsidR="00C936B5">
        <w:rPr>
          <w:rFonts w:cs="Times New Roman"/>
          <w:lang w:val="nl-NL"/>
        </w:rPr>
        <w:t>welwala</w:t>
      </w:r>
    </w:p>
    <w:p w14:paraId="680E0411" w14:textId="28063C7B" w:rsidR="00467A98" w:rsidRPr="00C936B5" w:rsidRDefault="00000000" w:rsidP="00C936B5">
      <w:pPr>
        <w:tabs>
          <w:tab w:val="center" w:pos="4513"/>
        </w:tabs>
        <w:rPr>
          <w:rFonts w:cs="Times New Roman"/>
          <w:lang w:val="nl-NL"/>
        </w:rPr>
      </w:pPr>
      <w:r w:rsidRPr="00C936B5">
        <w:rPr>
          <w:rFonts w:cs="Times New Roman"/>
          <w:lang w:val="nl-NL"/>
        </w:rPr>
        <w:t>ID:</w:t>
      </w:r>
      <w:r w:rsidR="00C936B5" w:rsidRPr="00C936B5">
        <w:rPr>
          <w:rFonts w:cs="Times New Roman"/>
          <w:lang w:val="nl-NL"/>
        </w:rPr>
        <w:t xml:space="preserve"> </w:t>
      </w:r>
      <w:r w:rsidR="00C936B5" w:rsidRPr="00C936B5">
        <w:rPr>
          <w:rFonts w:cs="Times New Roman"/>
          <w:lang w:val="nl-NL"/>
        </w:rPr>
        <w:t>2226454</w:t>
      </w:r>
    </w:p>
    <w:p w14:paraId="7CBEFDAD" w14:textId="77777777" w:rsidR="00467A98" w:rsidRPr="00C936B5" w:rsidRDefault="00467A98" w:rsidP="001C04E0">
      <w:pPr>
        <w:jc w:val="center"/>
        <w:rPr>
          <w:rFonts w:cs="Times New Roman"/>
          <w:lang w:val="nl-NL"/>
        </w:rPr>
      </w:pPr>
    </w:p>
    <w:p w14:paraId="4616DF91" w14:textId="77777777" w:rsidR="002722B4" w:rsidRPr="00C936B5" w:rsidRDefault="002722B4" w:rsidP="001C04E0">
      <w:pPr>
        <w:rPr>
          <w:rFonts w:cs="Times New Roman"/>
          <w:lang w:val="nl-NL"/>
        </w:rPr>
      </w:pPr>
    </w:p>
    <w:p w14:paraId="768B921E" w14:textId="77777777" w:rsidR="002722B4" w:rsidRPr="001C04E0" w:rsidRDefault="00000000" w:rsidP="001C04E0">
      <w:pPr>
        <w:rPr>
          <w:rFonts w:cs="Times New Roman"/>
          <w:b/>
          <w:bCs/>
          <w:color w:val="2F5496" w:themeColor="accent1" w:themeShade="BF"/>
          <w:sz w:val="32"/>
          <w:szCs w:val="36"/>
        </w:rPr>
      </w:pPr>
      <w:r w:rsidRPr="001C04E0">
        <w:rPr>
          <w:rFonts w:cs="Times New Roman"/>
          <w:b/>
          <w:bCs/>
          <w:color w:val="2F5496" w:themeColor="accent1" w:themeShade="BF"/>
          <w:sz w:val="32"/>
          <w:szCs w:val="36"/>
        </w:rPr>
        <w:lastRenderedPageBreak/>
        <w:t>Acknowledgements</w:t>
      </w:r>
    </w:p>
    <w:p w14:paraId="63717DEF" w14:textId="77777777" w:rsidR="002722B4" w:rsidRPr="001C04E0" w:rsidRDefault="00000000" w:rsidP="001C04E0">
      <w:pPr>
        <w:rPr>
          <w:rFonts w:cs="Times New Roman"/>
        </w:rPr>
      </w:pPr>
      <w:r w:rsidRPr="001C04E0">
        <w:rPr>
          <w:rFonts w:cs="Times New Roman"/>
        </w:rPr>
        <w:t>I would like to express my sincere gratitude to my project supervisor for his guidance, constructive feedback and encouragement throughout the research process. My thanks also go to the management and staff of Ibis London Barking (IBIS Red – Barking) for permitting the placement experience and for sharing practical insights that informed this study, in particular, the kitchen and front-desk teams, whose day-to-day knowledge identified the operational issues examined here.</w:t>
      </w:r>
    </w:p>
    <w:p w14:paraId="13F92F8A" w14:textId="77777777" w:rsidR="002722B4" w:rsidRPr="001C04E0" w:rsidRDefault="00000000" w:rsidP="001C04E0">
      <w:pPr>
        <w:rPr>
          <w:rFonts w:cs="Times New Roman"/>
        </w:rPr>
      </w:pPr>
      <w:r w:rsidRPr="001C04E0">
        <w:rPr>
          <w:rFonts w:cs="Times New Roman"/>
        </w:rPr>
        <w:t>I am grateful to my family for their patience and moral support during the placement and writing period, and to my colleagues and peers who provided practical suggestions and review comments. Finally, I acknowledge the teaching staff and module leaders of the Hotel Placement Research Project (BMIH6008) for their instruction and the research methods workshops that aided the development of this project.</w:t>
      </w:r>
    </w:p>
    <w:p w14:paraId="59A18252" w14:textId="77777777" w:rsidR="002722B4" w:rsidRPr="001C04E0" w:rsidRDefault="00000000" w:rsidP="001C04E0">
      <w:pPr>
        <w:rPr>
          <w:rFonts w:cs="Times New Roman"/>
        </w:rPr>
      </w:pPr>
      <w:r w:rsidRPr="001C04E0">
        <w:rPr>
          <w:rFonts w:cs="Times New Roman"/>
        </w:rPr>
        <w:br w:type="page"/>
      </w:r>
    </w:p>
    <w:p w14:paraId="24115EAE" w14:textId="77777777" w:rsidR="002722B4" w:rsidRPr="001C04E0" w:rsidRDefault="00000000" w:rsidP="001C04E0">
      <w:pPr>
        <w:rPr>
          <w:rFonts w:cs="Times New Roman"/>
          <w:b/>
          <w:bCs/>
          <w:color w:val="2F5496" w:themeColor="accent1" w:themeShade="BF"/>
          <w:sz w:val="32"/>
          <w:szCs w:val="36"/>
        </w:rPr>
      </w:pPr>
      <w:r w:rsidRPr="001C04E0">
        <w:rPr>
          <w:rFonts w:cs="Times New Roman"/>
          <w:b/>
          <w:bCs/>
          <w:color w:val="2F5496" w:themeColor="accent1" w:themeShade="BF"/>
          <w:sz w:val="32"/>
          <w:szCs w:val="36"/>
        </w:rPr>
        <w:lastRenderedPageBreak/>
        <w:t>Abstract:</w:t>
      </w:r>
    </w:p>
    <w:p w14:paraId="4969F959" w14:textId="77777777" w:rsidR="002722B4" w:rsidRPr="001C04E0" w:rsidRDefault="00000000" w:rsidP="001C04E0">
      <w:pPr>
        <w:rPr>
          <w:rFonts w:cs="Times New Roman"/>
        </w:rPr>
      </w:pPr>
      <w:r w:rsidRPr="001C04E0">
        <w:rPr>
          <w:rFonts w:cs="Times New Roman"/>
        </w:rPr>
        <w:t>This Placement Research Project investigates how guest service efficiency during peak periods</w:t>
      </w:r>
      <w:r w:rsidR="00ED2ABE" w:rsidRPr="001C04E0">
        <w:rPr>
          <w:rFonts w:cs="Times New Roman"/>
        </w:rPr>
        <w:t xml:space="preserve">, </w:t>
      </w:r>
      <w:r w:rsidRPr="001C04E0">
        <w:rPr>
          <w:rFonts w:cs="Times New Roman"/>
        </w:rPr>
        <w:t xml:space="preserve">with emphasis on breakfast service, can be enhanced at IBIS London Barking (referred to in the study as </w:t>
      </w:r>
      <w:r w:rsidRPr="001C04E0">
        <w:rPr>
          <w:rFonts w:cs="Times New Roman"/>
          <w:b/>
          <w:bCs/>
        </w:rPr>
        <w:t>IBIS Red – Barking</w:t>
      </w:r>
      <w:r w:rsidRPr="001C04E0">
        <w:rPr>
          <w:rFonts w:cs="Times New Roman"/>
        </w:rPr>
        <w:t>). The study responds to practitioner observations made during the author’s placement in both kitchen and front-desk roles, which identified recurrent bottlenecks: understaffing during breakfast peaks, ad-hoc table allocation and rotation, and communication failures between front-of-house (FOH) and kitchen teams. Using a qualitative, desk-based case-study approach, the research synthesises contemporary academic literature and industry practice reports to diagnose failure modes and to propose practicable operational and technological interventions appropriate for a mid-scale Accor property.</w:t>
      </w:r>
    </w:p>
    <w:p w14:paraId="018FB7C2" w14:textId="77777777" w:rsidR="002722B4" w:rsidRPr="001C04E0" w:rsidRDefault="00000000" w:rsidP="001C04E0">
      <w:pPr>
        <w:rPr>
          <w:rFonts w:cs="Times New Roman"/>
        </w:rPr>
      </w:pPr>
      <w:r w:rsidRPr="001C04E0">
        <w:rPr>
          <w:rFonts w:cs="Times New Roman"/>
        </w:rPr>
        <w:t xml:space="preserve">Methodologically, the project applies secondary research and thematic analysis to map recurring problems and to evaluate candidate solutions. The approach prioritises recent, industry-relevant sources (2015–2025) and uses thematic coding to translate literature and practitioner case studies into implementable recommendations for IBIS Barking. </w:t>
      </w:r>
    </w:p>
    <w:p w14:paraId="01893A96" w14:textId="77777777" w:rsidR="002722B4" w:rsidRPr="001C04E0" w:rsidRDefault="00000000" w:rsidP="001C04E0">
      <w:pPr>
        <w:rPr>
          <w:rFonts w:cs="Times New Roman"/>
        </w:rPr>
      </w:pPr>
      <w:r w:rsidRPr="001C04E0">
        <w:rPr>
          <w:rFonts w:cs="Times New Roman"/>
        </w:rPr>
        <w:t>Key findings indicate that IBIS Barking’s peak-hour inefficiencies are multi-causal. First, labour fragility and sub-optimal rostering in mid-scale operations leave little slack to absorb morning arrival surges, producing longer table turnover and slower service recovery. Second, FOH–kitchen coordination is disrupted by legacy practices (paper dockets, verbal ad-hoc signalling), causing sequencing errors and delays. Third, inadequate queue management and the absence of simple demand-smoothing mechanisms create perceptual dissatisfaction that is amplified through online guest reviews and reputation channels. Industry trend reports underscore that guest expectations for speed and convenience are increasing, and that digital adoption (mobile ordering, app pre-selection) is a major lever for smoothing peaks if implemented in a user-friendly way (Booking.com, 2023; Accenture, 2022). Macro-level analyses also highlight labour-market and policy pressures that constrain mid-scale operators’ hiring flexibility, reinforcing the need for low-capex operational remedies and targeted digital tools (OECD, 2024).</w:t>
      </w:r>
    </w:p>
    <w:p w14:paraId="08994D4F" w14:textId="77777777" w:rsidR="002722B4" w:rsidRPr="001C04E0" w:rsidRDefault="00000000" w:rsidP="001C04E0">
      <w:pPr>
        <w:rPr>
          <w:rFonts w:cs="Times New Roman"/>
        </w:rPr>
      </w:pPr>
      <w:r w:rsidRPr="001C04E0">
        <w:rPr>
          <w:rFonts w:cs="Times New Roman"/>
        </w:rPr>
        <w:t xml:space="preserve">From these findings, the study derives a staged set of recommendations. Immediate low-cost actions include breakfast-room zoning and a visible host role to manage seating and perceived wait times, standardised mise-en-place and quick-turn assembly points to shorten plate lead-times, and focused pre-shift briefings to align FOH and kitchen teams. Medium-term measures include the implementation of predictive rostering and shift forecasting to match labour to demand and short pilots of digital waitlist tools. Longer-term technology recommendations </w:t>
      </w:r>
      <w:r w:rsidRPr="001C04E0">
        <w:rPr>
          <w:rFonts w:cs="Times New Roman"/>
        </w:rPr>
        <w:lastRenderedPageBreak/>
        <w:t>include a phased trial of POS–KDS integration and light in-app or QR pre-order functionality (time-slot or simple package choices) to stagger demand and increase order accuracy. All recommended steps are accompanied by short pilots, explicit KPIs (average wait, covers per hour, breakfast satisfaction score) and a change-management programme to secure staff buy-in.</w:t>
      </w:r>
    </w:p>
    <w:p w14:paraId="7C37933E" w14:textId="77777777" w:rsidR="002722B4" w:rsidRPr="001C04E0" w:rsidRDefault="00000000" w:rsidP="001C04E0">
      <w:pPr>
        <w:rPr>
          <w:rFonts w:cs="Times New Roman"/>
        </w:rPr>
      </w:pPr>
      <w:r w:rsidRPr="001C04E0">
        <w:rPr>
          <w:rFonts w:cs="Times New Roman"/>
        </w:rPr>
        <w:t>The implications extend beyond the single case: for Accor mid-scale operations and similar hotel groups, the evidence suggests that modest, well-sequenced interventions combining lean process improvements, pragmatic scheduling tools and selective digital features can materially improve throughput and guest satisfaction without prohibitive capital cost. Crucially, technology should be framed as an enabler within a socio-technical change programme rather than a stand-alone cure. The study concludes by recommending field-based pilots and mixed-method follow-up studies to quantify impacts and refine scalable roll-out strategies.</w:t>
      </w:r>
    </w:p>
    <w:p w14:paraId="7B18A448" w14:textId="77777777" w:rsidR="002722B4" w:rsidRPr="001C04E0" w:rsidRDefault="002722B4" w:rsidP="001C04E0">
      <w:pPr>
        <w:rPr>
          <w:rFonts w:cs="Times New Roman"/>
        </w:rPr>
      </w:pPr>
    </w:p>
    <w:p w14:paraId="7B636181" w14:textId="77777777" w:rsidR="002722B4" w:rsidRPr="001C04E0" w:rsidRDefault="00000000" w:rsidP="001C04E0">
      <w:pPr>
        <w:rPr>
          <w:rFonts w:eastAsiaTheme="majorEastAsia" w:cs="Times New Roman"/>
          <w:b/>
          <w:color w:val="2F5496" w:themeColor="accent1" w:themeShade="BF"/>
          <w:sz w:val="32"/>
          <w:szCs w:val="40"/>
        </w:rPr>
      </w:pPr>
      <w:r w:rsidRPr="001C04E0">
        <w:rPr>
          <w:rFonts w:cs="Times New Roman"/>
        </w:rPr>
        <w:br w:type="page"/>
      </w:r>
    </w:p>
    <w:sdt>
      <w:sdtPr>
        <w:rPr>
          <w:rFonts w:ascii="Times New Roman" w:eastAsiaTheme="minorHAnsi" w:hAnsi="Times New Roman" w:cs="Times New Roman"/>
          <w:b w:val="0"/>
          <w:bCs w:val="0"/>
          <w:color w:val="auto"/>
          <w:kern w:val="2"/>
          <w:sz w:val="24"/>
          <w:szCs w:val="30"/>
          <w:lang w:val="en-GB" w:bidi="bn-IN"/>
          <w14:ligatures w14:val="standardContextual"/>
        </w:rPr>
        <w:id w:val="-914320930"/>
        <w:docPartObj>
          <w:docPartGallery w:val="Table of Contents"/>
          <w:docPartUnique/>
        </w:docPartObj>
      </w:sdtPr>
      <w:sdtEndPr>
        <w:rPr>
          <w:noProof/>
        </w:rPr>
      </w:sdtEndPr>
      <w:sdtContent>
        <w:p w14:paraId="2EA07BBD" w14:textId="77777777" w:rsidR="00ED2ABE" w:rsidRPr="001C04E0" w:rsidRDefault="00000000" w:rsidP="001C04E0">
          <w:pPr>
            <w:pStyle w:val="TOCHeading"/>
            <w:spacing w:line="360" w:lineRule="auto"/>
            <w:jc w:val="center"/>
            <w:rPr>
              <w:rFonts w:ascii="Times New Roman" w:hAnsi="Times New Roman" w:cs="Times New Roman"/>
              <w:lang w:val="en-GB"/>
            </w:rPr>
          </w:pPr>
          <w:r w:rsidRPr="001C04E0">
            <w:rPr>
              <w:rFonts w:ascii="Times New Roman" w:hAnsi="Times New Roman" w:cs="Times New Roman"/>
              <w:lang w:val="en-GB"/>
            </w:rPr>
            <w:t>Table of Contents</w:t>
          </w:r>
        </w:p>
        <w:p w14:paraId="5DB7CE76" w14:textId="77777777" w:rsidR="001C04E0" w:rsidRPr="001C04E0" w:rsidRDefault="00000000" w:rsidP="001C04E0">
          <w:pPr>
            <w:pStyle w:val="TOC1"/>
            <w:tabs>
              <w:tab w:val="right" w:leader="dot" w:pos="9016"/>
            </w:tabs>
            <w:rPr>
              <w:rFonts w:ascii="Times New Roman" w:eastAsiaTheme="minorEastAsia" w:hAnsi="Times New Roman" w:cs="Times New Roman"/>
              <w:b w:val="0"/>
              <w:bCs w:val="0"/>
              <w:caps w:val="0"/>
              <w:noProof/>
              <w:sz w:val="24"/>
              <w:szCs w:val="30"/>
              <w:lang w:eastAsia="en-GB"/>
            </w:rPr>
          </w:pPr>
          <w:r w:rsidRPr="001C04E0">
            <w:rPr>
              <w:rFonts w:ascii="Times New Roman" w:hAnsi="Times New Roman" w:cs="Times New Roman"/>
              <w:b w:val="0"/>
              <w:bCs w:val="0"/>
            </w:rPr>
            <w:fldChar w:fldCharType="begin"/>
          </w:r>
          <w:r w:rsidRPr="001C04E0">
            <w:rPr>
              <w:rFonts w:ascii="Times New Roman" w:hAnsi="Times New Roman" w:cs="Times New Roman"/>
            </w:rPr>
            <w:instrText xml:space="preserve"> TOC \o "1-3" \h \z \u </w:instrText>
          </w:r>
          <w:r w:rsidRPr="001C04E0">
            <w:rPr>
              <w:rFonts w:ascii="Times New Roman" w:hAnsi="Times New Roman" w:cs="Times New Roman"/>
              <w:b w:val="0"/>
              <w:bCs w:val="0"/>
            </w:rPr>
            <w:fldChar w:fldCharType="separate"/>
          </w:r>
          <w:hyperlink w:anchor="_Toc211337865" w:history="1">
            <w:r w:rsidR="001C04E0" w:rsidRPr="001C04E0">
              <w:rPr>
                <w:rStyle w:val="Hyperlink"/>
                <w:rFonts w:ascii="Times New Roman" w:hAnsi="Times New Roman" w:cs="Times New Roman"/>
                <w:noProof/>
              </w:rPr>
              <w:t>Chapter 1: Introduction</w:t>
            </w:r>
            <w:r w:rsidR="001C04E0" w:rsidRPr="001C04E0">
              <w:rPr>
                <w:rFonts w:ascii="Times New Roman" w:hAnsi="Times New Roman" w:cs="Times New Roman"/>
                <w:noProof/>
                <w:webHidden/>
              </w:rPr>
              <w:tab/>
            </w:r>
            <w:r w:rsidR="001C04E0" w:rsidRPr="001C04E0">
              <w:rPr>
                <w:rFonts w:ascii="Times New Roman" w:hAnsi="Times New Roman" w:cs="Times New Roman"/>
                <w:noProof/>
                <w:webHidden/>
              </w:rPr>
              <w:fldChar w:fldCharType="begin"/>
            </w:r>
            <w:r w:rsidR="001C04E0" w:rsidRPr="001C04E0">
              <w:rPr>
                <w:rFonts w:ascii="Times New Roman" w:hAnsi="Times New Roman" w:cs="Times New Roman"/>
                <w:noProof/>
                <w:webHidden/>
              </w:rPr>
              <w:instrText xml:space="preserve"> PAGEREF _Toc211337865 \h </w:instrText>
            </w:r>
            <w:r w:rsidR="001C04E0" w:rsidRPr="001C04E0">
              <w:rPr>
                <w:rFonts w:ascii="Times New Roman" w:hAnsi="Times New Roman" w:cs="Times New Roman"/>
                <w:noProof/>
                <w:webHidden/>
              </w:rPr>
            </w:r>
            <w:r w:rsidR="001C04E0" w:rsidRPr="001C04E0">
              <w:rPr>
                <w:rFonts w:ascii="Times New Roman" w:hAnsi="Times New Roman" w:cs="Times New Roman"/>
                <w:noProof/>
                <w:webHidden/>
              </w:rPr>
              <w:fldChar w:fldCharType="separate"/>
            </w:r>
            <w:r w:rsidR="001C04E0">
              <w:rPr>
                <w:rFonts w:ascii="Times New Roman" w:hAnsi="Times New Roman" w:cs="Times New Roman"/>
                <w:noProof/>
                <w:webHidden/>
              </w:rPr>
              <w:t>7</w:t>
            </w:r>
            <w:r w:rsidR="001C04E0" w:rsidRPr="001C04E0">
              <w:rPr>
                <w:rFonts w:ascii="Times New Roman" w:hAnsi="Times New Roman" w:cs="Times New Roman"/>
                <w:noProof/>
                <w:webHidden/>
              </w:rPr>
              <w:fldChar w:fldCharType="end"/>
            </w:r>
          </w:hyperlink>
        </w:p>
        <w:p w14:paraId="6F7865AC" w14:textId="77777777" w:rsidR="001C04E0" w:rsidRPr="001C04E0" w:rsidRDefault="001C04E0" w:rsidP="001C04E0">
          <w:pPr>
            <w:pStyle w:val="TOC1"/>
            <w:tabs>
              <w:tab w:val="right" w:leader="dot" w:pos="9016"/>
            </w:tabs>
            <w:rPr>
              <w:rFonts w:ascii="Times New Roman" w:eastAsiaTheme="minorEastAsia" w:hAnsi="Times New Roman" w:cs="Times New Roman"/>
              <w:b w:val="0"/>
              <w:bCs w:val="0"/>
              <w:caps w:val="0"/>
              <w:noProof/>
              <w:sz w:val="24"/>
              <w:szCs w:val="30"/>
              <w:lang w:eastAsia="en-GB"/>
            </w:rPr>
          </w:pPr>
          <w:hyperlink w:anchor="_Toc211337866" w:history="1">
            <w:r w:rsidRPr="001C04E0">
              <w:rPr>
                <w:rStyle w:val="Hyperlink"/>
                <w:rFonts w:ascii="Times New Roman" w:hAnsi="Times New Roman" w:cs="Times New Roman"/>
                <w:noProof/>
              </w:rPr>
              <w:t>Chapter 2: Literature Review</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_Toc211337866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8</w:t>
            </w:r>
            <w:r w:rsidRPr="001C04E0">
              <w:rPr>
                <w:rFonts w:ascii="Times New Roman" w:hAnsi="Times New Roman" w:cs="Times New Roman"/>
                <w:noProof/>
                <w:webHidden/>
              </w:rPr>
              <w:fldChar w:fldCharType="end"/>
            </w:r>
          </w:hyperlink>
        </w:p>
        <w:p w14:paraId="78E16B65" w14:textId="77777777" w:rsidR="001C04E0" w:rsidRPr="001C04E0" w:rsidRDefault="001C04E0" w:rsidP="001C04E0">
          <w:pPr>
            <w:pStyle w:val="TOC2"/>
            <w:tabs>
              <w:tab w:val="right" w:leader="dot" w:pos="9016"/>
            </w:tabs>
            <w:rPr>
              <w:rFonts w:ascii="Times New Roman" w:eastAsiaTheme="minorEastAsia" w:hAnsi="Times New Roman" w:cs="Times New Roman"/>
              <w:smallCaps w:val="0"/>
              <w:noProof/>
              <w:sz w:val="24"/>
              <w:szCs w:val="30"/>
              <w:lang w:eastAsia="en-GB"/>
            </w:rPr>
          </w:pPr>
          <w:hyperlink w:anchor="_Toc211337867" w:history="1">
            <w:r w:rsidRPr="001C04E0">
              <w:rPr>
                <w:rStyle w:val="Hyperlink"/>
                <w:rFonts w:ascii="Times New Roman" w:hAnsi="Times New Roman" w:cs="Times New Roman"/>
                <w:noProof/>
              </w:rPr>
              <w:t>Service Quality and Guest Experience in Hospitality:</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_Toc211337867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8</w:t>
            </w:r>
            <w:r w:rsidRPr="001C04E0">
              <w:rPr>
                <w:rFonts w:ascii="Times New Roman" w:hAnsi="Times New Roman" w:cs="Times New Roman"/>
                <w:noProof/>
                <w:webHidden/>
              </w:rPr>
              <w:fldChar w:fldCharType="end"/>
            </w:r>
          </w:hyperlink>
        </w:p>
        <w:p w14:paraId="7AE201E4" w14:textId="77777777" w:rsidR="001C04E0" w:rsidRPr="001C04E0" w:rsidRDefault="001C04E0" w:rsidP="001C04E0">
          <w:pPr>
            <w:pStyle w:val="TOC2"/>
            <w:tabs>
              <w:tab w:val="right" w:leader="dot" w:pos="9016"/>
            </w:tabs>
            <w:rPr>
              <w:rFonts w:ascii="Times New Roman" w:eastAsiaTheme="minorEastAsia" w:hAnsi="Times New Roman" w:cs="Times New Roman"/>
              <w:smallCaps w:val="0"/>
              <w:noProof/>
              <w:sz w:val="24"/>
              <w:szCs w:val="30"/>
              <w:lang w:eastAsia="en-GB"/>
            </w:rPr>
          </w:pPr>
          <w:hyperlink w:anchor="_Toc211337868" w:history="1">
            <w:r w:rsidRPr="001C04E0">
              <w:rPr>
                <w:rStyle w:val="Hyperlink"/>
                <w:rFonts w:ascii="Times New Roman" w:hAnsi="Times New Roman" w:cs="Times New Roman"/>
                <w:noProof/>
              </w:rPr>
              <w:t>Operational Efficiency in Hotels: Process Optimisation and Workflow Design</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_Toc211337868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9</w:t>
            </w:r>
            <w:r w:rsidRPr="001C04E0">
              <w:rPr>
                <w:rFonts w:ascii="Times New Roman" w:hAnsi="Times New Roman" w:cs="Times New Roman"/>
                <w:noProof/>
                <w:webHidden/>
              </w:rPr>
              <w:fldChar w:fldCharType="end"/>
            </w:r>
          </w:hyperlink>
        </w:p>
        <w:p w14:paraId="4B6F7FF0" w14:textId="77777777" w:rsidR="001C04E0" w:rsidRPr="001C04E0" w:rsidRDefault="001C04E0" w:rsidP="001C04E0">
          <w:pPr>
            <w:pStyle w:val="TOC2"/>
            <w:tabs>
              <w:tab w:val="right" w:leader="dot" w:pos="9016"/>
            </w:tabs>
            <w:rPr>
              <w:rFonts w:ascii="Times New Roman" w:eastAsiaTheme="minorEastAsia" w:hAnsi="Times New Roman" w:cs="Times New Roman"/>
              <w:smallCaps w:val="0"/>
              <w:noProof/>
              <w:sz w:val="24"/>
              <w:szCs w:val="30"/>
              <w:lang w:eastAsia="en-GB"/>
            </w:rPr>
          </w:pPr>
          <w:hyperlink w:anchor="_Toc211337869" w:history="1">
            <w:r w:rsidRPr="001C04E0">
              <w:rPr>
                <w:rStyle w:val="Hyperlink"/>
                <w:rFonts w:ascii="Times New Roman" w:hAnsi="Times New Roman" w:cs="Times New Roman"/>
                <w:noProof/>
              </w:rPr>
              <w:t>Technology in Enhancing Service Efficiency:</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_Toc211337869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10</w:t>
            </w:r>
            <w:r w:rsidRPr="001C04E0">
              <w:rPr>
                <w:rFonts w:ascii="Times New Roman" w:hAnsi="Times New Roman" w:cs="Times New Roman"/>
                <w:noProof/>
                <w:webHidden/>
              </w:rPr>
              <w:fldChar w:fldCharType="end"/>
            </w:r>
          </w:hyperlink>
        </w:p>
        <w:p w14:paraId="0F8BFAA0" w14:textId="77777777" w:rsidR="001C04E0" w:rsidRPr="001C04E0" w:rsidRDefault="001C04E0" w:rsidP="001C04E0">
          <w:pPr>
            <w:pStyle w:val="TOC2"/>
            <w:tabs>
              <w:tab w:val="right" w:leader="dot" w:pos="9016"/>
            </w:tabs>
            <w:rPr>
              <w:rFonts w:ascii="Times New Roman" w:eastAsiaTheme="minorEastAsia" w:hAnsi="Times New Roman" w:cs="Times New Roman"/>
              <w:smallCaps w:val="0"/>
              <w:noProof/>
              <w:sz w:val="24"/>
              <w:szCs w:val="30"/>
              <w:lang w:eastAsia="en-GB"/>
            </w:rPr>
          </w:pPr>
          <w:hyperlink w:anchor="_Toc211337870" w:history="1">
            <w:r w:rsidRPr="001C04E0">
              <w:rPr>
                <w:rStyle w:val="Hyperlink"/>
                <w:rFonts w:ascii="Times New Roman" w:hAnsi="Times New Roman" w:cs="Times New Roman"/>
                <w:noProof/>
              </w:rPr>
              <w:t>Human Factors and Communication Challenges:</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_Toc211337870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10</w:t>
            </w:r>
            <w:r w:rsidRPr="001C04E0">
              <w:rPr>
                <w:rFonts w:ascii="Times New Roman" w:hAnsi="Times New Roman" w:cs="Times New Roman"/>
                <w:noProof/>
                <w:webHidden/>
              </w:rPr>
              <w:fldChar w:fldCharType="end"/>
            </w:r>
          </w:hyperlink>
        </w:p>
        <w:p w14:paraId="081A76D6" w14:textId="77777777" w:rsidR="001C04E0" w:rsidRPr="001C04E0" w:rsidRDefault="001C04E0" w:rsidP="001C04E0">
          <w:pPr>
            <w:pStyle w:val="TOC2"/>
            <w:tabs>
              <w:tab w:val="right" w:leader="dot" w:pos="9016"/>
            </w:tabs>
            <w:rPr>
              <w:rFonts w:ascii="Times New Roman" w:eastAsiaTheme="minorEastAsia" w:hAnsi="Times New Roman" w:cs="Times New Roman"/>
              <w:smallCaps w:val="0"/>
              <w:noProof/>
              <w:sz w:val="24"/>
              <w:szCs w:val="30"/>
              <w:lang w:eastAsia="en-GB"/>
            </w:rPr>
          </w:pPr>
          <w:hyperlink w:anchor="_Toc211337871" w:history="1">
            <w:r w:rsidRPr="001C04E0">
              <w:rPr>
                <w:rStyle w:val="Hyperlink"/>
                <w:rFonts w:ascii="Times New Roman" w:hAnsi="Times New Roman" w:cs="Times New Roman"/>
                <w:noProof/>
              </w:rPr>
              <w:t>Theoretical and Conceptual Models:</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_Toc211337871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11</w:t>
            </w:r>
            <w:r w:rsidRPr="001C04E0">
              <w:rPr>
                <w:rFonts w:ascii="Times New Roman" w:hAnsi="Times New Roman" w:cs="Times New Roman"/>
                <w:noProof/>
                <w:webHidden/>
              </w:rPr>
              <w:fldChar w:fldCharType="end"/>
            </w:r>
          </w:hyperlink>
        </w:p>
        <w:p w14:paraId="7A4DB7BF" w14:textId="77777777" w:rsidR="001C04E0" w:rsidRPr="001C04E0" w:rsidRDefault="001C04E0" w:rsidP="001C04E0">
          <w:pPr>
            <w:pStyle w:val="TOC2"/>
            <w:tabs>
              <w:tab w:val="right" w:leader="dot" w:pos="9016"/>
            </w:tabs>
            <w:rPr>
              <w:rFonts w:ascii="Times New Roman" w:eastAsiaTheme="minorEastAsia" w:hAnsi="Times New Roman" w:cs="Times New Roman"/>
              <w:smallCaps w:val="0"/>
              <w:noProof/>
              <w:sz w:val="24"/>
              <w:szCs w:val="30"/>
              <w:lang w:eastAsia="en-GB"/>
            </w:rPr>
          </w:pPr>
          <w:hyperlink w:anchor="_Toc211337872" w:history="1">
            <w:r w:rsidRPr="001C04E0">
              <w:rPr>
                <w:rStyle w:val="Hyperlink"/>
                <w:rFonts w:ascii="Times New Roman" w:hAnsi="Times New Roman" w:cs="Times New Roman"/>
                <w:noProof/>
              </w:rPr>
              <w:t>Synthesis and Implications for IBIS London Barking:</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_Toc211337872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11</w:t>
            </w:r>
            <w:r w:rsidRPr="001C04E0">
              <w:rPr>
                <w:rFonts w:ascii="Times New Roman" w:hAnsi="Times New Roman" w:cs="Times New Roman"/>
                <w:noProof/>
                <w:webHidden/>
              </w:rPr>
              <w:fldChar w:fldCharType="end"/>
            </w:r>
          </w:hyperlink>
        </w:p>
        <w:p w14:paraId="128F0995" w14:textId="77777777" w:rsidR="001C04E0" w:rsidRPr="001C04E0" w:rsidRDefault="001C04E0" w:rsidP="001C04E0">
          <w:pPr>
            <w:pStyle w:val="TOC1"/>
            <w:tabs>
              <w:tab w:val="right" w:leader="dot" w:pos="9016"/>
            </w:tabs>
            <w:rPr>
              <w:rFonts w:ascii="Times New Roman" w:eastAsiaTheme="minorEastAsia" w:hAnsi="Times New Roman" w:cs="Times New Roman"/>
              <w:b w:val="0"/>
              <w:bCs w:val="0"/>
              <w:caps w:val="0"/>
              <w:noProof/>
              <w:sz w:val="24"/>
              <w:szCs w:val="30"/>
              <w:lang w:eastAsia="en-GB"/>
            </w:rPr>
          </w:pPr>
          <w:hyperlink w:anchor="_Toc211337873" w:history="1">
            <w:r w:rsidRPr="001C04E0">
              <w:rPr>
                <w:rStyle w:val="Hyperlink"/>
                <w:rFonts w:ascii="Times New Roman" w:hAnsi="Times New Roman" w:cs="Times New Roman"/>
                <w:noProof/>
              </w:rPr>
              <w:t>Chapter 3: Methodology</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_Toc211337873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12</w:t>
            </w:r>
            <w:r w:rsidRPr="001C04E0">
              <w:rPr>
                <w:rFonts w:ascii="Times New Roman" w:hAnsi="Times New Roman" w:cs="Times New Roman"/>
                <w:noProof/>
                <w:webHidden/>
              </w:rPr>
              <w:fldChar w:fldCharType="end"/>
            </w:r>
          </w:hyperlink>
        </w:p>
        <w:p w14:paraId="146F61E3" w14:textId="77777777" w:rsidR="001C04E0" w:rsidRPr="001C04E0" w:rsidRDefault="001C04E0" w:rsidP="001C04E0">
          <w:pPr>
            <w:pStyle w:val="TOC2"/>
            <w:tabs>
              <w:tab w:val="right" w:leader="dot" w:pos="9016"/>
            </w:tabs>
            <w:rPr>
              <w:rFonts w:ascii="Times New Roman" w:eastAsiaTheme="minorEastAsia" w:hAnsi="Times New Roman" w:cs="Times New Roman"/>
              <w:smallCaps w:val="0"/>
              <w:noProof/>
              <w:sz w:val="24"/>
              <w:szCs w:val="30"/>
              <w:lang w:eastAsia="en-GB"/>
            </w:rPr>
          </w:pPr>
          <w:hyperlink w:anchor="_Toc211337874" w:history="1">
            <w:r w:rsidRPr="001C04E0">
              <w:rPr>
                <w:rStyle w:val="Hyperlink"/>
                <w:rFonts w:ascii="Times New Roman" w:hAnsi="Times New Roman" w:cs="Times New Roman"/>
                <w:noProof/>
              </w:rPr>
              <w:t>Research Approach:</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_Toc211337874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12</w:t>
            </w:r>
            <w:r w:rsidRPr="001C04E0">
              <w:rPr>
                <w:rFonts w:ascii="Times New Roman" w:hAnsi="Times New Roman" w:cs="Times New Roman"/>
                <w:noProof/>
                <w:webHidden/>
              </w:rPr>
              <w:fldChar w:fldCharType="end"/>
            </w:r>
          </w:hyperlink>
        </w:p>
        <w:p w14:paraId="100B0341" w14:textId="77777777" w:rsidR="001C04E0" w:rsidRPr="001C04E0" w:rsidRDefault="001C04E0" w:rsidP="001C04E0">
          <w:pPr>
            <w:pStyle w:val="TOC2"/>
            <w:tabs>
              <w:tab w:val="right" w:leader="dot" w:pos="9016"/>
            </w:tabs>
            <w:rPr>
              <w:rFonts w:ascii="Times New Roman" w:eastAsiaTheme="minorEastAsia" w:hAnsi="Times New Roman" w:cs="Times New Roman"/>
              <w:smallCaps w:val="0"/>
              <w:noProof/>
              <w:sz w:val="24"/>
              <w:szCs w:val="30"/>
              <w:lang w:eastAsia="en-GB"/>
            </w:rPr>
          </w:pPr>
          <w:hyperlink w:anchor="_Toc211337875" w:history="1">
            <w:r w:rsidRPr="001C04E0">
              <w:rPr>
                <w:rStyle w:val="Hyperlink"/>
                <w:rFonts w:ascii="Times New Roman" w:hAnsi="Times New Roman" w:cs="Times New Roman"/>
                <w:noProof/>
              </w:rPr>
              <w:t>Case-Study Methodology: Justification for IBIS London Barking</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_Toc211337875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12</w:t>
            </w:r>
            <w:r w:rsidRPr="001C04E0">
              <w:rPr>
                <w:rFonts w:ascii="Times New Roman" w:hAnsi="Times New Roman" w:cs="Times New Roman"/>
                <w:noProof/>
                <w:webHidden/>
              </w:rPr>
              <w:fldChar w:fldCharType="end"/>
            </w:r>
          </w:hyperlink>
        </w:p>
        <w:p w14:paraId="11889A86" w14:textId="77777777" w:rsidR="001C04E0" w:rsidRPr="001C04E0" w:rsidRDefault="001C04E0" w:rsidP="001C04E0">
          <w:pPr>
            <w:pStyle w:val="TOC2"/>
            <w:tabs>
              <w:tab w:val="right" w:leader="dot" w:pos="9016"/>
            </w:tabs>
            <w:rPr>
              <w:rFonts w:ascii="Times New Roman" w:eastAsiaTheme="minorEastAsia" w:hAnsi="Times New Roman" w:cs="Times New Roman"/>
              <w:smallCaps w:val="0"/>
              <w:noProof/>
              <w:sz w:val="24"/>
              <w:szCs w:val="30"/>
              <w:lang w:eastAsia="en-GB"/>
            </w:rPr>
          </w:pPr>
          <w:hyperlink w:anchor="_Toc211337876" w:history="1">
            <w:r w:rsidRPr="001C04E0">
              <w:rPr>
                <w:rStyle w:val="Hyperlink"/>
                <w:rFonts w:ascii="Times New Roman" w:hAnsi="Times New Roman" w:cs="Times New Roman"/>
                <w:noProof/>
              </w:rPr>
              <w:t>Data Sources:</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_Toc211337876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12</w:t>
            </w:r>
            <w:r w:rsidRPr="001C04E0">
              <w:rPr>
                <w:rFonts w:ascii="Times New Roman" w:hAnsi="Times New Roman" w:cs="Times New Roman"/>
                <w:noProof/>
                <w:webHidden/>
              </w:rPr>
              <w:fldChar w:fldCharType="end"/>
            </w:r>
          </w:hyperlink>
        </w:p>
        <w:p w14:paraId="409CCC37" w14:textId="77777777" w:rsidR="001C04E0" w:rsidRPr="001C04E0" w:rsidRDefault="001C04E0" w:rsidP="001C04E0">
          <w:pPr>
            <w:pStyle w:val="TOC2"/>
            <w:tabs>
              <w:tab w:val="right" w:leader="dot" w:pos="9016"/>
            </w:tabs>
            <w:rPr>
              <w:rFonts w:ascii="Times New Roman" w:eastAsiaTheme="minorEastAsia" w:hAnsi="Times New Roman" w:cs="Times New Roman"/>
              <w:smallCaps w:val="0"/>
              <w:noProof/>
              <w:sz w:val="24"/>
              <w:szCs w:val="30"/>
              <w:lang w:eastAsia="en-GB"/>
            </w:rPr>
          </w:pPr>
          <w:hyperlink w:anchor="_Toc211337877" w:history="1">
            <w:r w:rsidRPr="001C04E0">
              <w:rPr>
                <w:rStyle w:val="Hyperlink"/>
                <w:rFonts w:ascii="Times New Roman" w:hAnsi="Times New Roman" w:cs="Times New Roman"/>
                <w:noProof/>
              </w:rPr>
              <w:t>Data Analysis Technique: Thematic Analysis and Synthesis</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_Toc211337877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13</w:t>
            </w:r>
            <w:r w:rsidRPr="001C04E0">
              <w:rPr>
                <w:rFonts w:ascii="Times New Roman" w:hAnsi="Times New Roman" w:cs="Times New Roman"/>
                <w:noProof/>
                <w:webHidden/>
              </w:rPr>
              <w:fldChar w:fldCharType="end"/>
            </w:r>
          </w:hyperlink>
        </w:p>
        <w:p w14:paraId="5A532309" w14:textId="77777777" w:rsidR="001C04E0" w:rsidRPr="001C04E0" w:rsidRDefault="001C04E0" w:rsidP="001C04E0">
          <w:pPr>
            <w:pStyle w:val="TOC2"/>
            <w:tabs>
              <w:tab w:val="right" w:leader="dot" w:pos="9016"/>
            </w:tabs>
            <w:rPr>
              <w:rFonts w:ascii="Times New Roman" w:eastAsiaTheme="minorEastAsia" w:hAnsi="Times New Roman" w:cs="Times New Roman"/>
              <w:smallCaps w:val="0"/>
              <w:noProof/>
              <w:sz w:val="24"/>
              <w:szCs w:val="30"/>
              <w:lang w:eastAsia="en-GB"/>
            </w:rPr>
          </w:pPr>
          <w:hyperlink w:anchor="_Toc211337878" w:history="1">
            <w:r w:rsidRPr="001C04E0">
              <w:rPr>
                <w:rStyle w:val="Hyperlink"/>
                <w:rFonts w:ascii="Times New Roman" w:hAnsi="Times New Roman" w:cs="Times New Roman"/>
                <w:noProof/>
              </w:rPr>
              <w:t>Limitations and Validity Considerations:</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_Toc211337878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13</w:t>
            </w:r>
            <w:r w:rsidRPr="001C04E0">
              <w:rPr>
                <w:rFonts w:ascii="Times New Roman" w:hAnsi="Times New Roman" w:cs="Times New Roman"/>
                <w:noProof/>
                <w:webHidden/>
              </w:rPr>
              <w:fldChar w:fldCharType="end"/>
            </w:r>
          </w:hyperlink>
        </w:p>
        <w:p w14:paraId="4273EDEE" w14:textId="77777777" w:rsidR="001C04E0" w:rsidRPr="001C04E0" w:rsidRDefault="001C04E0" w:rsidP="001C04E0">
          <w:pPr>
            <w:pStyle w:val="TOC2"/>
            <w:tabs>
              <w:tab w:val="right" w:leader="dot" w:pos="9016"/>
            </w:tabs>
            <w:rPr>
              <w:rFonts w:ascii="Times New Roman" w:eastAsiaTheme="minorEastAsia" w:hAnsi="Times New Roman" w:cs="Times New Roman"/>
              <w:smallCaps w:val="0"/>
              <w:noProof/>
              <w:sz w:val="24"/>
              <w:szCs w:val="30"/>
              <w:lang w:eastAsia="en-GB"/>
            </w:rPr>
          </w:pPr>
          <w:hyperlink w:anchor="_Toc211337879" w:history="1">
            <w:r w:rsidRPr="001C04E0">
              <w:rPr>
                <w:rStyle w:val="Hyperlink"/>
                <w:rFonts w:ascii="Times New Roman" w:hAnsi="Times New Roman" w:cs="Times New Roman"/>
                <w:noProof/>
              </w:rPr>
              <w:t>Ethical Considerations:</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_Toc211337879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13</w:t>
            </w:r>
            <w:r w:rsidRPr="001C04E0">
              <w:rPr>
                <w:rFonts w:ascii="Times New Roman" w:hAnsi="Times New Roman" w:cs="Times New Roman"/>
                <w:noProof/>
                <w:webHidden/>
              </w:rPr>
              <w:fldChar w:fldCharType="end"/>
            </w:r>
          </w:hyperlink>
        </w:p>
        <w:p w14:paraId="747B9F3F" w14:textId="77777777" w:rsidR="001C04E0" w:rsidRPr="001C04E0" w:rsidRDefault="001C04E0" w:rsidP="001C04E0">
          <w:pPr>
            <w:pStyle w:val="TOC1"/>
            <w:tabs>
              <w:tab w:val="right" w:leader="dot" w:pos="9016"/>
            </w:tabs>
            <w:rPr>
              <w:rFonts w:ascii="Times New Roman" w:eastAsiaTheme="minorEastAsia" w:hAnsi="Times New Roman" w:cs="Times New Roman"/>
              <w:b w:val="0"/>
              <w:bCs w:val="0"/>
              <w:caps w:val="0"/>
              <w:noProof/>
              <w:sz w:val="24"/>
              <w:szCs w:val="30"/>
              <w:lang w:eastAsia="en-GB"/>
            </w:rPr>
          </w:pPr>
          <w:hyperlink w:anchor="_Toc211337880" w:history="1">
            <w:r w:rsidRPr="001C04E0">
              <w:rPr>
                <w:rStyle w:val="Hyperlink"/>
                <w:rFonts w:ascii="Times New Roman" w:hAnsi="Times New Roman" w:cs="Times New Roman"/>
                <w:noProof/>
              </w:rPr>
              <w:t>Chapter 4: Findings and Discussion</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_Toc211337880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14</w:t>
            </w:r>
            <w:r w:rsidRPr="001C04E0">
              <w:rPr>
                <w:rFonts w:ascii="Times New Roman" w:hAnsi="Times New Roman" w:cs="Times New Roman"/>
                <w:noProof/>
                <w:webHidden/>
              </w:rPr>
              <w:fldChar w:fldCharType="end"/>
            </w:r>
          </w:hyperlink>
        </w:p>
        <w:p w14:paraId="45992148" w14:textId="77777777" w:rsidR="001C04E0" w:rsidRPr="001C04E0" w:rsidRDefault="001C04E0" w:rsidP="001C04E0">
          <w:pPr>
            <w:pStyle w:val="TOC2"/>
            <w:tabs>
              <w:tab w:val="right" w:leader="dot" w:pos="9016"/>
            </w:tabs>
            <w:rPr>
              <w:rFonts w:ascii="Times New Roman" w:eastAsiaTheme="minorEastAsia" w:hAnsi="Times New Roman" w:cs="Times New Roman"/>
              <w:smallCaps w:val="0"/>
              <w:noProof/>
              <w:sz w:val="24"/>
              <w:szCs w:val="30"/>
              <w:lang w:eastAsia="en-GB"/>
            </w:rPr>
          </w:pPr>
          <w:hyperlink w:anchor="_Toc211337881" w:history="1">
            <w:r w:rsidRPr="001C04E0">
              <w:rPr>
                <w:rStyle w:val="Hyperlink"/>
                <w:rFonts w:ascii="Times New Roman" w:hAnsi="Times New Roman" w:cs="Times New Roman"/>
                <w:noProof/>
              </w:rPr>
              <w:t>Findings:</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_Toc211337881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14</w:t>
            </w:r>
            <w:r w:rsidRPr="001C04E0">
              <w:rPr>
                <w:rFonts w:ascii="Times New Roman" w:hAnsi="Times New Roman" w:cs="Times New Roman"/>
                <w:noProof/>
                <w:webHidden/>
              </w:rPr>
              <w:fldChar w:fldCharType="end"/>
            </w:r>
          </w:hyperlink>
        </w:p>
        <w:p w14:paraId="1E9EA87E" w14:textId="77777777" w:rsidR="001C04E0" w:rsidRPr="001C04E0" w:rsidRDefault="001C04E0" w:rsidP="001C04E0">
          <w:pPr>
            <w:pStyle w:val="TOC3"/>
            <w:tabs>
              <w:tab w:val="right" w:leader="dot" w:pos="9016"/>
            </w:tabs>
            <w:rPr>
              <w:rFonts w:ascii="Times New Roman" w:eastAsiaTheme="minorEastAsia" w:hAnsi="Times New Roman" w:cs="Times New Roman"/>
              <w:i w:val="0"/>
              <w:iCs w:val="0"/>
              <w:noProof/>
              <w:sz w:val="24"/>
              <w:szCs w:val="30"/>
              <w:lang w:eastAsia="en-GB"/>
            </w:rPr>
          </w:pPr>
          <w:hyperlink w:anchor="_Toc211337882" w:history="1">
            <w:r w:rsidRPr="001C04E0">
              <w:rPr>
                <w:rStyle w:val="Hyperlink"/>
                <w:rFonts w:ascii="Times New Roman" w:hAnsi="Times New Roman" w:cs="Times New Roman"/>
                <w:noProof/>
              </w:rPr>
              <w:t>Objective 1: Assess Existing Inefficiencies at IBIS Red – Barking</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_Toc211337882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14</w:t>
            </w:r>
            <w:r w:rsidRPr="001C04E0">
              <w:rPr>
                <w:rFonts w:ascii="Times New Roman" w:hAnsi="Times New Roman" w:cs="Times New Roman"/>
                <w:noProof/>
                <w:webHidden/>
              </w:rPr>
              <w:fldChar w:fldCharType="end"/>
            </w:r>
          </w:hyperlink>
        </w:p>
        <w:p w14:paraId="47B29B60" w14:textId="77777777" w:rsidR="001C04E0" w:rsidRPr="001C04E0" w:rsidRDefault="001C04E0" w:rsidP="001C04E0">
          <w:pPr>
            <w:pStyle w:val="TOC3"/>
            <w:tabs>
              <w:tab w:val="right" w:leader="dot" w:pos="9016"/>
            </w:tabs>
            <w:rPr>
              <w:rFonts w:ascii="Times New Roman" w:eastAsiaTheme="minorEastAsia" w:hAnsi="Times New Roman" w:cs="Times New Roman"/>
              <w:i w:val="0"/>
              <w:iCs w:val="0"/>
              <w:noProof/>
              <w:sz w:val="24"/>
              <w:szCs w:val="30"/>
              <w:lang w:eastAsia="en-GB"/>
            </w:rPr>
          </w:pPr>
          <w:hyperlink w:anchor="_Toc211337883" w:history="1">
            <w:r w:rsidRPr="001C04E0">
              <w:rPr>
                <w:rStyle w:val="Hyperlink"/>
                <w:rFonts w:ascii="Times New Roman" w:hAnsi="Times New Roman" w:cs="Times New Roman"/>
                <w:noProof/>
              </w:rPr>
              <w:t>Objective 2: Identify Best Practice Strategies from Literature and Industry</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_Toc211337883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16</w:t>
            </w:r>
            <w:r w:rsidRPr="001C04E0">
              <w:rPr>
                <w:rFonts w:ascii="Times New Roman" w:hAnsi="Times New Roman" w:cs="Times New Roman"/>
                <w:noProof/>
                <w:webHidden/>
              </w:rPr>
              <w:fldChar w:fldCharType="end"/>
            </w:r>
          </w:hyperlink>
        </w:p>
        <w:p w14:paraId="29FF9528" w14:textId="77777777" w:rsidR="001C04E0" w:rsidRPr="001C04E0" w:rsidRDefault="001C04E0" w:rsidP="001C04E0">
          <w:pPr>
            <w:pStyle w:val="TOC3"/>
            <w:tabs>
              <w:tab w:val="right" w:leader="dot" w:pos="9016"/>
            </w:tabs>
            <w:rPr>
              <w:rFonts w:ascii="Times New Roman" w:eastAsiaTheme="minorEastAsia" w:hAnsi="Times New Roman" w:cs="Times New Roman"/>
              <w:i w:val="0"/>
              <w:iCs w:val="0"/>
              <w:noProof/>
              <w:sz w:val="24"/>
              <w:szCs w:val="30"/>
              <w:lang w:eastAsia="en-GB"/>
            </w:rPr>
          </w:pPr>
          <w:hyperlink w:anchor="_Toc211337884" w:history="1">
            <w:r w:rsidRPr="001C04E0">
              <w:rPr>
                <w:rStyle w:val="Hyperlink"/>
                <w:rFonts w:ascii="Times New Roman" w:hAnsi="Times New Roman" w:cs="Times New Roman"/>
                <w:noProof/>
              </w:rPr>
              <w:t>Objective 3: Thematic synthesis: operational &amp; technological opportunities for IBIS Red – Barking</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_Toc211337884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17</w:t>
            </w:r>
            <w:r w:rsidRPr="001C04E0">
              <w:rPr>
                <w:rFonts w:ascii="Times New Roman" w:hAnsi="Times New Roman" w:cs="Times New Roman"/>
                <w:noProof/>
                <w:webHidden/>
              </w:rPr>
              <w:fldChar w:fldCharType="end"/>
            </w:r>
          </w:hyperlink>
        </w:p>
        <w:p w14:paraId="4D09ECDB" w14:textId="77777777" w:rsidR="001C04E0" w:rsidRPr="001C04E0" w:rsidRDefault="001C04E0" w:rsidP="001C04E0">
          <w:pPr>
            <w:pStyle w:val="TOC2"/>
            <w:tabs>
              <w:tab w:val="right" w:leader="dot" w:pos="9016"/>
            </w:tabs>
            <w:rPr>
              <w:rFonts w:ascii="Times New Roman" w:eastAsiaTheme="minorEastAsia" w:hAnsi="Times New Roman" w:cs="Times New Roman"/>
              <w:smallCaps w:val="0"/>
              <w:noProof/>
              <w:sz w:val="24"/>
              <w:szCs w:val="30"/>
              <w:lang w:eastAsia="en-GB"/>
            </w:rPr>
          </w:pPr>
          <w:hyperlink w:anchor="_Toc211337885" w:history="1">
            <w:r w:rsidRPr="001C04E0">
              <w:rPr>
                <w:rStyle w:val="Hyperlink"/>
                <w:rFonts w:ascii="Times New Roman" w:hAnsi="Times New Roman" w:cs="Times New Roman"/>
                <w:noProof/>
              </w:rPr>
              <w:t>Discussion:</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_Toc211337885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17</w:t>
            </w:r>
            <w:r w:rsidRPr="001C04E0">
              <w:rPr>
                <w:rFonts w:ascii="Times New Roman" w:hAnsi="Times New Roman" w:cs="Times New Roman"/>
                <w:noProof/>
                <w:webHidden/>
              </w:rPr>
              <w:fldChar w:fldCharType="end"/>
            </w:r>
          </w:hyperlink>
        </w:p>
        <w:p w14:paraId="10D078C9" w14:textId="77777777" w:rsidR="001C04E0" w:rsidRPr="001C04E0" w:rsidRDefault="001C04E0" w:rsidP="001C04E0">
          <w:pPr>
            <w:pStyle w:val="TOC3"/>
            <w:tabs>
              <w:tab w:val="right" w:leader="dot" w:pos="9016"/>
            </w:tabs>
            <w:rPr>
              <w:rFonts w:ascii="Times New Roman" w:eastAsiaTheme="minorEastAsia" w:hAnsi="Times New Roman" w:cs="Times New Roman"/>
              <w:i w:val="0"/>
              <w:iCs w:val="0"/>
              <w:noProof/>
              <w:sz w:val="24"/>
              <w:szCs w:val="30"/>
              <w:lang w:eastAsia="en-GB"/>
            </w:rPr>
          </w:pPr>
          <w:hyperlink w:anchor="_Toc211337886" w:history="1">
            <w:r w:rsidRPr="001C04E0">
              <w:rPr>
                <w:rStyle w:val="Hyperlink"/>
                <w:rFonts w:ascii="Times New Roman" w:hAnsi="Times New Roman" w:cs="Times New Roman"/>
                <w:noProof/>
              </w:rPr>
              <w:t>How Peak-Hour Inefficiency Affects Guest Satisfaction and Brand Reputation:</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_Toc211337886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17</w:t>
            </w:r>
            <w:r w:rsidRPr="001C04E0">
              <w:rPr>
                <w:rFonts w:ascii="Times New Roman" w:hAnsi="Times New Roman" w:cs="Times New Roman"/>
                <w:noProof/>
                <w:webHidden/>
              </w:rPr>
              <w:fldChar w:fldCharType="end"/>
            </w:r>
          </w:hyperlink>
        </w:p>
        <w:p w14:paraId="28B667BA" w14:textId="77777777" w:rsidR="001C04E0" w:rsidRPr="001C04E0" w:rsidRDefault="001C04E0" w:rsidP="001C04E0">
          <w:pPr>
            <w:pStyle w:val="TOC3"/>
            <w:tabs>
              <w:tab w:val="right" w:leader="dot" w:pos="9016"/>
            </w:tabs>
            <w:rPr>
              <w:rFonts w:ascii="Times New Roman" w:eastAsiaTheme="minorEastAsia" w:hAnsi="Times New Roman" w:cs="Times New Roman"/>
              <w:i w:val="0"/>
              <w:iCs w:val="0"/>
              <w:noProof/>
              <w:sz w:val="24"/>
              <w:szCs w:val="30"/>
              <w:lang w:eastAsia="en-GB"/>
            </w:rPr>
          </w:pPr>
          <w:hyperlink w:anchor="_Toc211337887" w:history="1">
            <w:r w:rsidRPr="001C04E0">
              <w:rPr>
                <w:rStyle w:val="Hyperlink"/>
                <w:rFonts w:ascii="Times New Roman" w:hAnsi="Times New Roman" w:cs="Times New Roman"/>
                <w:noProof/>
              </w:rPr>
              <w:t>Linking Findings to Service-Quality Dimensions (SERVQUAL lens):</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_Toc211337887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18</w:t>
            </w:r>
            <w:r w:rsidRPr="001C04E0">
              <w:rPr>
                <w:rFonts w:ascii="Times New Roman" w:hAnsi="Times New Roman" w:cs="Times New Roman"/>
                <w:noProof/>
                <w:webHidden/>
              </w:rPr>
              <w:fldChar w:fldCharType="end"/>
            </w:r>
          </w:hyperlink>
        </w:p>
        <w:p w14:paraId="78B60097" w14:textId="77777777" w:rsidR="001C04E0" w:rsidRPr="001C04E0" w:rsidRDefault="001C04E0" w:rsidP="001C04E0">
          <w:pPr>
            <w:pStyle w:val="TOC3"/>
            <w:tabs>
              <w:tab w:val="right" w:leader="dot" w:pos="9016"/>
            </w:tabs>
            <w:rPr>
              <w:rFonts w:ascii="Times New Roman" w:eastAsiaTheme="minorEastAsia" w:hAnsi="Times New Roman" w:cs="Times New Roman"/>
              <w:i w:val="0"/>
              <w:iCs w:val="0"/>
              <w:noProof/>
              <w:sz w:val="24"/>
              <w:szCs w:val="30"/>
              <w:lang w:eastAsia="en-GB"/>
            </w:rPr>
          </w:pPr>
          <w:hyperlink w:anchor="_Toc211337888" w:history="1">
            <w:r w:rsidRPr="001C04E0">
              <w:rPr>
                <w:rStyle w:val="Hyperlink"/>
                <w:rFonts w:ascii="Times New Roman" w:hAnsi="Times New Roman" w:cs="Times New Roman"/>
                <w:noProof/>
              </w:rPr>
              <w:t>Technological Solutions: Potential, Prerequisites and Caveats</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_Toc211337888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19</w:t>
            </w:r>
            <w:r w:rsidRPr="001C04E0">
              <w:rPr>
                <w:rFonts w:ascii="Times New Roman" w:hAnsi="Times New Roman" w:cs="Times New Roman"/>
                <w:noProof/>
                <w:webHidden/>
              </w:rPr>
              <w:fldChar w:fldCharType="end"/>
            </w:r>
          </w:hyperlink>
        </w:p>
        <w:p w14:paraId="79419FA2" w14:textId="77777777" w:rsidR="001C04E0" w:rsidRPr="001C04E0" w:rsidRDefault="001C04E0" w:rsidP="001C04E0">
          <w:pPr>
            <w:pStyle w:val="TOC3"/>
            <w:tabs>
              <w:tab w:val="right" w:leader="dot" w:pos="9016"/>
            </w:tabs>
            <w:rPr>
              <w:rFonts w:ascii="Times New Roman" w:eastAsiaTheme="minorEastAsia" w:hAnsi="Times New Roman" w:cs="Times New Roman"/>
              <w:i w:val="0"/>
              <w:iCs w:val="0"/>
              <w:noProof/>
              <w:sz w:val="24"/>
              <w:szCs w:val="30"/>
              <w:lang w:eastAsia="en-GB"/>
            </w:rPr>
          </w:pPr>
          <w:hyperlink w:anchor="_Toc211337889" w:history="1">
            <w:r w:rsidRPr="001C04E0">
              <w:rPr>
                <w:rStyle w:val="Hyperlink"/>
                <w:rFonts w:ascii="Times New Roman" w:hAnsi="Times New Roman" w:cs="Times New Roman"/>
                <w:noProof/>
              </w:rPr>
              <w:t>External Influences (PESTEL Analysis):</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_Toc211337889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20</w:t>
            </w:r>
            <w:r w:rsidRPr="001C04E0">
              <w:rPr>
                <w:rFonts w:ascii="Times New Roman" w:hAnsi="Times New Roman" w:cs="Times New Roman"/>
                <w:noProof/>
                <w:webHidden/>
              </w:rPr>
              <w:fldChar w:fldCharType="end"/>
            </w:r>
          </w:hyperlink>
        </w:p>
        <w:p w14:paraId="6595F094" w14:textId="77777777" w:rsidR="001C04E0" w:rsidRPr="001C04E0" w:rsidRDefault="001C04E0" w:rsidP="001C04E0">
          <w:pPr>
            <w:pStyle w:val="TOC3"/>
            <w:tabs>
              <w:tab w:val="right" w:leader="dot" w:pos="9016"/>
            </w:tabs>
            <w:rPr>
              <w:rFonts w:ascii="Times New Roman" w:eastAsiaTheme="minorEastAsia" w:hAnsi="Times New Roman" w:cs="Times New Roman"/>
              <w:i w:val="0"/>
              <w:iCs w:val="0"/>
              <w:noProof/>
              <w:sz w:val="24"/>
              <w:szCs w:val="30"/>
              <w:lang w:eastAsia="en-GB"/>
            </w:rPr>
          </w:pPr>
          <w:hyperlink w:anchor="_Toc211337890" w:history="1">
            <w:r w:rsidRPr="001C04E0">
              <w:rPr>
                <w:rStyle w:val="Hyperlink"/>
                <w:rFonts w:ascii="Times New Roman" w:hAnsi="Times New Roman" w:cs="Times New Roman"/>
                <w:noProof/>
              </w:rPr>
              <w:t>SWOT Analysis: IBIS London Barking</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_Toc211337890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20</w:t>
            </w:r>
            <w:r w:rsidRPr="001C04E0">
              <w:rPr>
                <w:rFonts w:ascii="Times New Roman" w:hAnsi="Times New Roman" w:cs="Times New Roman"/>
                <w:noProof/>
                <w:webHidden/>
              </w:rPr>
              <w:fldChar w:fldCharType="end"/>
            </w:r>
          </w:hyperlink>
        </w:p>
        <w:p w14:paraId="443B38CE" w14:textId="77777777" w:rsidR="001C04E0" w:rsidRPr="001C04E0" w:rsidRDefault="001C04E0" w:rsidP="001C04E0">
          <w:pPr>
            <w:pStyle w:val="TOC3"/>
            <w:tabs>
              <w:tab w:val="right" w:leader="dot" w:pos="9016"/>
            </w:tabs>
            <w:rPr>
              <w:rFonts w:ascii="Times New Roman" w:eastAsiaTheme="minorEastAsia" w:hAnsi="Times New Roman" w:cs="Times New Roman"/>
              <w:i w:val="0"/>
              <w:iCs w:val="0"/>
              <w:noProof/>
              <w:sz w:val="24"/>
              <w:szCs w:val="30"/>
              <w:lang w:eastAsia="en-GB"/>
            </w:rPr>
          </w:pPr>
          <w:hyperlink w:anchor="_Toc211337891" w:history="1">
            <w:r w:rsidRPr="001C04E0">
              <w:rPr>
                <w:rStyle w:val="Hyperlink"/>
                <w:rFonts w:ascii="Times New Roman" w:hAnsi="Times New Roman" w:cs="Times New Roman"/>
                <w:noProof/>
              </w:rPr>
              <w:t>Limitations, Change Resistance and Financial Considerations:</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_Toc211337891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21</w:t>
            </w:r>
            <w:r w:rsidRPr="001C04E0">
              <w:rPr>
                <w:rFonts w:ascii="Times New Roman" w:hAnsi="Times New Roman" w:cs="Times New Roman"/>
                <w:noProof/>
                <w:webHidden/>
              </w:rPr>
              <w:fldChar w:fldCharType="end"/>
            </w:r>
          </w:hyperlink>
        </w:p>
        <w:p w14:paraId="2EFF04EA" w14:textId="77777777" w:rsidR="001C04E0" w:rsidRPr="001C04E0" w:rsidRDefault="001C04E0" w:rsidP="001C04E0">
          <w:pPr>
            <w:pStyle w:val="TOC1"/>
            <w:tabs>
              <w:tab w:val="right" w:leader="dot" w:pos="9016"/>
            </w:tabs>
            <w:rPr>
              <w:rFonts w:ascii="Times New Roman" w:eastAsiaTheme="minorEastAsia" w:hAnsi="Times New Roman" w:cs="Times New Roman"/>
              <w:b w:val="0"/>
              <w:bCs w:val="0"/>
              <w:caps w:val="0"/>
              <w:noProof/>
              <w:sz w:val="24"/>
              <w:szCs w:val="30"/>
              <w:lang w:eastAsia="en-GB"/>
            </w:rPr>
          </w:pPr>
          <w:hyperlink w:anchor="_Toc211337892" w:history="1">
            <w:r w:rsidRPr="001C04E0">
              <w:rPr>
                <w:rStyle w:val="Hyperlink"/>
                <w:rFonts w:ascii="Times New Roman" w:hAnsi="Times New Roman" w:cs="Times New Roman"/>
                <w:noProof/>
              </w:rPr>
              <w:t>Chapter 5: Conclusion and Recommendations</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_Toc211337892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22</w:t>
            </w:r>
            <w:r w:rsidRPr="001C04E0">
              <w:rPr>
                <w:rFonts w:ascii="Times New Roman" w:hAnsi="Times New Roman" w:cs="Times New Roman"/>
                <w:noProof/>
                <w:webHidden/>
              </w:rPr>
              <w:fldChar w:fldCharType="end"/>
            </w:r>
          </w:hyperlink>
        </w:p>
        <w:p w14:paraId="086C42D4" w14:textId="77777777" w:rsidR="001C04E0" w:rsidRPr="001C04E0" w:rsidRDefault="001C04E0" w:rsidP="001C04E0">
          <w:pPr>
            <w:pStyle w:val="TOC2"/>
            <w:tabs>
              <w:tab w:val="right" w:leader="dot" w:pos="9016"/>
            </w:tabs>
            <w:rPr>
              <w:rFonts w:ascii="Times New Roman" w:eastAsiaTheme="minorEastAsia" w:hAnsi="Times New Roman" w:cs="Times New Roman"/>
              <w:smallCaps w:val="0"/>
              <w:noProof/>
              <w:sz w:val="24"/>
              <w:szCs w:val="30"/>
              <w:lang w:eastAsia="en-GB"/>
            </w:rPr>
          </w:pPr>
          <w:hyperlink w:anchor="_Toc211337893" w:history="1">
            <w:r w:rsidRPr="001C04E0">
              <w:rPr>
                <w:rStyle w:val="Hyperlink"/>
                <w:rFonts w:ascii="Times New Roman" w:hAnsi="Times New Roman" w:cs="Times New Roman"/>
                <w:noProof/>
              </w:rPr>
              <w:t>Conclusion:</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_Toc211337893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22</w:t>
            </w:r>
            <w:r w:rsidRPr="001C04E0">
              <w:rPr>
                <w:rFonts w:ascii="Times New Roman" w:hAnsi="Times New Roman" w:cs="Times New Roman"/>
                <w:noProof/>
                <w:webHidden/>
              </w:rPr>
              <w:fldChar w:fldCharType="end"/>
            </w:r>
          </w:hyperlink>
        </w:p>
        <w:p w14:paraId="3C4C6CDF" w14:textId="77777777" w:rsidR="001C04E0" w:rsidRPr="001C04E0" w:rsidRDefault="001C04E0" w:rsidP="001C04E0">
          <w:pPr>
            <w:pStyle w:val="TOC3"/>
            <w:tabs>
              <w:tab w:val="right" w:leader="dot" w:pos="9016"/>
            </w:tabs>
            <w:rPr>
              <w:rFonts w:ascii="Times New Roman" w:eastAsiaTheme="minorEastAsia" w:hAnsi="Times New Roman" w:cs="Times New Roman"/>
              <w:i w:val="0"/>
              <w:iCs w:val="0"/>
              <w:noProof/>
              <w:sz w:val="24"/>
              <w:szCs w:val="30"/>
              <w:lang w:eastAsia="en-GB"/>
            </w:rPr>
          </w:pPr>
          <w:hyperlink w:anchor="_Toc211337894" w:history="1">
            <w:r w:rsidRPr="001C04E0">
              <w:rPr>
                <w:rStyle w:val="Hyperlink"/>
                <w:rFonts w:ascii="Times New Roman" w:hAnsi="Times New Roman" w:cs="Times New Roman"/>
                <w:noProof/>
              </w:rPr>
              <w:t>Restating Key Findings:</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_Toc211337894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22</w:t>
            </w:r>
            <w:r w:rsidRPr="001C04E0">
              <w:rPr>
                <w:rFonts w:ascii="Times New Roman" w:hAnsi="Times New Roman" w:cs="Times New Roman"/>
                <w:noProof/>
                <w:webHidden/>
              </w:rPr>
              <w:fldChar w:fldCharType="end"/>
            </w:r>
          </w:hyperlink>
        </w:p>
        <w:p w14:paraId="5AF98725" w14:textId="77777777" w:rsidR="001C04E0" w:rsidRPr="001C04E0" w:rsidRDefault="001C04E0" w:rsidP="001C04E0">
          <w:pPr>
            <w:pStyle w:val="TOC3"/>
            <w:tabs>
              <w:tab w:val="right" w:leader="dot" w:pos="9016"/>
            </w:tabs>
            <w:rPr>
              <w:rFonts w:ascii="Times New Roman" w:eastAsiaTheme="minorEastAsia" w:hAnsi="Times New Roman" w:cs="Times New Roman"/>
              <w:i w:val="0"/>
              <w:iCs w:val="0"/>
              <w:noProof/>
              <w:sz w:val="24"/>
              <w:szCs w:val="30"/>
              <w:lang w:eastAsia="en-GB"/>
            </w:rPr>
          </w:pPr>
          <w:hyperlink w:anchor="_Toc211337895" w:history="1">
            <w:r w:rsidRPr="001C04E0">
              <w:rPr>
                <w:rStyle w:val="Hyperlink"/>
                <w:rFonts w:ascii="Times New Roman" w:hAnsi="Times New Roman" w:cs="Times New Roman"/>
                <w:noProof/>
              </w:rPr>
              <w:t>Theoretical and Practical Implications:</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_Toc211337895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22</w:t>
            </w:r>
            <w:r w:rsidRPr="001C04E0">
              <w:rPr>
                <w:rFonts w:ascii="Times New Roman" w:hAnsi="Times New Roman" w:cs="Times New Roman"/>
                <w:noProof/>
                <w:webHidden/>
              </w:rPr>
              <w:fldChar w:fldCharType="end"/>
            </w:r>
          </w:hyperlink>
        </w:p>
        <w:p w14:paraId="31C27201" w14:textId="77777777" w:rsidR="001C04E0" w:rsidRPr="001C04E0" w:rsidRDefault="001C04E0" w:rsidP="001C04E0">
          <w:pPr>
            <w:pStyle w:val="TOC3"/>
            <w:tabs>
              <w:tab w:val="right" w:leader="dot" w:pos="9016"/>
            </w:tabs>
            <w:rPr>
              <w:rFonts w:ascii="Times New Roman" w:eastAsiaTheme="minorEastAsia" w:hAnsi="Times New Roman" w:cs="Times New Roman"/>
              <w:i w:val="0"/>
              <w:iCs w:val="0"/>
              <w:noProof/>
              <w:sz w:val="24"/>
              <w:szCs w:val="30"/>
              <w:lang w:eastAsia="en-GB"/>
            </w:rPr>
          </w:pPr>
          <w:hyperlink w:anchor="_Toc211337896" w:history="1">
            <w:r w:rsidRPr="001C04E0">
              <w:rPr>
                <w:rStyle w:val="Hyperlink"/>
                <w:rFonts w:ascii="Times New Roman" w:hAnsi="Times New Roman" w:cs="Times New Roman"/>
                <w:noProof/>
              </w:rPr>
              <w:t>IBIS Barking as a Transferable Benchmark:</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_Toc211337896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23</w:t>
            </w:r>
            <w:r w:rsidRPr="001C04E0">
              <w:rPr>
                <w:rFonts w:ascii="Times New Roman" w:hAnsi="Times New Roman" w:cs="Times New Roman"/>
                <w:noProof/>
                <w:webHidden/>
              </w:rPr>
              <w:fldChar w:fldCharType="end"/>
            </w:r>
          </w:hyperlink>
        </w:p>
        <w:p w14:paraId="0B9C68DB" w14:textId="77777777" w:rsidR="001C04E0" w:rsidRPr="001C04E0" w:rsidRDefault="001C04E0" w:rsidP="001C04E0">
          <w:pPr>
            <w:pStyle w:val="TOC3"/>
            <w:tabs>
              <w:tab w:val="right" w:leader="dot" w:pos="9016"/>
            </w:tabs>
            <w:rPr>
              <w:rFonts w:ascii="Times New Roman" w:eastAsiaTheme="minorEastAsia" w:hAnsi="Times New Roman" w:cs="Times New Roman"/>
              <w:i w:val="0"/>
              <w:iCs w:val="0"/>
              <w:noProof/>
              <w:sz w:val="24"/>
              <w:szCs w:val="30"/>
              <w:lang w:eastAsia="en-GB"/>
            </w:rPr>
          </w:pPr>
          <w:hyperlink w:anchor="_Toc211337897" w:history="1">
            <w:r w:rsidRPr="001C04E0">
              <w:rPr>
                <w:rStyle w:val="Hyperlink"/>
                <w:rFonts w:ascii="Times New Roman" w:hAnsi="Times New Roman" w:cs="Times New Roman"/>
                <w:noProof/>
              </w:rPr>
              <w:t>Research Limitations:</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_Toc211337897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23</w:t>
            </w:r>
            <w:r w:rsidRPr="001C04E0">
              <w:rPr>
                <w:rFonts w:ascii="Times New Roman" w:hAnsi="Times New Roman" w:cs="Times New Roman"/>
                <w:noProof/>
                <w:webHidden/>
              </w:rPr>
              <w:fldChar w:fldCharType="end"/>
            </w:r>
          </w:hyperlink>
        </w:p>
        <w:p w14:paraId="0A6F60E5" w14:textId="77777777" w:rsidR="001C04E0" w:rsidRPr="001C04E0" w:rsidRDefault="001C04E0" w:rsidP="001C04E0">
          <w:pPr>
            <w:pStyle w:val="TOC3"/>
            <w:tabs>
              <w:tab w:val="right" w:leader="dot" w:pos="9016"/>
            </w:tabs>
            <w:rPr>
              <w:rFonts w:ascii="Times New Roman" w:eastAsiaTheme="minorEastAsia" w:hAnsi="Times New Roman" w:cs="Times New Roman"/>
              <w:i w:val="0"/>
              <w:iCs w:val="0"/>
              <w:noProof/>
              <w:sz w:val="24"/>
              <w:szCs w:val="30"/>
              <w:lang w:eastAsia="en-GB"/>
            </w:rPr>
          </w:pPr>
          <w:hyperlink w:anchor="_Toc211337898" w:history="1">
            <w:r w:rsidRPr="001C04E0">
              <w:rPr>
                <w:rStyle w:val="Hyperlink"/>
                <w:rFonts w:ascii="Times New Roman" w:hAnsi="Times New Roman" w:cs="Times New Roman"/>
                <w:noProof/>
              </w:rPr>
              <w:t>Suggestions for Further Research:</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_Toc211337898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24</w:t>
            </w:r>
            <w:r w:rsidRPr="001C04E0">
              <w:rPr>
                <w:rFonts w:ascii="Times New Roman" w:hAnsi="Times New Roman" w:cs="Times New Roman"/>
                <w:noProof/>
                <w:webHidden/>
              </w:rPr>
              <w:fldChar w:fldCharType="end"/>
            </w:r>
          </w:hyperlink>
        </w:p>
        <w:p w14:paraId="6DE4E1AB" w14:textId="77777777" w:rsidR="001C04E0" w:rsidRPr="001C04E0" w:rsidRDefault="001C04E0" w:rsidP="001C04E0">
          <w:pPr>
            <w:pStyle w:val="TOC3"/>
            <w:tabs>
              <w:tab w:val="right" w:leader="dot" w:pos="9016"/>
            </w:tabs>
            <w:rPr>
              <w:rFonts w:ascii="Times New Roman" w:eastAsiaTheme="minorEastAsia" w:hAnsi="Times New Roman" w:cs="Times New Roman"/>
              <w:i w:val="0"/>
              <w:iCs w:val="0"/>
              <w:noProof/>
              <w:sz w:val="24"/>
              <w:szCs w:val="30"/>
              <w:lang w:eastAsia="en-GB"/>
            </w:rPr>
          </w:pPr>
          <w:hyperlink w:anchor="_Toc211337899" w:history="1">
            <w:r w:rsidRPr="001C04E0">
              <w:rPr>
                <w:rStyle w:val="Hyperlink"/>
                <w:rFonts w:ascii="Times New Roman" w:hAnsi="Times New Roman" w:cs="Times New Roman"/>
                <w:noProof/>
              </w:rPr>
              <w:t>Final Synthesis:</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_Toc211337899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24</w:t>
            </w:r>
            <w:r w:rsidRPr="001C04E0">
              <w:rPr>
                <w:rFonts w:ascii="Times New Roman" w:hAnsi="Times New Roman" w:cs="Times New Roman"/>
                <w:noProof/>
                <w:webHidden/>
              </w:rPr>
              <w:fldChar w:fldCharType="end"/>
            </w:r>
          </w:hyperlink>
        </w:p>
        <w:p w14:paraId="00B24AF8" w14:textId="77777777" w:rsidR="001C04E0" w:rsidRPr="001C04E0" w:rsidRDefault="001C04E0" w:rsidP="001C04E0">
          <w:pPr>
            <w:pStyle w:val="TOC2"/>
            <w:tabs>
              <w:tab w:val="right" w:leader="dot" w:pos="9016"/>
            </w:tabs>
            <w:rPr>
              <w:rFonts w:ascii="Times New Roman" w:eastAsiaTheme="minorEastAsia" w:hAnsi="Times New Roman" w:cs="Times New Roman"/>
              <w:smallCaps w:val="0"/>
              <w:noProof/>
              <w:sz w:val="24"/>
              <w:szCs w:val="30"/>
              <w:lang w:eastAsia="en-GB"/>
            </w:rPr>
          </w:pPr>
          <w:hyperlink w:anchor="_Toc211337900" w:history="1">
            <w:r w:rsidRPr="001C04E0">
              <w:rPr>
                <w:rStyle w:val="Hyperlink"/>
                <w:rFonts w:ascii="Times New Roman" w:hAnsi="Times New Roman" w:cs="Times New Roman"/>
                <w:noProof/>
              </w:rPr>
              <w:t>Recommendations:</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_Toc211337900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25</w:t>
            </w:r>
            <w:r w:rsidRPr="001C04E0">
              <w:rPr>
                <w:rFonts w:ascii="Times New Roman" w:hAnsi="Times New Roman" w:cs="Times New Roman"/>
                <w:noProof/>
                <w:webHidden/>
              </w:rPr>
              <w:fldChar w:fldCharType="end"/>
            </w:r>
          </w:hyperlink>
        </w:p>
        <w:p w14:paraId="52F2CAA8" w14:textId="77777777" w:rsidR="001C04E0" w:rsidRPr="001C04E0" w:rsidRDefault="001C04E0" w:rsidP="001C04E0">
          <w:pPr>
            <w:pStyle w:val="TOC3"/>
            <w:tabs>
              <w:tab w:val="right" w:leader="dot" w:pos="9016"/>
            </w:tabs>
            <w:rPr>
              <w:rFonts w:ascii="Times New Roman" w:eastAsiaTheme="minorEastAsia" w:hAnsi="Times New Roman" w:cs="Times New Roman"/>
              <w:i w:val="0"/>
              <w:iCs w:val="0"/>
              <w:noProof/>
              <w:sz w:val="24"/>
              <w:szCs w:val="30"/>
              <w:lang w:eastAsia="en-GB"/>
            </w:rPr>
          </w:pPr>
          <w:hyperlink w:anchor="_Toc211337901" w:history="1">
            <w:r w:rsidRPr="001C04E0">
              <w:rPr>
                <w:rStyle w:val="Hyperlink"/>
                <w:rFonts w:ascii="Times New Roman" w:hAnsi="Times New Roman" w:cs="Times New Roman"/>
                <w:noProof/>
              </w:rPr>
              <w:t>Operational Recommendations:</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_Toc211337901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25</w:t>
            </w:r>
            <w:r w:rsidRPr="001C04E0">
              <w:rPr>
                <w:rFonts w:ascii="Times New Roman" w:hAnsi="Times New Roman" w:cs="Times New Roman"/>
                <w:noProof/>
                <w:webHidden/>
              </w:rPr>
              <w:fldChar w:fldCharType="end"/>
            </w:r>
          </w:hyperlink>
        </w:p>
        <w:p w14:paraId="47558292" w14:textId="77777777" w:rsidR="001C04E0" w:rsidRPr="001C04E0" w:rsidRDefault="001C04E0" w:rsidP="001C04E0">
          <w:pPr>
            <w:pStyle w:val="TOC3"/>
            <w:tabs>
              <w:tab w:val="right" w:leader="dot" w:pos="9016"/>
            </w:tabs>
            <w:rPr>
              <w:rFonts w:ascii="Times New Roman" w:eastAsiaTheme="minorEastAsia" w:hAnsi="Times New Roman" w:cs="Times New Roman"/>
              <w:i w:val="0"/>
              <w:iCs w:val="0"/>
              <w:noProof/>
              <w:sz w:val="24"/>
              <w:szCs w:val="30"/>
              <w:lang w:eastAsia="en-GB"/>
            </w:rPr>
          </w:pPr>
          <w:hyperlink w:anchor="_Toc211337902" w:history="1">
            <w:r w:rsidRPr="001C04E0">
              <w:rPr>
                <w:rStyle w:val="Hyperlink"/>
                <w:rFonts w:ascii="Times New Roman" w:hAnsi="Times New Roman" w:cs="Times New Roman"/>
                <w:noProof/>
              </w:rPr>
              <w:t>Technological Recommendations:</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_Toc211337902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26</w:t>
            </w:r>
            <w:r w:rsidRPr="001C04E0">
              <w:rPr>
                <w:rFonts w:ascii="Times New Roman" w:hAnsi="Times New Roman" w:cs="Times New Roman"/>
                <w:noProof/>
                <w:webHidden/>
              </w:rPr>
              <w:fldChar w:fldCharType="end"/>
            </w:r>
          </w:hyperlink>
        </w:p>
        <w:p w14:paraId="367F03CA" w14:textId="77777777" w:rsidR="001C04E0" w:rsidRPr="001C04E0" w:rsidRDefault="001C04E0" w:rsidP="001C04E0">
          <w:pPr>
            <w:pStyle w:val="TOC3"/>
            <w:tabs>
              <w:tab w:val="right" w:leader="dot" w:pos="9016"/>
            </w:tabs>
            <w:rPr>
              <w:rFonts w:ascii="Times New Roman" w:eastAsiaTheme="minorEastAsia" w:hAnsi="Times New Roman" w:cs="Times New Roman"/>
              <w:i w:val="0"/>
              <w:iCs w:val="0"/>
              <w:noProof/>
              <w:sz w:val="24"/>
              <w:szCs w:val="30"/>
              <w:lang w:eastAsia="en-GB"/>
            </w:rPr>
          </w:pPr>
          <w:hyperlink w:anchor="_Toc211337903" w:history="1">
            <w:r w:rsidRPr="001C04E0">
              <w:rPr>
                <w:rStyle w:val="Hyperlink"/>
                <w:rFonts w:ascii="Times New Roman" w:hAnsi="Times New Roman" w:cs="Times New Roman"/>
                <w:noProof/>
              </w:rPr>
              <w:t>Training &amp; Communication:</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_Toc211337903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26</w:t>
            </w:r>
            <w:r w:rsidRPr="001C04E0">
              <w:rPr>
                <w:rFonts w:ascii="Times New Roman" w:hAnsi="Times New Roman" w:cs="Times New Roman"/>
                <w:noProof/>
                <w:webHidden/>
              </w:rPr>
              <w:fldChar w:fldCharType="end"/>
            </w:r>
          </w:hyperlink>
        </w:p>
        <w:p w14:paraId="41C133AD" w14:textId="77777777" w:rsidR="001C04E0" w:rsidRPr="001C04E0" w:rsidRDefault="001C04E0" w:rsidP="001C04E0">
          <w:pPr>
            <w:pStyle w:val="TOC3"/>
            <w:tabs>
              <w:tab w:val="right" w:leader="dot" w:pos="9016"/>
            </w:tabs>
            <w:rPr>
              <w:rFonts w:ascii="Times New Roman" w:eastAsiaTheme="minorEastAsia" w:hAnsi="Times New Roman" w:cs="Times New Roman"/>
              <w:i w:val="0"/>
              <w:iCs w:val="0"/>
              <w:noProof/>
              <w:sz w:val="24"/>
              <w:szCs w:val="30"/>
              <w:lang w:eastAsia="en-GB"/>
            </w:rPr>
          </w:pPr>
          <w:hyperlink w:anchor="_Toc211337904" w:history="1">
            <w:r w:rsidRPr="001C04E0">
              <w:rPr>
                <w:rStyle w:val="Hyperlink"/>
                <w:rFonts w:ascii="Times New Roman" w:hAnsi="Times New Roman" w:cs="Times New Roman"/>
                <w:noProof/>
              </w:rPr>
              <w:t>Implementation Feasibility: Cost-Benefit, Staff Buy-in and Pilot Testing</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_Toc211337904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27</w:t>
            </w:r>
            <w:r w:rsidRPr="001C04E0">
              <w:rPr>
                <w:rFonts w:ascii="Times New Roman" w:hAnsi="Times New Roman" w:cs="Times New Roman"/>
                <w:noProof/>
                <w:webHidden/>
              </w:rPr>
              <w:fldChar w:fldCharType="end"/>
            </w:r>
          </w:hyperlink>
        </w:p>
        <w:p w14:paraId="2BE83EC7" w14:textId="77777777" w:rsidR="001C04E0" w:rsidRPr="001C04E0" w:rsidRDefault="001C04E0" w:rsidP="001C04E0">
          <w:pPr>
            <w:pStyle w:val="TOC1"/>
            <w:tabs>
              <w:tab w:val="right" w:leader="dot" w:pos="9016"/>
            </w:tabs>
            <w:rPr>
              <w:rFonts w:ascii="Times New Roman" w:eastAsiaTheme="minorEastAsia" w:hAnsi="Times New Roman" w:cs="Times New Roman"/>
              <w:b w:val="0"/>
              <w:bCs w:val="0"/>
              <w:caps w:val="0"/>
              <w:noProof/>
              <w:sz w:val="24"/>
              <w:szCs w:val="30"/>
              <w:lang w:eastAsia="en-GB"/>
            </w:rPr>
          </w:pPr>
          <w:hyperlink w:anchor="_Toc211337905" w:history="1">
            <w:r w:rsidRPr="001C04E0">
              <w:rPr>
                <w:rStyle w:val="Hyperlink"/>
                <w:rFonts w:ascii="Times New Roman" w:hAnsi="Times New Roman" w:cs="Times New Roman"/>
                <w:noProof/>
              </w:rPr>
              <w:t>Reference List:</w:t>
            </w:r>
            <w:r w:rsidRPr="001C04E0">
              <w:rPr>
                <w:rFonts w:ascii="Times New Roman" w:hAnsi="Times New Roman" w:cs="Times New Roman"/>
                <w:noProof/>
                <w:webHidden/>
              </w:rPr>
              <w:tab/>
            </w:r>
            <w:r w:rsidRPr="001C04E0">
              <w:rPr>
                <w:rFonts w:ascii="Times New Roman" w:hAnsi="Times New Roman" w:cs="Times New Roman"/>
                <w:noProof/>
                <w:webHidden/>
              </w:rPr>
              <w:fldChar w:fldCharType="begin"/>
            </w:r>
            <w:r w:rsidRPr="001C04E0">
              <w:rPr>
                <w:rFonts w:ascii="Times New Roman" w:hAnsi="Times New Roman" w:cs="Times New Roman"/>
                <w:noProof/>
                <w:webHidden/>
              </w:rPr>
              <w:instrText xml:space="preserve"> PAGEREF _Toc211337905 \h </w:instrText>
            </w:r>
            <w:r w:rsidRPr="001C04E0">
              <w:rPr>
                <w:rFonts w:ascii="Times New Roman" w:hAnsi="Times New Roman" w:cs="Times New Roman"/>
                <w:noProof/>
                <w:webHidden/>
              </w:rPr>
            </w:r>
            <w:r w:rsidRPr="001C04E0">
              <w:rPr>
                <w:rFonts w:ascii="Times New Roman" w:hAnsi="Times New Roman" w:cs="Times New Roman"/>
                <w:noProof/>
                <w:webHidden/>
              </w:rPr>
              <w:fldChar w:fldCharType="separate"/>
            </w:r>
            <w:r>
              <w:rPr>
                <w:rFonts w:ascii="Times New Roman" w:hAnsi="Times New Roman" w:cs="Times New Roman"/>
                <w:noProof/>
                <w:webHidden/>
              </w:rPr>
              <w:t>28</w:t>
            </w:r>
            <w:r w:rsidRPr="001C04E0">
              <w:rPr>
                <w:rFonts w:ascii="Times New Roman" w:hAnsi="Times New Roman" w:cs="Times New Roman"/>
                <w:noProof/>
                <w:webHidden/>
              </w:rPr>
              <w:fldChar w:fldCharType="end"/>
            </w:r>
          </w:hyperlink>
        </w:p>
        <w:p w14:paraId="07BD2459" w14:textId="77777777" w:rsidR="00ED2ABE" w:rsidRPr="001C04E0" w:rsidRDefault="00000000" w:rsidP="001C04E0">
          <w:pPr>
            <w:rPr>
              <w:rFonts w:cs="Times New Roman"/>
            </w:rPr>
          </w:pPr>
          <w:r w:rsidRPr="001C04E0">
            <w:rPr>
              <w:rFonts w:cs="Times New Roman"/>
              <w:b/>
              <w:bCs/>
              <w:noProof/>
            </w:rPr>
            <w:fldChar w:fldCharType="end"/>
          </w:r>
        </w:p>
      </w:sdtContent>
    </w:sdt>
    <w:p w14:paraId="7E282BD1" w14:textId="77777777" w:rsidR="002722B4" w:rsidRPr="001C04E0" w:rsidRDefault="00000000" w:rsidP="001C04E0">
      <w:pPr>
        <w:rPr>
          <w:rFonts w:eastAsiaTheme="majorEastAsia" w:cs="Times New Roman"/>
          <w:b/>
          <w:color w:val="2F5496" w:themeColor="accent1" w:themeShade="BF"/>
          <w:sz w:val="32"/>
          <w:szCs w:val="40"/>
        </w:rPr>
      </w:pPr>
      <w:r w:rsidRPr="001C04E0">
        <w:rPr>
          <w:rFonts w:cs="Times New Roman"/>
        </w:rPr>
        <w:br w:type="page"/>
      </w:r>
    </w:p>
    <w:p w14:paraId="6625E7AF" w14:textId="77777777" w:rsidR="008077C0" w:rsidRPr="001C04E0" w:rsidRDefault="00000000" w:rsidP="001C04E0">
      <w:pPr>
        <w:pStyle w:val="Heading1"/>
        <w:rPr>
          <w:rFonts w:cs="Times New Roman"/>
        </w:rPr>
      </w:pPr>
      <w:bookmarkStart w:id="0" w:name="_Toc211337865"/>
      <w:r w:rsidRPr="001C04E0">
        <w:rPr>
          <w:rFonts w:cs="Times New Roman"/>
        </w:rPr>
        <w:lastRenderedPageBreak/>
        <w:t>Chapter 1: Introduction</w:t>
      </w:r>
      <w:bookmarkEnd w:id="0"/>
    </w:p>
    <w:p w14:paraId="57362107" w14:textId="77777777" w:rsidR="008077C0" w:rsidRPr="001C04E0" w:rsidRDefault="00000000" w:rsidP="001C04E0">
      <w:pPr>
        <w:rPr>
          <w:rFonts w:cs="Times New Roman"/>
        </w:rPr>
      </w:pPr>
      <w:r w:rsidRPr="001C04E0">
        <w:rPr>
          <w:rFonts w:cs="Times New Roman"/>
        </w:rPr>
        <w:t>The contemporary hotel industry operates in an environment of intense competition and elevated guest expectations where service efficiency has become a key determinant of performance and reputation (Accor, 2024). For mid-scale brands in particular, timely and reliable delivery of routine services, notably breakfast and check-in/out during peak periods, is critical because these operations account for frequent guest touchpoints that shape overall satisfaction and repeat business (Leite-Pereira, 2022; STR, 2023). Industry benchmarking and group performance data confirm that operational effectiveness at peak times materially affects RevPAR and ancillary revenue generation, and that hotel groups are investing in process and digital initiatives to protect margins while meeting guest expectations (Accor, 2024; STR, 2023).</w:t>
      </w:r>
    </w:p>
    <w:p w14:paraId="529DFE6E" w14:textId="77777777" w:rsidR="008077C0" w:rsidRPr="001C04E0" w:rsidRDefault="00000000" w:rsidP="001C04E0">
      <w:pPr>
        <w:rPr>
          <w:rFonts w:cs="Times New Roman"/>
        </w:rPr>
      </w:pPr>
      <w:r w:rsidRPr="001C04E0">
        <w:rPr>
          <w:rFonts w:cs="Times New Roman"/>
        </w:rPr>
        <w:t>This project uses Ibis London Barking (commonly referred to as "IBIS Red – Barking") as a single case study to investigate how guest service efficiency might be improved during peak periods, with a particular emphasis on breakfast service. Ibis London Barking is a standard Ibis (red) property with 86 rooms, a hot-and-cold buffet breakfast, a restaurant and bar, and 24-hour reception facilities; its location and service offering typify Accor's mid-scale positioning and operational constraints (Accor, 2025). During the author's placement in the kitchen and at the front desk, recurrent operational issues were observed: apparent understaffing during peak breakfast hours, sub-optimal table allocation and rotation, and communication delays between kitchen and front-of-house staff that lengthened service times and caused guest dissatisfaction. These frontline observations align with broader sector evidence that labour shortages and skill gaps continue to challenge hospitality operations in the UK (UKHospitality, 2024; Fourth, 2023).</w:t>
      </w:r>
    </w:p>
    <w:p w14:paraId="1236A997" w14:textId="77777777" w:rsidR="008077C0" w:rsidRPr="001C04E0" w:rsidRDefault="00000000" w:rsidP="001C04E0">
      <w:pPr>
        <w:rPr>
          <w:rFonts w:cs="Times New Roman"/>
        </w:rPr>
      </w:pPr>
      <w:r w:rsidRPr="001C04E0">
        <w:rPr>
          <w:rFonts w:cs="Times New Roman"/>
        </w:rPr>
        <w:t>The problem addressed in this study is straightforward: inefficiencies during peak service periods can reduce service responsiveness and reliability, erode guest satisfaction and reviews, and ultimately impair revenue for mid-scale hotels. Empirical and industry studies indicate that poorly managed peak flows increase wait times and lower perceived service quality, which has measurable consequences for brand reputation and profitability (Revinate, 2022; Peng, 2024). In response, hotel operators are experimenting with a combination of operational redesign (lean workflows, staffing optimisation) and digital solutions (POS-KDS integration, pre-order and mobile services) to reduce cycle times and smooth peak demand (Buhalis &amp; Leung, 2018).</w:t>
      </w:r>
    </w:p>
    <w:p w14:paraId="5614C159" w14:textId="77777777" w:rsidR="008077C0" w:rsidRPr="001C04E0" w:rsidRDefault="00000000" w:rsidP="001C04E0">
      <w:pPr>
        <w:rPr>
          <w:rFonts w:cs="Times New Roman"/>
        </w:rPr>
      </w:pPr>
      <w:r w:rsidRPr="001C04E0">
        <w:rPr>
          <w:rFonts w:cs="Times New Roman"/>
          <w:b/>
        </w:rPr>
        <w:lastRenderedPageBreak/>
        <w:t xml:space="preserve">Project Aim: </w:t>
      </w:r>
      <w:r w:rsidRPr="001C04E0">
        <w:rPr>
          <w:rFonts w:cs="Times New Roman"/>
        </w:rPr>
        <w:t>To critically analyse the way in which the efficiency of the service during the peak periods (especially the breakfast service) can be enhanced in the IBIS Red -Barking by utilising operational and technological advancements.</w:t>
      </w:r>
    </w:p>
    <w:p w14:paraId="754A55B6" w14:textId="77777777" w:rsidR="008077C0" w:rsidRPr="001C04E0" w:rsidRDefault="00000000" w:rsidP="001C04E0">
      <w:pPr>
        <w:rPr>
          <w:rFonts w:cs="Times New Roman"/>
          <w:b/>
          <w:bCs/>
        </w:rPr>
      </w:pPr>
      <w:r w:rsidRPr="001C04E0">
        <w:rPr>
          <w:rFonts w:cs="Times New Roman"/>
          <w:b/>
          <w:bCs/>
        </w:rPr>
        <w:t>Project Objectives:</w:t>
      </w:r>
    </w:p>
    <w:p w14:paraId="3FC713EA" w14:textId="77777777" w:rsidR="008077C0" w:rsidRPr="001C04E0" w:rsidRDefault="00000000" w:rsidP="001C04E0">
      <w:pPr>
        <w:numPr>
          <w:ilvl w:val="0"/>
          <w:numId w:val="9"/>
        </w:numPr>
        <w:rPr>
          <w:rFonts w:cs="Times New Roman"/>
        </w:rPr>
      </w:pPr>
      <w:r w:rsidRPr="001C04E0">
        <w:rPr>
          <w:rFonts w:cs="Times New Roman"/>
        </w:rPr>
        <w:t>Assess the existing problem areas that impact the speed of service and customer satisfaction at busy times at IBIS Red- Barking.</w:t>
      </w:r>
    </w:p>
    <w:p w14:paraId="5353C7F5" w14:textId="77777777" w:rsidR="008077C0" w:rsidRPr="001C04E0" w:rsidRDefault="00000000" w:rsidP="001C04E0">
      <w:pPr>
        <w:numPr>
          <w:ilvl w:val="0"/>
          <w:numId w:val="9"/>
        </w:numPr>
        <w:rPr>
          <w:rFonts w:cs="Times New Roman"/>
        </w:rPr>
      </w:pPr>
      <w:r w:rsidRPr="001C04E0">
        <w:rPr>
          <w:rFonts w:cs="Times New Roman"/>
        </w:rPr>
        <w:t>Locate the best practices strategies in the academic literature and industry reports on the efficiency of service provision in hospitality operations.</w:t>
      </w:r>
    </w:p>
    <w:p w14:paraId="502AD493" w14:textId="77777777" w:rsidR="008077C0" w:rsidRPr="001C04E0" w:rsidRDefault="00000000" w:rsidP="001C04E0">
      <w:pPr>
        <w:numPr>
          <w:ilvl w:val="0"/>
          <w:numId w:val="9"/>
        </w:numPr>
        <w:rPr>
          <w:rFonts w:cs="Times New Roman"/>
        </w:rPr>
      </w:pPr>
      <w:r w:rsidRPr="001C04E0">
        <w:rPr>
          <w:rFonts w:cs="Times New Roman"/>
        </w:rPr>
        <w:t>Provide some recommendations on how to increase improvements to guest service processes based on the secondary data that can be sensibly implemented in IBIS Red - Barking.</w:t>
      </w:r>
    </w:p>
    <w:p w14:paraId="1629EBB0" w14:textId="77777777" w:rsidR="008077C0" w:rsidRPr="001C04E0" w:rsidRDefault="00000000" w:rsidP="001C04E0">
      <w:pPr>
        <w:rPr>
          <w:rFonts w:cs="Times New Roman"/>
        </w:rPr>
      </w:pPr>
      <w:r w:rsidRPr="001C04E0">
        <w:rPr>
          <w:rFonts w:cs="Times New Roman"/>
        </w:rPr>
        <w:t>The study is important both practically and theoretically. Practically, it seeks to provide IBIS Red – Barking with evidence-based, implementable options that could improve throughput and guest experience. Theoretically, the study contributes to service operations management literature by applying concepts of lean service, queuing and digitalisation to the specific context of mid-scale hotel breakfast operations. The remainder of the report proceeds as follows: Chapter 2 reviews relevant literature and theoretical frameworks; Chapter 3 outlines the secondary case-study methodology; Chapter 4 presents findings and discussion; and Chapter 5 concludes with recommendations and suggestions for further research.</w:t>
      </w:r>
    </w:p>
    <w:p w14:paraId="61438212" w14:textId="77777777" w:rsidR="00986A4D" w:rsidRPr="001C04E0" w:rsidRDefault="00000000" w:rsidP="001C04E0">
      <w:pPr>
        <w:pStyle w:val="Heading1"/>
        <w:rPr>
          <w:rFonts w:cs="Times New Roman"/>
        </w:rPr>
      </w:pPr>
      <w:bookmarkStart w:id="1" w:name="_Toc211337866"/>
      <w:r w:rsidRPr="001C04E0">
        <w:rPr>
          <w:rFonts w:cs="Times New Roman"/>
        </w:rPr>
        <w:t>Chapter 2: Literature Review</w:t>
      </w:r>
      <w:bookmarkEnd w:id="1"/>
    </w:p>
    <w:p w14:paraId="75E1E326" w14:textId="77777777" w:rsidR="00986A4D" w:rsidRPr="001C04E0" w:rsidRDefault="00000000" w:rsidP="001C04E0">
      <w:pPr>
        <w:rPr>
          <w:rFonts w:cs="Times New Roman"/>
        </w:rPr>
      </w:pPr>
      <w:r w:rsidRPr="001C04E0">
        <w:rPr>
          <w:rFonts w:cs="Times New Roman"/>
        </w:rPr>
        <w:t>This literature review critically examines research on service efficiency and guest experience in hospitality, with particular attention to breakfast and other peak-hour operations in mid-scale hotels. The review is organised under five subthemes: (1) service quality and guest experience, (2) operational efficiency and process design, (3) technology for efficiency, (4) human factors and communication, and (5) theoretical and conceptual models that guide diagnosis and intervention.</w:t>
      </w:r>
    </w:p>
    <w:p w14:paraId="75D4173F" w14:textId="77777777" w:rsidR="00986A4D" w:rsidRPr="001C04E0" w:rsidRDefault="00000000" w:rsidP="001C04E0">
      <w:pPr>
        <w:pStyle w:val="Heading2"/>
        <w:rPr>
          <w:rFonts w:cs="Times New Roman"/>
        </w:rPr>
      </w:pPr>
      <w:bookmarkStart w:id="2" w:name="_Toc211337867"/>
      <w:r w:rsidRPr="001C04E0">
        <w:rPr>
          <w:rFonts w:cs="Times New Roman"/>
        </w:rPr>
        <w:t xml:space="preserve">Service </w:t>
      </w:r>
      <w:r w:rsidR="00B233FF" w:rsidRPr="001C04E0">
        <w:rPr>
          <w:rFonts w:cs="Times New Roman"/>
        </w:rPr>
        <w:t>Q</w:t>
      </w:r>
      <w:r w:rsidRPr="001C04E0">
        <w:rPr>
          <w:rFonts w:cs="Times New Roman"/>
        </w:rPr>
        <w:t xml:space="preserve">uality and </w:t>
      </w:r>
      <w:r w:rsidR="00B233FF" w:rsidRPr="001C04E0">
        <w:rPr>
          <w:rFonts w:cs="Times New Roman"/>
        </w:rPr>
        <w:t>G</w:t>
      </w:r>
      <w:r w:rsidRPr="001C04E0">
        <w:rPr>
          <w:rFonts w:cs="Times New Roman"/>
        </w:rPr>
        <w:t xml:space="preserve">uest </w:t>
      </w:r>
      <w:r w:rsidR="00B233FF" w:rsidRPr="001C04E0">
        <w:rPr>
          <w:rFonts w:cs="Times New Roman"/>
        </w:rPr>
        <w:t>E</w:t>
      </w:r>
      <w:r w:rsidRPr="001C04E0">
        <w:rPr>
          <w:rFonts w:cs="Times New Roman"/>
        </w:rPr>
        <w:t xml:space="preserve">xperience in </w:t>
      </w:r>
      <w:r w:rsidR="00B233FF" w:rsidRPr="001C04E0">
        <w:rPr>
          <w:rFonts w:cs="Times New Roman"/>
        </w:rPr>
        <w:t>H</w:t>
      </w:r>
      <w:r w:rsidRPr="001C04E0">
        <w:rPr>
          <w:rFonts w:cs="Times New Roman"/>
        </w:rPr>
        <w:t>ospitality</w:t>
      </w:r>
      <w:r w:rsidR="00B233FF" w:rsidRPr="001C04E0">
        <w:rPr>
          <w:rFonts w:cs="Times New Roman"/>
        </w:rPr>
        <w:t>:</w:t>
      </w:r>
      <w:bookmarkEnd w:id="2"/>
    </w:p>
    <w:p w14:paraId="648CC232" w14:textId="77777777" w:rsidR="00986A4D" w:rsidRPr="001C04E0" w:rsidRDefault="00000000" w:rsidP="001C04E0">
      <w:pPr>
        <w:rPr>
          <w:rFonts w:cs="Times New Roman"/>
        </w:rPr>
      </w:pPr>
      <w:r w:rsidRPr="001C04E0">
        <w:rPr>
          <w:rFonts w:cs="Times New Roman"/>
        </w:rPr>
        <w:t>Service quality continues to be a central concern for hospitality researchers and practitioners because guests evaluate hotels predominantly on the reliability and responsiveness of core service encounters (Parasuraman, Zeithaml and Berry, 1988). The SERVQUAL framework</w:t>
      </w:r>
      <w:r w:rsidR="00ED2ABE" w:rsidRPr="001C04E0">
        <w:rPr>
          <w:rFonts w:cs="Times New Roman"/>
        </w:rPr>
        <w:t xml:space="preserve"> </w:t>
      </w:r>
      <w:r w:rsidRPr="001C04E0">
        <w:rPr>
          <w:rFonts w:cs="Times New Roman"/>
        </w:rPr>
        <w:t>tangibles, reliability, responsiveness, assurance and empathy</w:t>
      </w:r>
      <w:r w:rsidR="00ED2ABE" w:rsidRPr="001C04E0">
        <w:rPr>
          <w:rFonts w:cs="Times New Roman"/>
        </w:rPr>
        <w:t xml:space="preserve"> </w:t>
      </w:r>
      <w:r w:rsidRPr="001C04E0">
        <w:rPr>
          <w:rFonts w:cs="Times New Roman"/>
        </w:rPr>
        <w:t xml:space="preserve">provides a robust, guest-centred lens for analysing how operational lapses during peak periods translate into lowered perceived </w:t>
      </w:r>
      <w:r w:rsidRPr="001C04E0">
        <w:rPr>
          <w:rFonts w:cs="Times New Roman"/>
        </w:rPr>
        <w:lastRenderedPageBreak/>
        <w:t>quality (Parasuraman, Zeithaml and Berry, 1988). In practice, responsiveness and reliability are the SERVQUAL dimensions most stressed during breakfast and check-out peaks because these are high-frequency, highly visible touchpoints where delays are immediately noticed by guests (Dotchin and Oakland, 1994; Parasuraman, Zeithaml and Berry, 1988). Empirical analyses of online reviews and guest-feedback datasets show that delays at breakfast and congested reception times have disproportionate impacts on overall satisfaction and on e-word-of-mouth scores, which in turn affect future booking decisions (Ponteras, 2025; research into online review analytics).</w:t>
      </w:r>
    </w:p>
    <w:p w14:paraId="0702F12D" w14:textId="77777777" w:rsidR="00986A4D" w:rsidRPr="001C04E0" w:rsidRDefault="00000000" w:rsidP="001C04E0">
      <w:pPr>
        <w:rPr>
          <w:rFonts w:cs="Times New Roman"/>
        </w:rPr>
      </w:pPr>
      <w:r w:rsidRPr="001C04E0">
        <w:rPr>
          <w:rFonts w:cs="Times New Roman"/>
        </w:rPr>
        <w:t>Recent consumer-focused studies emphasise that breakfast performs both a functional and emotional role in the guest experience: it influences perceptions of value, sets the tone for the day, and often features in narratives in review platforms (Leite-Pereira, 2023). Consequently, modest operational failures</w:t>
      </w:r>
      <w:r w:rsidR="00ED2ABE" w:rsidRPr="001C04E0">
        <w:rPr>
          <w:rFonts w:cs="Times New Roman"/>
        </w:rPr>
        <w:t xml:space="preserve">, </w:t>
      </w:r>
      <w:r w:rsidRPr="001C04E0">
        <w:rPr>
          <w:rFonts w:cs="Times New Roman"/>
        </w:rPr>
        <w:t>long queues, empty buffet stations, and slow coffee service</w:t>
      </w:r>
      <w:r w:rsidR="00ED2ABE" w:rsidRPr="001C04E0">
        <w:rPr>
          <w:rFonts w:cs="Times New Roman"/>
        </w:rPr>
        <w:t xml:space="preserve"> </w:t>
      </w:r>
      <w:r w:rsidRPr="001C04E0">
        <w:rPr>
          <w:rFonts w:cs="Times New Roman"/>
        </w:rPr>
        <w:t>are amplified in guest evaluations, creating reputational risk for mid-scale brands where margins are thin and repeat bookings are important (Ponteras, 2025). These dynamics make service efficiency not merely a cost issue but a strategic determinant of brand performance.</w:t>
      </w:r>
    </w:p>
    <w:p w14:paraId="16EB0C3D" w14:textId="77777777" w:rsidR="00986A4D" w:rsidRPr="001C04E0" w:rsidRDefault="00000000" w:rsidP="001C04E0">
      <w:pPr>
        <w:pStyle w:val="Heading2"/>
        <w:rPr>
          <w:rFonts w:cs="Times New Roman"/>
        </w:rPr>
      </w:pPr>
      <w:bookmarkStart w:id="3" w:name="_Toc211337868"/>
      <w:r w:rsidRPr="001C04E0">
        <w:rPr>
          <w:rFonts w:cs="Times New Roman"/>
        </w:rPr>
        <w:t xml:space="preserve">Operational </w:t>
      </w:r>
      <w:r w:rsidR="00B233FF" w:rsidRPr="001C04E0">
        <w:rPr>
          <w:rFonts w:cs="Times New Roman"/>
        </w:rPr>
        <w:t>E</w:t>
      </w:r>
      <w:r w:rsidRPr="001C04E0">
        <w:rPr>
          <w:rFonts w:cs="Times New Roman"/>
        </w:rPr>
        <w:t xml:space="preserve">fficiency in </w:t>
      </w:r>
      <w:r w:rsidR="00B233FF" w:rsidRPr="001C04E0">
        <w:rPr>
          <w:rFonts w:cs="Times New Roman"/>
        </w:rPr>
        <w:t>H</w:t>
      </w:r>
      <w:r w:rsidRPr="001C04E0">
        <w:rPr>
          <w:rFonts w:cs="Times New Roman"/>
        </w:rPr>
        <w:t xml:space="preserve">otels: </w:t>
      </w:r>
      <w:r w:rsidR="00B233FF" w:rsidRPr="001C04E0">
        <w:rPr>
          <w:rFonts w:cs="Times New Roman"/>
        </w:rPr>
        <w:t>P</w:t>
      </w:r>
      <w:r w:rsidRPr="001C04E0">
        <w:rPr>
          <w:rFonts w:cs="Times New Roman"/>
        </w:rPr>
        <w:t xml:space="preserve">rocess </w:t>
      </w:r>
      <w:r w:rsidR="00B233FF" w:rsidRPr="001C04E0">
        <w:rPr>
          <w:rFonts w:cs="Times New Roman"/>
        </w:rPr>
        <w:t>O</w:t>
      </w:r>
      <w:r w:rsidRPr="001C04E0">
        <w:rPr>
          <w:rFonts w:cs="Times New Roman"/>
        </w:rPr>
        <w:t xml:space="preserve">ptimisation and </w:t>
      </w:r>
      <w:r w:rsidR="00B233FF" w:rsidRPr="001C04E0">
        <w:rPr>
          <w:rFonts w:cs="Times New Roman"/>
        </w:rPr>
        <w:t>W</w:t>
      </w:r>
      <w:r w:rsidRPr="001C04E0">
        <w:rPr>
          <w:rFonts w:cs="Times New Roman"/>
        </w:rPr>
        <w:t xml:space="preserve">orkflow </w:t>
      </w:r>
      <w:r w:rsidR="00B233FF" w:rsidRPr="001C04E0">
        <w:rPr>
          <w:rFonts w:cs="Times New Roman"/>
        </w:rPr>
        <w:t>D</w:t>
      </w:r>
      <w:r w:rsidRPr="001C04E0">
        <w:rPr>
          <w:rFonts w:cs="Times New Roman"/>
        </w:rPr>
        <w:t>esign</w:t>
      </w:r>
      <w:bookmarkEnd w:id="3"/>
    </w:p>
    <w:p w14:paraId="52413F2D" w14:textId="77777777" w:rsidR="00986A4D" w:rsidRPr="001C04E0" w:rsidRDefault="00000000" w:rsidP="001C04E0">
      <w:pPr>
        <w:rPr>
          <w:rFonts w:cs="Times New Roman"/>
        </w:rPr>
      </w:pPr>
      <w:r w:rsidRPr="001C04E0">
        <w:rPr>
          <w:rFonts w:cs="Times New Roman"/>
        </w:rPr>
        <w:t>Adaptations of Lean and manufacturing-derived process techniques to hotel and F&amp;B operations have become well-documented in the last decade. Foundational lean concepts</w:t>
      </w:r>
      <w:r w:rsidR="00ED2ABE" w:rsidRPr="001C04E0">
        <w:rPr>
          <w:rFonts w:cs="Times New Roman"/>
        </w:rPr>
        <w:t xml:space="preserve">, </w:t>
      </w:r>
      <w:r w:rsidRPr="001C04E0">
        <w:rPr>
          <w:rFonts w:cs="Times New Roman"/>
        </w:rPr>
        <w:t>value-stream mapping, elimination of non-value activities, and standardised work</w:t>
      </w:r>
      <w:r w:rsidR="00ED2ABE" w:rsidRPr="001C04E0">
        <w:rPr>
          <w:rFonts w:cs="Times New Roman"/>
        </w:rPr>
        <w:t xml:space="preserve"> </w:t>
      </w:r>
      <w:r w:rsidRPr="001C04E0">
        <w:rPr>
          <w:rFonts w:cs="Times New Roman"/>
        </w:rPr>
        <w:t>offer practical tools to diagnose and remove sources of delay in kitchens and service areas (Ohno, 1988; Womack and Jones, 1996). Contemporary hospitality research confirms these benefits: case studies and systematic investigations report that applying lean thinking to breakfast and back-of-house operations can reduce food-to-table times, decrease wait times for seating, and improve consistency of service delivery (Perdomo-Verdecia, 2022; Kartinawati, 2022). Value-stream mapping is repeatedly flagged as especially useful because it visualises handoffs between reception, FOH and kitchen and illuminates points of accumulation (Perdomo-Verdecia, 2022).</w:t>
      </w:r>
    </w:p>
    <w:p w14:paraId="2C2171F9" w14:textId="77777777" w:rsidR="00986A4D" w:rsidRPr="001C04E0" w:rsidRDefault="00000000" w:rsidP="001C04E0">
      <w:pPr>
        <w:rPr>
          <w:rFonts w:cs="Times New Roman"/>
        </w:rPr>
      </w:pPr>
      <w:r w:rsidRPr="001C04E0">
        <w:rPr>
          <w:rFonts w:cs="Times New Roman"/>
        </w:rPr>
        <w:t xml:space="preserve">Empirical time-motion and simulation studies provide quantitative evidence supporting simple, low-cost interventions. Observational stopwatch studies, agent-based simulations and time-driven activity-based costing (TDABC) analyses have shown that modest layout reconfigurations, the introduction of parallel service stations, or reallocating personnel at critical intervals can reduce average service cycle times meaningfully (Aguilar-Escobar, </w:t>
      </w:r>
      <w:r w:rsidRPr="001C04E0">
        <w:rPr>
          <w:rFonts w:cs="Times New Roman"/>
        </w:rPr>
        <w:lastRenderedPageBreak/>
        <w:t>Garrido-Vega, Majado-Márquez and Camuñez-Ruiz, 2021; research on automated layout reconfiguration, 2019). In hotel breakfast contexts, organising food-assembly points, using grab-and-go stations, and simplifying plating sequences are examples that consistently lower labour cost per cover while preserving perceived quality (Shimmura, 2017; Lim, 2019). Business Process Management (BPM) approaches and process modelling are increasingly used to simulate “what-if” scenarios before capital investment, reducing implementation risk (Chalupa and Petricek, 2020).</w:t>
      </w:r>
    </w:p>
    <w:p w14:paraId="1A1E2205" w14:textId="77777777" w:rsidR="00986A4D" w:rsidRPr="001C04E0" w:rsidRDefault="00000000" w:rsidP="001C04E0">
      <w:pPr>
        <w:pStyle w:val="Heading2"/>
        <w:rPr>
          <w:rFonts w:cs="Times New Roman"/>
        </w:rPr>
      </w:pPr>
      <w:bookmarkStart w:id="4" w:name="_Toc211337869"/>
      <w:r w:rsidRPr="001C04E0">
        <w:rPr>
          <w:rFonts w:cs="Times New Roman"/>
        </w:rPr>
        <w:t xml:space="preserve">Technology in </w:t>
      </w:r>
      <w:r w:rsidR="00B233FF" w:rsidRPr="001C04E0">
        <w:rPr>
          <w:rFonts w:cs="Times New Roman"/>
        </w:rPr>
        <w:t>E</w:t>
      </w:r>
      <w:r w:rsidRPr="001C04E0">
        <w:rPr>
          <w:rFonts w:cs="Times New Roman"/>
        </w:rPr>
        <w:t xml:space="preserve">nhancing </w:t>
      </w:r>
      <w:r w:rsidR="00B233FF" w:rsidRPr="001C04E0">
        <w:rPr>
          <w:rFonts w:cs="Times New Roman"/>
        </w:rPr>
        <w:t>S</w:t>
      </w:r>
      <w:r w:rsidRPr="001C04E0">
        <w:rPr>
          <w:rFonts w:cs="Times New Roman"/>
        </w:rPr>
        <w:t xml:space="preserve">ervice </w:t>
      </w:r>
      <w:r w:rsidR="00B233FF" w:rsidRPr="001C04E0">
        <w:rPr>
          <w:rFonts w:cs="Times New Roman"/>
        </w:rPr>
        <w:t>E</w:t>
      </w:r>
      <w:r w:rsidRPr="001C04E0">
        <w:rPr>
          <w:rFonts w:cs="Times New Roman"/>
        </w:rPr>
        <w:t>fficiency</w:t>
      </w:r>
      <w:r w:rsidR="00B233FF" w:rsidRPr="001C04E0">
        <w:rPr>
          <w:rFonts w:cs="Times New Roman"/>
        </w:rPr>
        <w:t>:</w:t>
      </w:r>
      <w:bookmarkEnd w:id="4"/>
    </w:p>
    <w:p w14:paraId="110BD503" w14:textId="77777777" w:rsidR="00986A4D" w:rsidRPr="001C04E0" w:rsidRDefault="00000000" w:rsidP="001C04E0">
      <w:pPr>
        <w:rPr>
          <w:rFonts w:cs="Times New Roman"/>
        </w:rPr>
      </w:pPr>
      <w:r w:rsidRPr="001C04E0">
        <w:rPr>
          <w:rFonts w:cs="Times New Roman"/>
        </w:rPr>
        <w:t>Digitalisation has emerged as a major lever for smoothing peak demand and improving coordination. Studies of mobile food-ordering applications (MFOAs) and mobile-dining platforms indicate that pre-ordering and mobile payment reduce ordering time at the point of service and can smooth kitchen workflows by staggering preparation (SAGE Journal study on MFOAs, 2024; Dirsehan, 2021). Leading hotel chains’ mobile-dining solutions (e.g., Marriott Mobile Dining) demonstrate how integration between guest apps and kitchen workflows can increase ancillary F&amp;B revenue while freeing staff for guest interaction and order fulfilment tasks (IRIS case study; Marriott documentation). Evidence also shows that such systems support upselling and improved guest awareness of offerings, both beneficial at breakfast when per-cover spend matters.</w:t>
      </w:r>
    </w:p>
    <w:p w14:paraId="0DF79A9A" w14:textId="77777777" w:rsidR="00986A4D" w:rsidRPr="001C04E0" w:rsidRDefault="00000000" w:rsidP="001C04E0">
      <w:pPr>
        <w:rPr>
          <w:rFonts w:cs="Times New Roman"/>
        </w:rPr>
      </w:pPr>
      <w:r w:rsidRPr="001C04E0">
        <w:rPr>
          <w:rFonts w:cs="Times New Roman"/>
        </w:rPr>
        <w:t>Kitchen Display Systems (KDS) and integrated POS-KDS setups are particularly relevant for the IBIS context because they reduce paper orders, improve order accuracy and help kitchens sequence work more efficiently across outlets (market reports on KDS adoption). Market research and practitioner reports highlight growing KDS adoption in hotels and quick-service operations for event catering and multiple-outlet coordination (DataIntelo; MarketIntelo), while academic reviews caution that technology must be deployed alongside process change and staff training to avoid unintended service friction (Iranmanesh, 2022; Ye, 2022). Automation, such as self-check-in or robotic delivery, is promising but introduces socio-technical challenges (resistance, maintenance, guest acceptance) that limit immediate applicability in mid-scale settings unless piloted carefully (Ye, 2022; Fu, 2022).</w:t>
      </w:r>
    </w:p>
    <w:p w14:paraId="6EF2B67F" w14:textId="77777777" w:rsidR="00986A4D" w:rsidRPr="001C04E0" w:rsidRDefault="00000000" w:rsidP="001C04E0">
      <w:pPr>
        <w:pStyle w:val="Heading2"/>
        <w:rPr>
          <w:rFonts w:cs="Times New Roman"/>
        </w:rPr>
      </w:pPr>
      <w:bookmarkStart w:id="5" w:name="_Toc211337870"/>
      <w:r w:rsidRPr="001C04E0">
        <w:rPr>
          <w:rFonts w:cs="Times New Roman"/>
        </w:rPr>
        <w:t xml:space="preserve">Human </w:t>
      </w:r>
      <w:r w:rsidR="00B233FF" w:rsidRPr="001C04E0">
        <w:rPr>
          <w:rFonts w:cs="Times New Roman"/>
        </w:rPr>
        <w:t>F</w:t>
      </w:r>
      <w:r w:rsidRPr="001C04E0">
        <w:rPr>
          <w:rFonts w:cs="Times New Roman"/>
        </w:rPr>
        <w:t xml:space="preserve">actors and </w:t>
      </w:r>
      <w:r w:rsidR="00B233FF" w:rsidRPr="001C04E0">
        <w:rPr>
          <w:rFonts w:cs="Times New Roman"/>
        </w:rPr>
        <w:t>C</w:t>
      </w:r>
      <w:r w:rsidRPr="001C04E0">
        <w:rPr>
          <w:rFonts w:cs="Times New Roman"/>
        </w:rPr>
        <w:t xml:space="preserve">ommunication </w:t>
      </w:r>
      <w:r w:rsidR="00B233FF" w:rsidRPr="001C04E0">
        <w:rPr>
          <w:rFonts w:cs="Times New Roman"/>
        </w:rPr>
        <w:t>C</w:t>
      </w:r>
      <w:r w:rsidRPr="001C04E0">
        <w:rPr>
          <w:rFonts w:cs="Times New Roman"/>
        </w:rPr>
        <w:t>hallenges</w:t>
      </w:r>
      <w:r w:rsidR="00B233FF" w:rsidRPr="001C04E0">
        <w:rPr>
          <w:rFonts w:cs="Times New Roman"/>
        </w:rPr>
        <w:t>:</w:t>
      </w:r>
      <w:bookmarkEnd w:id="5"/>
    </w:p>
    <w:p w14:paraId="70501AF3" w14:textId="77777777" w:rsidR="00986A4D" w:rsidRPr="001C04E0" w:rsidRDefault="00000000" w:rsidP="001C04E0">
      <w:pPr>
        <w:rPr>
          <w:rFonts w:cs="Times New Roman"/>
        </w:rPr>
      </w:pPr>
      <w:r w:rsidRPr="001C04E0">
        <w:rPr>
          <w:rFonts w:cs="Times New Roman"/>
        </w:rPr>
        <w:t xml:space="preserve">Human and organisational elements are recurrent themes in studies of service failure: poor coordination between FOH and kitchen, unclear role allocation, and inadequate pre-shift briefings are leading causes of prolonged service times and errors (Leonard, Graham and Bonacum, 2004; Afifi, 2023). Research from the chef's perspective emphasises that many </w:t>
      </w:r>
      <w:r w:rsidRPr="001C04E0">
        <w:rPr>
          <w:rFonts w:cs="Times New Roman"/>
        </w:rPr>
        <w:lastRenderedPageBreak/>
        <w:t>kitchen failures that lengthen service times are preventable when communication protocols and standards are instituted (Afifi, 2023). Practical interventions, such as</w:t>
      </w:r>
      <w:r w:rsidR="00ED2ABE" w:rsidRPr="001C04E0">
        <w:rPr>
          <w:rFonts w:cs="Times New Roman"/>
        </w:rPr>
        <w:t xml:space="preserve"> </w:t>
      </w:r>
      <w:r w:rsidRPr="001C04E0">
        <w:rPr>
          <w:rFonts w:cs="Times New Roman"/>
        </w:rPr>
        <w:t>structured handovers, simple in-service checklists, and real-time messaging tools</w:t>
      </w:r>
      <w:r w:rsidR="00ED2ABE" w:rsidRPr="001C04E0">
        <w:rPr>
          <w:rFonts w:cs="Times New Roman"/>
        </w:rPr>
        <w:t xml:space="preserve">, </w:t>
      </w:r>
      <w:r w:rsidRPr="001C04E0">
        <w:rPr>
          <w:rFonts w:cs="Times New Roman"/>
        </w:rPr>
        <w:t>have empirical support for reducing miscommunication and speeding table turnaround (Lee, 2023).</w:t>
      </w:r>
    </w:p>
    <w:p w14:paraId="4C26BD02" w14:textId="77777777" w:rsidR="00986A4D" w:rsidRPr="001C04E0" w:rsidRDefault="00000000" w:rsidP="001C04E0">
      <w:pPr>
        <w:rPr>
          <w:rFonts w:cs="Times New Roman"/>
        </w:rPr>
      </w:pPr>
      <w:r w:rsidRPr="001C04E0">
        <w:rPr>
          <w:rFonts w:cs="Times New Roman"/>
        </w:rPr>
        <w:t>At the sector level, staffing shortages and skills gaps amplify these human factors, particularly in the UK and Europe, where persistent vacancies force managers to operate with lean rosters and flexible (but often stressed) teams (House of Commons Library briefing; Fourth Workforce Report). Labour market pressures, therefore, increase the value of interventions that reduce dependency on extra headcount</w:t>
      </w:r>
      <w:r w:rsidR="00ED2ABE" w:rsidRPr="001C04E0">
        <w:rPr>
          <w:rFonts w:cs="Times New Roman"/>
        </w:rPr>
        <w:t xml:space="preserve">, </w:t>
      </w:r>
      <w:r w:rsidRPr="001C04E0">
        <w:rPr>
          <w:rFonts w:cs="Times New Roman"/>
        </w:rPr>
        <w:t>process redesign, technology that lowers transactional labour, and cross-training that improves workforce flexibility (House of Commons Library, 2023; Fourth, 2023). Moreover, recent industry reporting indicates rising overheads and recruitment difficulties that make low-cost operational improvements especially attractive to mid-scale operators (The Guardian, 2025).</w:t>
      </w:r>
    </w:p>
    <w:p w14:paraId="052DE2C0" w14:textId="77777777" w:rsidR="00986A4D" w:rsidRPr="001C04E0" w:rsidRDefault="00000000" w:rsidP="001C04E0">
      <w:pPr>
        <w:pStyle w:val="Heading2"/>
        <w:rPr>
          <w:rFonts w:cs="Times New Roman"/>
        </w:rPr>
      </w:pPr>
      <w:bookmarkStart w:id="6" w:name="_Toc211337871"/>
      <w:r w:rsidRPr="001C04E0">
        <w:rPr>
          <w:rFonts w:cs="Times New Roman"/>
        </w:rPr>
        <w:t xml:space="preserve">Theoretical and </w:t>
      </w:r>
      <w:r w:rsidR="00B233FF" w:rsidRPr="001C04E0">
        <w:rPr>
          <w:rFonts w:cs="Times New Roman"/>
        </w:rPr>
        <w:t>C</w:t>
      </w:r>
      <w:r w:rsidRPr="001C04E0">
        <w:rPr>
          <w:rFonts w:cs="Times New Roman"/>
        </w:rPr>
        <w:t xml:space="preserve">onceptual </w:t>
      </w:r>
      <w:r w:rsidR="00B233FF" w:rsidRPr="001C04E0">
        <w:rPr>
          <w:rFonts w:cs="Times New Roman"/>
        </w:rPr>
        <w:t>M</w:t>
      </w:r>
      <w:r w:rsidRPr="001C04E0">
        <w:rPr>
          <w:rFonts w:cs="Times New Roman"/>
        </w:rPr>
        <w:t>odels</w:t>
      </w:r>
      <w:r w:rsidR="00B233FF" w:rsidRPr="001C04E0">
        <w:rPr>
          <w:rFonts w:cs="Times New Roman"/>
        </w:rPr>
        <w:t>:</w:t>
      </w:r>
      <w:bookmarkEnd w:id="6"/>
    </w:p>
    <w:p w14:paraId="4C609E3D" w14:textId="77777777" w:rsidR="00986A4D" w:rsidRPr="001C04E0" w:rsidRDefault="00000000" w:rsidP="001C04E0">
      <w:pPr>
        <w:rPr>
          <w:rFonts w:cs="Times New Roman"/>
        </w:rPr>
      </w:pPr>
      <w:r w:rsidRPr="001C04E0">
        <w:rPr>
          <w:rFonts w:cs="Times New Roman"/>
        </w:rPr>
        <w:t>Integrative frameworks provide practical roadmaps for diagnosing and solving peak-hour problems. SERVQUAL centres the guest perspective and connects operational metrics (wait times, order accuracy) with perceived service quality (Parasuraman, Zeithaml and Berry, 1988). Lean management (Ohno, 1988; Womack and Jones, 1996) offers process tools to remove waste in kitchen and FOH flows. Queuing theory supplies quantitative models to estimate required server capacity for given arrival rates and desired service levels</w:t>
      </w:r>
      <w:r w:rsidR="00ED2ABE" w:rsidRPr="001C04E0">
        <w:rPr>
          <w:rFonts w:cs="Times New Roman"/>
        </w:rPr>
        <w:t xml:space="preserve">, </w:t>
      </w:r>
      <w:r w:rsidRPr="001C04E0">
        <w:rPr>
          <w:rFonts w:cs="Times New Roman"/>
        </w:rPr>
        <w:t xml:space="preserve">an approach that has been applied successfully in food-service settings to determine optimal server numbers and reduce average waiting times (IJSTR queuing study, 2019). PESTEL and SWOT analyses situate local process decisions within broader technological, economic and labour market constraints, ensuring that proposed changes are feasible and resilient to external shocks. Combining these models supports a staged intervention strategy: measure (time-motion, queuing), redesign (lean/BPM), enable (technology), and embed (training and workforce planning). </w:t>
      </w:r>
    </w:p>
    <w:p w14:paraId="31A376BC" w14:textId="77777777" w:rsidR="00986A4D" w:rsidRPr="001C04E0" w:rsidRDefault="00000000" w:rsidP="001C04E0">
      <w:pPr>
        <w:pStyle w:val="Heading2"/>
        <w:rPr>
          <w:rFonts w:cs="Times New Roman"/>
        </w:rPr>
      </w:pPr>
      <w:bookmarkStart w:id="7" w:name="_Toc211337872"/>
      <w:r w:rsidRPr="001C04E0">
        <w:rPr>
          <w:rFonts w:cs="Times New Roman"/>
        </w:rPr>
        <w:t xml:space="preserve">Synthesis and </w:t>
      </w:r>
      <w:r w:rsidR="00B233FF" w:rsidRPr="001C04E0">
        <w:rPr>
          <w:rFonts w:cs="Times New Roman"/>
        </w:rPr>
        <w:t>I</w:t>
      </w:r>
      <w:r w:rsidRPr="001C04E0">
        <w:rPr>
          <w:rFonts w:cs="Times New Roman"/>
        </w:rPr>
        <w:t>mplications for IBIS London Barking</w:t>
      </w:r>
      <w:r w:rsidR="00B233FF" w:rsidRPr="001C04E0">
        <w:rPr>
          <w:rFonts w:cs="Times New Roman"/>
        </w:rPr>
        <w:t>:</w:t>
      </w:r>
      <w:bookmarkEnd w:id="7"/>
    </w:p>
    <w:p w14:paraId="670EC557" w14:textId="77777777" w:rsidR="008077C0" w:rsidRPr="001C04E0" w:rsidRDefault="00000000" w:rsidP="001C04E0">
      <w:pPr>
        <w:rPr>
          <w:rFonts w:cs="Times New Roman"/>
        </w:rPr>
      </w:pPr>
      <w:r w:rsidRPr="001C04E0">
        <w:rPr>
          <w:rFonts w:cs="Times New Roman"/>
        </w:rPr>
        <w:t>The reviewed literature converges on a multi-pronged solution logic: effective peak-hour improvement requires simultaneous attention to process design, targeted technology adoption, and human-centred practices that manage communication and skill constraints. For a mid-scale hotel such as IBIS London Barking</w:t>
      </w:r>
      <w:r w:rsidR="00ED2ABE" w:rsidRPr="001C04E0">
        <w:rPr>
          <w:rFonts w:cs="Times New Roman"/>
        </w:rPr>
        <w:t xml:space="preserve">, </w:t>
      </w:r>
      <w:r w:rsidRPr="001C04E0">
        <w:rPr>
          <w:rFonts w:cs="Times New Roman"/>
        </w:rPr>
        <w:t>where breakfast is a recurring high-impact touchpoint</w:t>
      </w:r>
      <w:r w:rsidR="00ED2ABE" w:rsidRPr="001C04E0">
        <w:rPr>
          <w:rFonts w:cs="Times New Roman"/>
        </w:rPr>
        <w:t xml:space="preserve">, </w:t>
      </w:r>
      <w:r w:rsidRPr="001C04E0">
        <w:rPr>
          <w:rFonts w:cs="Times New Roman"/>
        </w:rPr>
        <w:t xml:space="preserve">this implies that modest investments (KDS, mobile pre-order, breakfast station reconfiguration) </w:t>
      </w:r>
      <w:r w:rsidRPr="001C04E0">
        <w:rPr>
          <w:rFonts w:cs="Times New Roman"/>
        </w:rPr>
        <w:lastRenderedPageBreak/>
        <w:t>combined with operational redesign and short, focused staff interventions (briefings, role clarity) are likely to yield measurable improvements in throughput and guest satisfaction. The subsequent methodology chapter will explain how secondary evidence and thematic analysis will be applied to assess which of these approaches is most appropriate for IBIS London Barking.</w:t>
      </w:r>
    </w:p>
    <w:p w14:paraId="3CB5798A" w14:textId="77777777" w:rsidR="000D1E06" w:rsidRPr="001C04E0" w:rsidRDefault="00000000" w:rsidP="001C04E0">
      <w:pPr>
        <w:pStyle w:val="Heading1"/>
        <w:rPr>
          <w:rFonts w:cs="Times New Roman"/>
        </w:rPr>
      </w:pPr>
      <w:bookmarkStart w:id="8" w:name="_Toc211337873"/>
      <w:r w:rsidRPr="001C04E0">
        <w:rPr>
          <w:rFonts w:cs="Times New Roman"/>
        </w:rPr>
        <w:t>Chapter 3: Methodology</w:t>
      </w:r>
      <w:bookmarkEnd w:id="8"/>
    </w:p>
    <w:p w14:paraId="1904824B" w14:textId="77777777" w:rsidR="000D1E06" w:rsidRPr="001C04E0" w:rsidRDefault="00000000" w:rsidP="001C04E0">
      <w:pPr>
        <w:pStyle w:val="Heading2"/>
        <w:rPr>
          <w:rFonts w:cs="Times New Roman"/>
        </w:rPr>
      </w:pPr>
      <w:bookmarkStart w:id="9" w:name="_Toc211337874"/>
      <w:r w:rsidRPr="001C04E0">
        <w:rPr>
          <w:rFonts w:cs="Times New Roman"/>
        </w:rPr>
        <w:t xml:space="preserve">Research </w:t>
      </w:r>
      <w:r w:rsidR="00B233FF" w:rsidRPr="001C04E0">
        <w:rPr>
          <w:rFonts w:cs="Times New Roman"/>
        </w:rPr>
        <w:t>A</w:t>
      </w:r>
      <w:r w:rsidRPr="001C04E0">
        <w:rPr>
          <w:rFonts w:cs="Times New Roman"/>
        </w:rPr>
        <w:t>pproach</w:t>
      </w:r>
      <w:r w:rsidR="00B233FF" w:rsidRPr="001C04E0">
        <w:rPr>
          <w:rFonts w:cs="Times New Roman"/>
        </w:rPr>
        <w:t>:</w:t>
      </w:r>
      <w:bookmarkEnd w:id="9"/>
    </w:p>
    <w:p w14:paraId="5D0744F2" w14:textId="77777777" w:rsidR="000D1E06" w:rsidRPr="001C04E0" w:rsidRDefault="00000000" w:rsidP="001C04E0">
      <w:pPr>
        <w:rPr>
          <w:rFonts w:cs="Times New Roman"/>
        </w:rPr>
      </w:pPr>
      <w:r w:rsidRPr="001C04E0">
        <w:rPr>
          <w:rFonts w:cs="Times New Roman"/>
        </w:rPr>
        <w:t xml:space="preserve">This study adopts a qualitative, secondary research approach that is exploratory and descriptive in nature. Secondary research is appropriate where the aim is to synthesise existing knowledge, compare best practice and derive practicable recommendations for a single organisational case without primary data collection (Saunders, Lewis &amp; Thornhill, 2019). Using secondary sources allows the researcher to draw on a broad range of academic studies, industry reports and practitioner guidance to form an evidence base for operational and technological interventions that may be feasible for a mid-scale hotel such as IBIS London Barking (Wickham, 2019). </w:t>
      </w:r>
    </w:p>
    <w:p w14:paraId="7AECDF9D" w14:textId="77777777" w:rsidR="000D1E06" w:rsidRPr="001C04E0" w:rsidRDefault="00000000" w:rsidP="001C04E0">
      <w:pPr>
        <w:pStyle w:val="Heading2"/>
        <w:rPr>
          <w:rFonts w:cs="Times New Roman"/>
        </w:rPr>
      </w:pPr>
      <w:bookmarkStart w:id="10" w:name="_Toc211337875"/>
      <w:r w:rsidRPr="001C04E0">
        <w:rPr>
          <w:rFonts w:cs="Times New Roman"/>
        </w:rPr>
        <w:t>Case-</w:t>
      </w:r>
      <w:r w:rsidR="00B233FF" w:rsidRPr="001C04E0">
        <w:rPr>
          <w:rFonts w:cs="Times New Roman"/>
        </w:rPr>
        <w:t>S</w:t>
      </w:r>
      <w:r w:rsidRPr="001C04E0">
        <w:rPr>
          <w:rFonts w:cs="Times New Roman"/>
        </w:rPr>
        <w:t xml:space="preserve">tudy </w:t>
      </w:r>
      <w:r w:rsidR="00B233FF" w:rsidRPr="001C04E0">
        <w:rPr>
          <w:rFonts w:cs="Times New Roman"/>
        </w:rPr>
        <w:t>M</w:t>
      </w:r>
      <w:r w:rsidRPr="001C04E0">
        <w:rPr>
          <w:rFonts w:cs="Times New Roman"/>
        </w:rPr>
        <w:t>ethodology</w:t>
      </w:r>
      <w:r w:rsidR="00B233FF" w:rsidRPr="001C04E0">
        <w:rPr>
          <w:rFonts w:cs="Times New Roman"/>
        </w:rPr>
        <w:t>:</w:t>
      </w:r>
      <w:r w:rsidRPr="001C04E0">
        <w:rPr>
          <w:rFonts w:cs="Times New Roman"/>
        </w:rPr>
        <w:t xml:space="preserve"> </w:t>
      </w:r>
      <w:r w:rsidR="00B233FF" w:rsidRPr="001C04E0">
        <w:rPr>
          <w:rFonts w:cs="Times New Roman"/>
        </w:rPr>
        <w:t>J</w:t>
      </w:r>
      <w:r w:rsidRPr="001C04E0">
        <w:rPr>
          <w:rFonts w:cs="Times New Roman"/>
        </w:rPr>
        <w:t>ustification for IBIS London Barking</w:t>
      </w:r>
      <w:bookmarkEnd w:id="10"/>
    </w:p>
    <w:p w14:paraId="6C4B72DC" w14:textId="77777777" w:rsidR="000D1E06" w:rsidRPr="001C04E0" w:rsidRDefault="00000000" w:rsidP="001C04E0">
      <w:pPr>
        <w:rPr>
          <w:rFonts w:cs="Times New Roman"/>
        </w:rPr>
      </w:pPr>
      <w:r w:rsidRPr="001C04E0">
        <w:rPr>
          <w:rFonts w:cs="Times New Roman"/>
        </w:rPr>
        <w:t>A single case-study design is used to permit an in-depth, contextualised analysis of peak-hour service efficiency within a real hotel setting (Yin, 2018). The case</w:t>
      </w:r>
      <w:r w:rsidR="00ED2ABE" w:rsidRPr="001C04E0">
        <w:rPr>
          <w:rFonts w:cs="Times New Roman"/>
        </w:rPr>
        <w:t xml:space="preserve"> </w:t>
      </w:r>
      <w:r w:rsidRPr="001C04E0">
        <w:rPr>
          <w:rFonts w:cs="Times New Roman"/>
        </w:rPr>
        <w:t>IBIS London Barking</w:t>
      </w:r>
      <w:r w:rsidR="00ED2ABE" w:rsidRPr="001C04E0">
        <w:rPr>
          <w:rFonts w:cs="Times New Roman"/>
        </w:rPr>
        <w:t xml:space="preserve"> </w:t>
      </w:r>
      <w:r w:rsidRPr="001C04E0">
        <w:rPr>
          <w:rFonts w:cs="Times New Roman"/>
        </w:rPr>
        <w:t xml:space="preserve">was chosen because it is representative of Accor's standard Ibis (red) mid-scale portfolio (86 rooms, buffet breakfast, FOH–kitchen interface) and because the author's placement role in both kitchen and reception produced rich, practitioner insight that can be triangulated with published evidence. Case studies are particularly valuable when the research objective is to explain "how" and "why" phenomena occur in context and to identify actionable, context-sensitive interventions (Yin, 2018). </w:t>
      </w:r>
    </w:p>
    <w:p w14:paraId="25824042" w14:textId="77777777" w:rsidR="000D1E06" w:rsidRPr="001C04E0" w:rsidRDefault="00000000" w:rsidP="001C04E0">
      <w:pPr>
        <w:pStyle w:val="Heading2"/>
        <w:rPr>
          <w:rFonts w:cs="Times New Roman"/>
        </w:rPr>
      </w:pPr>
      <w:bookmarkStart w:id="11" w:name="_Toc211337876"/>
      <w:r w:rsidRPr="001C04E0">
        <w:rPr>
          <w:rFonts w:cs="Times New Roman"/>
        </w:rPr>
        <w:t xml:space="preserve">Data </w:t>
      </w:r>
      <w:r w:rsidR="00B233FF" w:rsidRPr="001C04E0">
        <w:rPr>
          <w:rFonts w:cs="Times New Roman"/>
        </w:rPr>
        <w:t>S</w:t>
      </w:r>
      <w:r w:rsidRPr="001C04E0">
        <w:rPr>
          <w:rFonts w:cs="Times New Roman"/>
        </w:rPr>
        <w:t>ources</w:t>
      </w:r>
      <w:r w:rsidR="00B233FF" w:rsidRPr="001C04E0">
        <w:rPr>
          <w:rFonts w:cs="Times New Roman"/>
        </w:rPr>
        <w:t>:</w:t>
      </w:r>
      <w:bookmarkEnd w:id="11"/>
    </w:p>
    <w:p w14:paraId="10E7F1D5" w14:textId="77777777" w:rsidR="000D1E06" w:rsidRPr="001C04E0" w:rsidRDefault="00000000" w:rsidP="001C04E0">
      <w:pPr>
        <w:rPr>
          <w:rFonts w:cs="Times New Roman"/>
        </w:rPr>
      </w:pPr>
      <w:r w:rsidRPr="001C04E0">
        <w:rPr>
          <w:rFonts w:cs="Times New Roman"/>
        </w:rPr>
        <w:t xml:space="preserve">The study draws on four classes of secondary material: (1) peer-reviewed academic literature on service quality, lean operations, queuing and technology in hospitality; (2) industry and market reports (e.g., hospitality trade bodies, technology market analyses) that document operational benchmarks and technology adoption trends; (3) corporate and practitioner materials (Accor operational/guest experience guidance, product pages for POS/KDS vendors); and (4) methodological literature on secondary analysis and thematic analysis to guide interpretation (Easterby-Smith, Thorpe &amp; Jackson, 2018; SAGE Secondary Data Analysis, </w:t>
      </w:r>
      <w:r w:rsidRPr="001C04E0">
        <w:rPr>
          <w:rFonts w:cs="Times New Roman"/>
        </w:rPr>
        <w:lastRenderedPageBreak/>
        <w:t>2024). Selection criteria emphasise currency (2015–2025), relevance to mid-scale hotel operations, and methodological rigour of the source.</w:t>
      </w:r>
    </w:p>
    <w:p w14:paraId="2D35214B" w14:textId="77777777" w:rsidR="000D1E06" w:rsidRPr="001C04E0" w:rsidRDefault="00000000" w:rsidP="001C04E0">
      <w:pPr>
        <w:pStyle w:val="Heading2"/>
        <w:rPr>
          <w:rFonts w:cs="Times New Roman"/>
        </w:rPr>
      </w:pPr>
      <w:bookmarkStart w:id="12" w:name="_Toc211337877"/>
      <w:r w:rsidRPr="001C04E0">
        <w:rPr>
          <w:rFonts w:cs="Times New Roman"/>
        </w:rPr>
        <w:t xml:space="preserve">Data </w:t>
      </w:r>
      <w:r w:rsidR="00B233FF" w:rsidRPr="001C04E0">
        <w:rPr>
          <w:rFonts w:cs="Times New Roman"/>
        </w:rPr>
        <w:t>A</w:t>
      </w:r>
      <w:r w:rsidRPr="001C04E0">
        <w:rPr>
          <w:rFonts w:cs="Times New Roman"/>
        </w:rPr>
        <w:t xml:space="preserve">nalysis </w:t>
      </w:r>
      <w:r w:rsidR="00B233FF" w:rsidRPr="001C04E0">
        <w:rPr>
          <w:rFonts w:cs="Times New Roman"/>
        </w:rPr>
        <w:t>T</w:t>
      </w:r>
      <w:r w:rsidRPr="001C04E0">
        <w:rPr>
          <w:rFonts w:cs="Times New Roman"/>
        </w:rPr>
        <w:t>echnique</w:t>
      </w:r>
      <w:r w:rsidR="00B233FF" w:rsidRPr="001C04E0">
        <w:rPr>
          <w:rFonts w:cs="Times New Roman"/>
        </w:rPr>
        <w:t>:</w:t>
      </w:r>
      <w:r w:rsidRPr="001C04E0">
        <w:rPr>
          <w:rFonts w:cs="Times New Roman"/>
        </w:rPr>
        <w:t xml:space="preserve"> </w:t>
      </w:r>
      <w:r w:rsidR="00B233FF" w:rsidRPr="001C04E0">
        <w:rPr>
          <w:rFonts w:cs="Times New Roman"/>
        </w:rPr>
        <w:t>T</w:t>
      </w:r>
      <w:r w:rsidRPr="001C04E0">
        <w:rPr>
          <w:rFonts w:cs="Times New Roman"/>
        </w:rPr>
        <w:t xml:space="preserve">hematic </w:t>
      </w:r>
      <w:r w:rsidR="00B233FF" w:rsidRPr="001C04E0">
        <w:rPr>
          <w:rFonts w:cs="Times New Roman"/>
        </w:rPr>
        <w:t>A</w:t>
      </w:r>
      <w:r w:rsidRPr="001C04E0">
        <w:rPr>
          <w:rFonts w:cs="Times New Roman"/>
        </w:rPr>
        <w:t xml:space="preserve">nalysis and </w:t>
      </w:r>
      <w:r w:rsidR="00B233FF" w:rsidRPr="001C04E0">
        <w:rPr>
          <w:rFonts w:cs="Times New Roman"/>
        </w:rPr>
        <w:t>S</w:t>
      </w:r>
      <w:r w:rsidRPr="001C04E0">
        <w:rPr>
          <w:rFonts w:cs="Times New Roman"/>
        </w:rPr>
        <w:t>ynthesis</w:t>
      </w:r>
      <w:bookmarkEnd w:id="12"/>
    </w:p>
    <w:p w14:paraId="6A4AF477" w14:textId="77777777" w:rsidR="000D1E06" w:rsidRPr="001C04E0" w:rsidRDefault="00000000" w:rsidP="001C04E0">
      <w:pPr>
        <w:rPr>
          <w:rFonts w:cs="Times New Roman"/>
        </w:rPr>
      </w:pPr>
      <w:r w:rsidRPr="001C04E0">
        <w:rPr>
          <w:rFonts w:cs="Times New Roman"/>
        </w:rPr>
        <w:t>Data were analysed using thematic analysis, a flexible, systematic method for identifying, analysing and reporting patterns across qualitative data (Braun &amp; Clarke, 2006). Thematic analysis enables the researcher to code literature and industry texts inductively and deductively, generating themes such as staffing constraints, process bottlenecks, technological enablers, and communication failings and to compare how different sources treat these issues (Braun &amp; Clarke, 2006; Guest, Name &amp; Mitchell, 2012). Thematic mapping was complemented by simple process-mapping concepts (value-stream/BPM) and queuing insights to translate thematic findings into operational interventions. Where possible, evidence was triangulated across academic studies, industry benchmarks and Accor-specific materials to strengthen inferential claims.</w:t>
      </w:r>
    </w:p>
    <w:p w14:paraId="5891583D" w14:textId="77777777" w:rsidR="000D1E06" w:rsidRPr="001C04E0" w:rsidRDefault="00000000" w:rsidP="001C04E0">
      <w:pPr>
        <w:pStyle w:val="Heading2"/>
        <w:rPr>
          <w:rFonts w:cs="Times New Roman"/>
        </w:rPr>
      </w:pPr>
      <w:bookmarkStart w:id="13" w:name="_Toc211337878"/>
      <w:r w:rsidRPr="001C04E0">
        <w:rPr>
          <w:rFonts w:cs="Times New Roman"/>
        </w:rPr>
        <w:t xml:space="preserve">Limitations and </w:t>
      </w:r>
      <w:r w:rsidR="00B233FF" w:rsidRPr="001C04E0">
        <w:rPr>
          <w:rFonts w:cs="Times New Roman"/>
        </w:rPr>
        <w:t>V</w:t>
      </w:r>
      <w:r w:rsidRPr="001C04E0">
        <w:rPr>
          <w:rFonts w:cs="Times New Roman"/>
        </w:rPr>
        <w:t xml:space="preserve">alidity </w:t>
      </w:r>
      <w:r w:rsidR="00B233FF" w:rsidRPr="001C04E0">
        <w:rPr>
          <w:rFonts w:cs="Times New Roman"/>
        </w:rPr>
        <w:t>C</w:t>
      </w:r>
      <w:r w:rsidRPr="001C04E0">
        <w:rPr>
          <w:rFonts w:cs="Times New Roman"/>
        </w:rPr>
        <w:t>onsiderations</w:t>
      </w:r>
      <w:r w:rsidR="00B233FF" w:rsidRPr="001C04E0">
        <w:rPr>
          <w:rFonts w:cs="Times New Roman"/>
        </w:rPr>
        <w:t>:</w:t>
      </w:r>
      <w:bookmarkEnd w:id="13"/>
    </w:p>
    <w:p w14:paraId="5AF30249" w14:textId="77777777" w:rsidR="000D1E06" w:rsidRPr="001C04E0" w:rsidRDefault="00000000" w:rsidP="001C04E0">
      <w:pPr>
        <w:rPr>
          <w:rFonts w:cs="Times New Roman"/>
        </w:rPr>
      </w:pPr>
      <w:r w:rsidRPr="001C04E0">
        <w:rPr>
          <w:rFonts w:cs="Times New Roman"/>
        </w:rPr>
        <w:t>Relying exclusively on secondary sources imposes limitations. First, the absence of primary data (surveys, time-motion observation or interviews at IBIS Barking) restricts claims about the precise magnitude of local issues (e.g., exact queue lengths or minute-by-minute kitchen delays). Second, secondary sources vary in scope and methodological rigour; industry reports often use proprietary metrics that cannot always be independently verified. To mitigate these limitations, the research used multiple source types and prioritised peer-reviewed studies and reputable industry databases; methodological transparency is maintained by documenting selection criteria and analytic steps (Easterby-Smith et al., 2018; SAGE Secondary Data Analysis, 2024). Finally, the single case study design limits generalisability; however, the study aims for analytical transferability, producing recommendations that are plausible for similar Accor mid-scale properties rather than universal prescriptions.</w:t>
      </w:r>
    </w:p>
    <w:p w14:paraId="37AB9A77" w14:textId="77777777" w:rsidR="000D1E06" w:rsidRPr="001C04E0" w:rsidRDefault="00000000" w:rsidP="001C04E0">
      <w:pPr>
        <w:pStyle w:val="Heading2"/>
        <w:rPr>
          <w:rFonts w:cs="Times New Roman"/>
        </w:rPr>
      </w:pPr>
      <w:bookmarkStart w:id="14" w:name="_Toc211337879"/>
      <w:r w:rsidRPr="001C04E0">
        <w:rPr>
          <w:rFonts w:cs="Times New Roman"/>
        </w:rPr>
        <w:t xml:space="preserve">Ethical </w:t>
      </w:r>
      <w:r w:rsidR="00B233FF" w:rsidRPr="001C04E0">
        <w:rPr>
          <w:rFonts w:cs="Times New Roman"/>
        </w:rPr>
        <w:t>C</w:t>
      </w:r>
      <w:r w:rsidRPr="001C04E0">
        <w:rPr>
          <w:rFonts w:cs="Times New Roman"/>
        </w:rPr>
        <w:t>onsiderations</w:t>
      </w:r>
      <w:r w:rsidR="00B233FF" w:rsidRPr="001C04E0">
        <w:rPr>
          <w:rFonts w:cs="Times New Roman"/>
        </w:rPr>
        <w:t>:</w:t>
      </w:r>
      <w:bookmarkEnd w:id="14"/>
    </w:p>
    <w:p w14:paraId="4D5188F1" w14:textId="77777777" w:rsidR="000D1E06" w:rsidRPr="001C04E0" w:rsidRDefault="00000000" w:rsidP="001C04E0">
      <w:pPr>
        <w:rPr>
          <w:rFonts w:cs="Times New Roman"/>
        </w:rPr>
      </w:pPr>
      <w:r w:rsidRPr="001C04E0">
        <w:rPr>
          <w:rFonts w:cs="Times New Roman"/>
        </w:rPr>
        <w:t xml:space="preserve">Ethical practice in secondary research centres on accurate attribution, avoidance of data misuse, and respectful representation of organisational contexts. All sources are cited in Harvard style, and full bibliographic details are provided in the reference list. Where corporate materials (e.g., Accor pages) or proprietary reports are used, the researcher notes the source limitations and does not disclose any confidential internal data. The research adheres to academic integrity standards and the university's expectations for responsible scholarship. </w:t>
      </w:r>
    </w:p>
    <w:p w14:paraId="4BFF6ADA" w14:textId="77777777" w:rsidR="008077C0" w:rsidRPr="001C04E0" w:rsidRDefault="00000000" w:rsidP="001C04E0">
      <w:pPr>
        <w:pStyle w:val="Heading1"/>
        <w:rPr>
          <w:rFonts w:cs="Times New Roman"/>
        </w:rPr>
      </w:pPr>
      <w:bookmarkStart w:id="15" w:name="_Toc211337880"/>
      <w:r w:rsidRPr="001C04E0">
        <w:rPr>
          <w:rFonts w:cs="Times New Roman"/>
        </w:rPr>
        <w:lastRenderedPageBreak/>
        <w:t>Chapter 4: Findings and Discussion</w:t>
      </w:r>
      <w:bookmarkEnd w:id="15"/>
    </w:p>
    <w:p w14:paraId="20B31D37" w14:textId="77777777" w:rsidR="008077C0" w:rsidRPr="001C04E0" w:rsidRDefault="00000000" w:rsidP="001C04E0">
      <w:pPr>
        <w:pStyle w:val="Heading2"/>
        <w:rPr>
          <w:rFonts w:cs="Times New Roman"/>
        </w:rPr>
      </w:pPr>
      <w:bookmarkStart w:id="16" w:name="_Toc211337881"/>
      <w:r w:rsidRPr="001C04E0">
        <w:rPr>
          <w:rFonts w:cs="Times New Roman"/>
        </w:rPr>
        <w:t>Findings</w:t>
      </w:r>
      <w:r w:rsidR="00B233FF" w:rsidRPr="001C04E0">
        <w:rPr>
          <w:rFonts w:cs="Times New Roman"/>
        </w:rPr>
        <w:t>:</w:t>
      </w:r>
      <w:bookmarkEnd w:id="16"/>
    </w:p>
    <w:p w14:paraId="12748FAA" w14:textId="77777777" w:rsidR="00B233FF" w:rsidRPr="001C04E0" w:rsidRDefault="00000000" w:rsidP="001C04E0">
      <w:pPr>
        <w:rPr>
          <w:rFonts w:cs="Times New Roman"/>
        </w:rPr>
      </w:pPr>
      <w:r w:rsidRPr="001C04E0">
        <w:rPr>
          <w:rFonts w:cs="Times New Roman"/>
        </w:rPr>
        <w:t>This Findings section presents a thematic synthesis of secondary evidence mapped to the project objectives. It draws on sector reports, technology case studies, academic analyses and practitioner guides to assess the specific inefficiencies reported at IBIS London Barking and to identify evidence-based operational and technological best practices that are feasible for a mid-scale Accor property.</w:t>
      </w:r>
    </w:p>
    <w:p w14:paraId="1CB82794" w14:textId="77777777" w:rsidR="00B233FF" w:rsidRPr="001C04E0" w:rsidRDefault="00000000" w:rsidP="001C04E0">
      <w:pPr>
        <w:pStyle w:val="Heading3"/>
        <w:rPr>
          <w:rFonts w:cs="Times New Roman"/>
          <w:szCs w:val="26"/>
        </w:rPr>
      </w:pPr>
      <w:bookmarkStart w:id="17" w:name="_Toc211337882"/>
      <w:r w:rsidRPr="001C04E0">
        <w:rPr>
          <w:rFonts w:cs="Times New Roman"/>
          <w:szCs w:val="26"/>
        </w:rPr>
        <w:t>Objective 1: Assess Existing Inefficiencies at IBIS Red – Barking</w:t>
      </w:r>
      <w:bookmarkEnd w:id="17"/>
    </w:p>
    <w:p w14:paraId="5FD322CB" w14:textId="77777777" w:rsidR="00B233FF" w:rsidRPr="001C04E0" w:rsidRDefault="00000000" w:rsidP="001C04E0">
      <w:pPr>
        <w:rPr>
          <w:rFonts w:cs="Times New Roman"/>
          <w:b/>
          <w:bCs/>
        </w:rPr>
      </w:pPr>
      <w:r w:rsidRPr="001C04E0">
        <w:rPr>
          <w:rFonts w:cs="Times New Roman"/>
          <w:b/>
          <w:bCs/>
        </w:rPr>
        <w:t>Staffing levels and scheduling:</w:t>
      </w:r>
    </w:p>
    <w:p w14:paraId="41EAB145" w14:textId="77777777" w:rsidR="00B233FF" w:rsidRPr="001C04E0" w:rsidRDefault="00000000" w:rsidP="001C04E0">
      <w:pPr>
        <w:rPr>
          <w:rFonts w:cs="Times New Roman"/>
        </w:rPr>
      </w:pPr>
      <w:r w:rsidRPr="001C04E0">
        <w:rPr>
          <w:rFonts w:cs="Times New Roman"/>
        </w:rPr>
        <w:t xml:space="preserve">Across the hospitality sector, staffing shortfalls and sub-optimal rostering are repeatedly identified as principal causes of poor peak-hour performance (Harri/CGA, 2023). Automated scheduling and forecasting tools (HotSchedules, UKG and Celayix solutions) are now common industry responses because they use historical demand patterns to generate more accurate shift plans and reduce over- or under-staffing at critical intervals (HotSchedules product literature; UKG case materials; Celayix trends overview). These platforms also support flexible shift pickup and shift-pooling, which operators use to cover short-notice gaps during breakfast peaks without long-term headcount increases (HotSchedules; Fourth/auto-scheduling commentary). </w:t>
      </w:r>
    </w:p>
    <w:p w14:paraId="639F70A4" w14:textId="77777777" w:rsidR="00B233FF" w:rsidRPr="001C04E0" w:rsidRDefault="00000000" w:rsidP="001C04E0">
      <w:pPr>
        <w:rPr>
          <w:rFonts w:cs="Times New Roman"/>
        </w:rPr>
      </w:pPr>
      <w:r w:rsidRPr="001C04E0">
        <w:rPr>
          <w:rFonts w:cs="Times New Roman"/>
        </w:rPr>
        <w:t>For IBIS London Barking, a compact, 86-room mid-scale site with buffet breakfast and limited FOH capacity, the literature suggests that even modest misalignment of staff to demand (e.g., one fewer server during a 07:00–09:00 spike) can cause outsized delays in table clearing, order taking and guest throughput (Kimes, Cornell Hospitality Research). Industry surveys also show that mid-scale properties tend to operate with tighter labour-to-revenue ratios than upscale hotels, leaving less slack to absorb peaks and increasing sensitivity to planning errors (PwC hotel market commentaries; CGA/Harri insights).</w:t>
      </w:r>
    </w:p>
    <w:p w14:paraId="76B135D7" w14:textId="77777777" w:rsidR="00B233FF" w:rsidRPr="001C04E0" w:rsidRDefault="00000000" w:rsidP="001C04E0">
      <w:pPr>
        <w:rPr>
          <w:rFonts w:cs="Times New Roman"/>
          <w:b/>
          <w:bCs/>
        </w:rPr>
      </w:pPr>
      <w:r w:rsidRPr="001C04E0">
        <w:rPr>
          <w:rFonts w:cs="Times New Roman"/>
          <w:b/>
          <w:bCs/>
        </w:rPr>
        <w:t>Communication gaps between the kitchen and the front of house (FOH):</w:t>
      </w:r>
    </w:p>
    <w:p w14:paraId="076B7963" w14:textId="77777777" w:rsidR="00B233FF" w:rsidRPr="001C04E0" w:rsidRDefault="00000000" w:rsidP="001C04E0">
      <w:pPr>
        <w:rPr>
          <w:rFonts w:cs="Times New Roman"/>
        </w:rPr>
      </w:pPr>
      <w:r w:rsidRPr="001C04E0">
        <w:rPr>
          <w:rFonts w:cs="Times New Roman"/>
        </w:rPr>
        <w:t xml:space="preserve">Multiple technology and operational case studies demonstrate that poor FOH–kitchen communication is a frequent cause of order errors, double-handling and delayed fulfilment (Toast KDS/Delious case pages; Cubet POS-KDS case study). Paper ticketing, shouting orders, and ad-hoc verbal updates are still found in smaller kitchens and lead to sequencing errors when breakfast runs are busy (Toast product case information; Cubet case study). The KDS literature emphasises that visibility of order status, prioritisation and real-time timing metrics materially reduce order errors and speed up kitchen throughput when paired with clear FOH protocols. For example, hotels that replaced printed dockets with KDS and integrated POS </w:t>
      </w:r>
      <w:r w:rsidRPr="001C04E0">
        <w:rPr>
          <w:rFonts w:cs="Times New Roman"/>
        </w:rPr>
        <w:lastRenderedPageBreak/>
        <w:t>systems report reductions in order errors and faster service cycles, particularly for high-turn breakfast covers (Toast; Delicious PICO case).</w:t>
      </w:r>
    </w:p>
    <w:p w14:paraId="411C7D3E" w14:textId="77777777" w:rsidR="00B233FF" w:rsidRPr="001C04E0" w:rsidRDefault="00000000" w:rsidP="001C04E0">
      <w:pPr>
        <w:rPr>
          <w:rFonts w:cs="Times New Roman"/>
        </w:rPr>
      </w:pPr>
      <w:r w:rsidRPr="001C04E0">
        <w:rPr>
          <w:rFonts w:cs="Times New Roman"/>
        </w:rPr>
        <w:t>Applied to IBIS Barking, the most likely symptoms of FOH–kitchen miscommunication are delays in starting or sequencing plate assembly, missed items on buffet top-ups, and mismatches between seating allocation and kitchen capacity at peak times, all corroborated by guest complaints in local review data that highlight 'dried up' buffets and slow coffee service (TripAdvisor reviews for Ibis London Barking). These qualitative signals match the issues</w:t>
      </w:r>
      <w:r w:rsidR="008A3256">
        <w:rPr>
          <w:rFonts w:cs="Times New Roman"/>
        </w:rPr>
        <w:t xml:space="preserve"> </w:t>
      </w:r>
      <w:r w:rsidRPr="001C04E0">
        <w:rPr>
          <w:rFonts w:cs="Times New Roman"/>
        </w:rPr>
        <w:t>observed during placement in the kitchen and reception.</w:t>
      </w:r>
    </w:p>
    <w:p w14:paraId="7CFD88CA" w14:textId="77777777" w:rsidR="00B233FF" w:rsidRPr="001C04E0" w:rsidRDefault="00000000" w:rsidP="001C04E0">
      <w:pPr>
        <w:rPr>
          <w:rFonts w:cs="Times New Roman"/>
          <w:b/>
          <w:bCs/>
        </w:rPr>
      </w:pPr>
      <w:r w:rsidRPr="001C04E0">
        <w:rPr>
          <w:rFonts w:cs="Times New Roman"/>
          <w:b/>
          <w:bCs/>
        </w:rPr>
        <w:t>Table turnover time and queue management:</w:t>
      </w:r>
    </w:p>
    <w:p w14:paraId="2575A259" w14:textId="77777777" w:rsidR="00B233FF" w:rsidRPr="001C04E0" w:rsidRDefault="00000000" w:rsidP="001C04E0">
      <w:pPr>
        <w:rPr>
          <w:rFonts w:cs="Times New Roman"/>
        </w:rPr>
      </w:pPr>
      <w:r w:rsidRPr="001C04E0">
        <w:rPr>
          <w:rFonts w:cs="Times New Roman"/>
        </w:rPr>
        <w:t>Academic and practitioner work on table management shows that wait times and poor seating policies drive perceived service delays even when cooking processes are adequate (TableIn guide; EatApp; Tableo guidance). Modern waitlist and virtual queue solutions (NextMe, Waitwhile, TablesReady, QueuePad) help by providing accurate wait estimates, two-way SMS communication and real-time table status, which reduces guest frustration and improves perceived fairness of seating (Waitwhile; NextMe; TablesReady product pages). Moreover, restaurant analytics platforms that track average cover time, peak arrival curves and table-release forecasts can be used to inform staffing schedules and modify seating policy dynamically to smooth peaks.</w:t>
      </w:r>
    </w:p>
    <w:p w14:paraId="2CE1F8A4" w14:textId="77777777" w:rsidR="00B233FF" w:rsidRPr="001C04E0" w:rsidRDefault="00000000" w:rsidP="001C04E0">
      <w:pPr>
        <w:rPr>
          <w:rFonts w:cs="Times New Roman"/>
        </w:rPr>
      </w:pPr>
      <w:r w:rsidRPr="001C04E0">
        <w:rPr>
          <w:rFonts w:cs="Times New Roman"/>
        </w:rPr>
        <w:t>For IBIS Barking’s breakfast room, lacking a formal queue management tool and relying on manual host-stand seating increases both real and perceived waiting times. Evidence suggests that introducing simple digital waitlist functionality or a small dedicated host role at peak times often produces rapid improvements in turnover without significant capital investment (Table; LS Retail best-practice guides).</w:t>
      </w:r>
    </w:p>
    <w:p w14:paraId="740C69EA" w14:textId="77777777" w:rsidR="00B233FF" w:rsidRPr="001C04E0" w:rsidRDefault="00000000" w:rsidP="001C04E0">
      <w:pPr>
        <w:rPr>
          <w:rFonts w:cs="Times New Roman"/>
          <w:b/>
          <w:bCs/>
        </w:rPr>
      </w:pPr>
      <w:r w:rsidRPr="001C04E0">
        <w:rPr>
          <w:rFonts w:cs="Times New Roman"/>
          <w:b/>
          <w:bCs/>
        </w:rPr>
        <w:t>Benchmark data on service speed and guest satisfaction:</w:t>
      </w:r>
    </w:p>
    <w:p w14:paraId="1B483B02" w14:textId="77777777" w:rsidR="00B233FF" w:rsidRPr="001C04E0" w:rsidRDefault="00000000" w:rsidP="001C04E0">
      <w:pPr>
        <w:rPr>
          <w:rFonts w:cs="Times New Roman"/>
        </w:rPr>
      </w:pPr>
      <w:r w:rsidRPr="001C04E0">
        <w:rPr>
          <w:rFonts w:cs="Times New Roman"/>
        </w:rPr>
        <w:t>Reputation-management platforms (Revinate, TrustYou, Shiji/ReviewPro) provide industry benchmarks showing that F&amp;B and breakfast categories materially influence overall guest review indices; faster response times to service issues and higher outlet performance correlate with higher global review indices (Revinate Hospitality Benchmark Report; TrustYou global statistics; Shiji Guest Experience Benchmarks). These datasets indicate that mid-scale hotels that prioritise rapid resolution of F&amp;B complaints and measurable outlet KPIs often attain higher GRI (Global Review Index) scores, a proxy for revenue resilience and repeat business (Revinate; TrustYou). For IBIS Barking, comparably lower breakfast ratings in OTA/brand pages indicate an area where operational fixes could lift the property’s aggregate service score and thereby support occupancy and ancillary spend.</w:t>
      </w:r>
    </w:p>
    <w:p w14:paraId="3D0C7F16" w14:textId="77777777" w:rsidR="00B233FF" w:rsidRPr="001C04E0" w:rsidRDefault="00000000" w:rsidP="001C04E0">
      <w:pPr>
        <w:pStyle w:val="Heading3"/>
        <w:rPr>
          <w:rFonts w:cs="Times New Roman"/>
          <w:szCs w:val="26"/>
        </w:rPr>
      </w:pPr>
      <w:bookmarkStart w:id="18" w:name="_Toc211337883"/>
      <w:r w:rsidRPr="001C04E0">
        <w:rPr>
          <w:rFonts w:cs="Times New Roman"/>
          <w:szCs w:val="26"/>
        </w:rPr>
        <w:lastRenderedPageBreak/>
        <w:t>Objective 2: Identify Best Practice Strategies from Literature and Industry</w:t>
      </w:r>
      <w:bookmarkEnd w:id="18"/>
    </w:p>
    <w:p w14:paraId="23745426" w14:textId="77777777" w:rsidR="00B233FF" w:rsidRPr="001C04E0" w:rsidRDefault="00000000" w:rsidP="001C04E0">
      <w:pPr>
        <w:rPr>
          <w:rFonts w:cs="Times New Roman"/>
          <w:b/>
          <w:bCs/>
        </w:rPr>
      </w:pPr>
      <w:r w:rsidRPr="001C04E0">
        <w:rPr>
          <w:rFonts w:cs="Times New Roman"/>
          <w:b/>
          <w:bCs/>
        </w:rPr>
        <w:t>Digital ordering, pre-order and mobile guest flows:</w:t>
      </w:r>
    </w:p>
    <w:p w14:paraId="40CCF186" w14:textId="77777777" w:rsidR="00B233FF" w:rsidRPr="001C04E0" w:rsidRDefault="00000000" w:rsidP="001C04E0">
      <w:pPr>
        <w:rPr>
          <w:rFonts w:cs="Times New Roman"/>
        </w:rPr>
      </w:pPr>
      <w:r w:rsidRPr="001C04E0">
        <w:rPr>
          <w:rFonts w:cs="Times New Roman"/>
        </w:rPr>
        <w:t>Mobile pre-ordering and mobile dining platforms consistently appear in hospitality case studies as low-friction ways to shorten guest decision time and stagger kitchen demand (Hotel Technology News; academic studies on mobile food ordering). Hotels that offer pre-order breakfast via the brand app or in-room tablets report smoother kitchen load profiles because orders are distributed over a wider time window rather than clustering at 07:30–08:30 (HotelTechnologyNews; SAGE/Dirsehan research on MFOAs). Evidence also indicates that pre-ordering supports upsell conversion and saves FOH time previously spent taking orders. For a mid-scale IBIS, an in-app or QR pre-order option (simple breakfast packages) could divert a portion of guests from buffet queues and allow kitchen prep to be scheduled more evenly.</w:t>
      </w:r>
    </w:p>
    <w:p w14:paraId="115A729B" w14:textId="77777777" w:rsidR="00B233FF" w:rsidRPr="001C04E0" w:rsidRDefault="00000000" w:rsidP="001C04E0">
      <w:pPr>
        <w:rPr>
          <w:rFonts w:cs="Times New Roman"/>
          <w:b/>
          <w:bCs/>
        </w:rPr>
      </w:pPr>
      <w:r w:rsidRPr="001C04E0">
        <w:rPr>
          <w:rFonts w:cs="Times New Roman"/>
          <w:b/>
          <w:bCs/>
        </w:rPr>
        <w:t>Kitchen Display Systems (KDS) and POS integration:</w:t>
      </w:r>
    </w:p>
    <w:p w14:paraId="55EB5E61" w14:textId="77777777" w:rsidR="00B233FF" w:rsidRPr="001C04E0" w:rsidRDefault="00000000" w:rsidP="001C04E0">
      <w:pPr>
        <w:rPr>
          <w:rFonts w:cs="Times New Roman"/>
        </w:rPr>
      </w:pPr>
      <w:r w:rsidRPr="001C04E0">
        <w:rPr>
          <w:rFonts w:cs="Times New Roman"/>
        </w:rPr>
        <w:t>KDS deployments (Toast, Delicious, other vendor case studies) show measurable benefits in order accuracy, staging and throughput. KDS provides live timers, prioritisation, and visual lanes that help kitchen teams sequence breakfast orders efficiently; integration with the front-desk POS or app also allows FOH to monitor kitchen load and manage seating choices accordingly (Toast; Delious PICO). KDS adoption is reported both in hotel restaurants and high-volume F&amp;B outlets as a practical step that reduces lead times and error rates, especially when coupled with staff training on KDS workflows.</w:t>
      </w:r>
    </w:p>
    <w:p w14:paraId="41908050" w14:textId="77777777" w:rsidR="00B233FF" w:rsidRPr="001C04E0" w:rsidRDefault="00000000" w:rsidP="001C04E0">
      <w:pPr>
        <w:rPr>
          <w:rFonts w:cs="Times New Roman"/>
          <w:b/>
          <w:bCs/>
        </w:rPr>
      </w:pPr>
      <w:r w:rsidRPr="001C04E0">
        <w:rPr>
          <w:rFonts w:cs="Times New Roman"/>
          <w:b/>
          <w:bCs/>
        </w:rPr>
        <w:t>Process redesign and Lean/BPM success stories:</w:t>
      </w:r>
    </w:p>
    <w:p w14:paraId="5F974511" w14:textId="77777777" w:rsidR="00B233FF" w:rsidRPr="001C04E0" w:rsidRDefault="00000000" w:rsidP="001C04E0">
      <w:pPr>
        <w:rPr>
          <w:rFonts w:cs="Times New Roman"/>
        </w:rPr>
      </w:pPr>
      <w:r w:rsidRPr="001C04E0">
        <w:rPr>
          <w:rFonts w:cs="Times New Roman"/>
        </w:rPr>
        <w:t>Large hotel groups have deployed Lean and process-redesign programmes with demonstrable operational gains. Whitbread/Premier Inn, Marriott and Hilton have published or summarised pilot projects where value-stream mapping, standardised plating and simplified menu engineering reduced labour per cover and improved consistency (Premier Inn economic impact documents; Marriott lean case summaries; Hilton Winnow food-waste and kitchen optimisation case). These examples underscore that non-technology interventions, such as layout changes, simplified assembly lines for breakfast, and dedicated staff roles for peak windows, can be low-cost and rapidly implementable.</w:t>
      </w:r>
    </w:p>
    <w:p w14:paraId="49418C5E" w14:textId="77777777" w:rsidR="00B233FF" w:rsidRPr="001C04E0" w:rsidRDefault="00000000" w:rsidP="001C04E0">
      <w:pPr>
        <w:rPr>
          <w:rFonts w:cs="Times New Roman"/>
          <w:b/>
          <w:bCs/>
        </w:rPr>
      </w:pPr>
      <w:r w:rsidRPr="001C04E0">
        <w:rPr>
          <w:rFonts w:cs="Times New Roman"/>
          <w:b/>
          <w:bCs/>
        </w:rPr>
        <w:t>Brand app initiatives and guest engagement platforms:</w:t>
      </w:r>
    </w:p>
    <w:p w14:paraId="72B2E144" w14:textId="77777777" w:rsidR="00B233FF" w:rsidRPr="001C04E0" w:rsidRDefault="00000000" w:rsidP="001C04E0">
      <w:pPr>
        <w:rPr>
          <w:rFonts w:cs="Times New Roman"/>
        </w:rPr>
      </w:pPr>
      <w:r w:rsidRPr="001C04E0">
        <w:rPr>
          <w:rFonts w:cs="Times New Roman"/>
        </w:rPr>
        <w:t xml:space="preserve">Major chains use brand apps to increase operational flexibility. Accor’s ALL platform (brand app) and comparable apps from other groups provide channels for pre-arrival communication, mobile check-in and ancillary ordering; evidence shows that even basic app features (pre-select </w:t>
      </w:r>
      <w:r w:rsidRPr="001C04E0">
        <w:rPr>
          <w:rFonts w:cs="Times New Roman"/>
        </w:rPr>
        <w:lastRenderedPageBreak/>
        <w:t>breakfast time/option) can change guest behaviour and reduce peak congestion (brand app documentation; industry commentaries). Where guest adoption is moderate, apps still generate operational benefits because even a fraction of pre-orders materially smooths demand curves for small breakfast rooms.</w:t>
      </w:r>
    </w:p>
    <w:p w14:paraId="5378D5DA" w14:textId="77777777" w:rsidR="00B233FF" w:rsidRDefault="00000000" w:rsidP="001C04E0">
      <w:pPr>
        <w:pStyle w:val="Heading3"/>
        <w:rPr>
          <w:rFonts w:cs="Times New Roman"/>
        </w:rPr>
      </w:pPr>
      <w:bookmarkStart w:id="19" w:name="_Toc211337884"/>
      <w:r w:rsidRPr="001C04E0">
        <w:rPr>
          <w:rFonts w:cs="Times New Roman"/>
        </w:rPr>
        <w:t>Objective 3: Thematic synthesis: operational &amp; technological opportunities for IBIS Red – Barking</w:t>
      </w:r>
      <w:bookmarkEnd w:id="19"/>
    </w:p>
    <w:p w14:paraId="5DB0F89D" w14:textId="77777777" w:rsidR="00246D80" w:rsidRDefault="00000000" w:rsidP="00246D80">
      <w:r>
        <w:t>By jointly analysing the evidence, it can be proposed that there is a staged, pragmatic route through which IBIS Barking can be developed that matches its size and resources. The former is the first theme, which is low-capex operations fixes: add visible host, add basic queue/waitlist, standardise back-of-house plating sequences. Having said that, the second theme is workforce resilience: consider the concept of basic demand forecasting as part of weekly rostering and look at the concept of shift pooling within a local Accor cluster as a means of offering flexibility. The third one is the theme of targeted tech to eliminate friction: once the process has been stabilised, pilot a KDS linked to the POS and a small pre-order channel (QR or ALL app two-option package) to facilitate smoother arrival. The last theme is the concept of measure and iterate: follow a few KPIs (average wait, covers per hour, breakfast satisfactions) and evaluate the reputation analytics to see them translated into the guest sentiment. Combined, these themes present a logical, evidence-based solution to the enhancement of throughput, the minimisation of errors and the elevation of the guest experience indicators without massive initial capital.</w:t>
      </w:r>
    </w:p>
    <w:p w14:paraId="693E98DE" w14:textId="77777777" w:rsidR="00246D80" w:rsidRDefault="00000000" w:rsidP="00246D80">
      <w:r>
        <w:t>The evidence in the literature and industry practices has confirmed that the understaffing of the breakfast period at IBIS London Barking, the lack of communication between the FOH and kitchen, and the manual seating rules are realities in mid-scale hotels and can be addressed through workarounds. Most importantly, the evidence is in favour of sequencing: at first, quick operational fixes to win the trust of the staff and quick wins; then staffing/rostering fixes to stabilise service; then a selective technology pilot that eliminates the now remaining communication and queuing friction. It is necessary to measure at every level to prove influence and develop a business case to expand solutions across the Accor portfolio where relevant.</w:t>
      </w:r>
    </w:p>
    <w:p w14:paraId="217B63D4" w14:textId="77777777" w:rsidR="00EB6076" w:rsidRPr="001C04E0" w:rsidRDefault="00000000" w:rsidP="001C04E0">
      <w:pPr>
        <w:pStyle w:val="Heading2"/>
        <w:rPr>
          <w:rFonts w:cs="Times New Roman"/>
        </w:rPr>
      </w:pPr>
      <w:bookmarkStart w:id="20" w:name="_Toc211337885"/>
      <w:r w:rsidRPr="001C04E0">
        <w:rPr>
          <w:rFonts w:cs="Times New Roman"/>
        </w:rPr>
        <w:t>Discussion:</w:t>
      </w:r>
      <w:bookmarkEnd w:id="20"/>
    </w:p>
    <w:p w14:paraId="15B17411" w14:textId="77777777" w:rsidR="00EB6076" w:rsidRPr="00246D80" w:rsidRDefault="00000000" w:rsidP="001C04E0">
      <w:r>
        <w:t>Based on a critical interpretation of the findings according to the service-quality theory and operations management, and placing a set of proposed operational and technological actions within the IBIS London Barking environment, this Discussion addresses the findings</w:t>
      </w:r>
      <w:r w:rsidRPr="001C04E0">
        <w:rPr>
          <w:rFonts w:cs="Times New Roman"/>
        </w:rPr>
        <w:t xml:space="preserve">. </w:t>
      </w:r>
    </w:p>
    <w:p w14:paraId="53BE5E8E" w14:textId="77777777" w:rsidR="00EB6076" w:rsidRPr="001C04E0" w:rsidRDefault="00000000" w:rsidP="001C04E0">
      <w:pPr>
        <w:pStyle w:val="Heading3"/>
        <w:rPr>
          <w:rFonts w:cs="Times New Roman"/>
        </w:rPr>
      </w:pPr>
      <w:bookmarkStart w:id="21" w:name="_Toc211337886"/>
      <w:r w:rsidRPr="001C04E0">
        <w:rPr>
          <w:rFonts w:cs="Times New Roman"/>
        </w:rPr>
        <w:lastRenderedPageBreak/>
        <w:t>How Peak-Hour Inefficiency Affects Guest Satisfaction and Brand Reputation:</w:t>
      </w:r>
      <w:bookmarkEnd w:id="21"/>
    </w:p>
    <w:p w14:paraId="493E5822" w14:textId="77777777" w:rsidR="00246D80" w:rsidRDefault="00000000" w:rsidP="00246D80">
      <w:r>
        <w:t>It is proven by the literature and industry that there is a direct causal tendency between delays in operations in periods of high service load and poor recognition of the guests, and, finally, loss of income. Empirical research indicates that the perceived service quality does affect immediate booking behaviour and brand equity in the long run (Anderson, Fornell and Lehmann, 1994). Online review platforms enhance minute failures in operations of the hospitality industry in modern markets: a single negative experience during breakfast is likely to be shared through eWOM, and the property's overall review rating will decrease, which also may decrease the conversion rates on OTAs (Luca, 2016; Sparks and Browning, 2011). In a mid-scale IBIS property, having numerous bookings tied to price and reputation is a valuable competitive advantage that can be established within the brand cluster. Repeated or observable breakfast failures will generate a disproportionate reputational risk compared to the marginal revenue addition of other restaurants (Luca, 2016).</w:t>
      </w:r>
    </w:p>
    <w:p w14:paraId="77C7F56D" w14:textId="77777777" w:rsidR="00EB6076" w:rsidRPr="00246D80" w:rsidRDefault="00000000" w:rsidP="001C04E0">
      <w:r>
        <w:t>Furthermore, the waiting experience is distinctly psychologically bad: consumers engage in more negative wait time evaluation than would be implied by service speed alone; therefore, perceived waiting (evidence of buffet shortages) reduces satisfaction to a level lower than would be anticipated by absolute service time (Sparks and Browning, 2011). Therefore, the practical implication to IBIS Barking is that operational changes that lead to perceived wait decreases and perceived reliability increases will probably have measurable benefits in terms of guest feeling and return business as a strategic objective in a high London hotel market</w:t>
      </w:r>
      <w:r w:rsidRPr="001C04E0">
        <w:rPr>
          <w:rFonts w:cs="Times New Roman"/>
        </w:rPr>
        <w:t>.</w:t>
      </w:r>
    </w:p>
    <w:p w14:paraId="4D1F5813" w14:textId="77777777" w:rsidR="00EB6076" w:rsidRPr="001C04E0" w:rsidRDefault="00000000" w:rsidP="001C04E0">
      <w:pPr>
        <w:pStyle w:val="Heading3"/>
        <w:rPr>
          <w:rFonts w:cs="Times New Roman"/>
        </w:rPr>
      </w:pPr>
      <w:bookmarkStart w:id="22" w:name="_Toc211337887"/>
      <w:r w:rsidRPr="001C04E0">
        <w:rPr>
          <w:rFonts w:cs="Times New Roman"/>
        </w:rPr>
        <w:t>Linking Findings to Service-Quality Dimensions (SERVQUAL lens):</w:t>
      </w:r>
      <w:bookmarkEnd w:id="22"/>
    </w:p>
    <w:p w14:paraId="4682A5F2" w14:textId="77777777" w:rsidR="00EB6076" w:rsidRPr="001C04E0" w:rsidRDefault="00000000" w:rsidP="001C04E0">
      <w:pPr>
        <w:rPr>
          <w:rFonts w:cs="Times New Roman"/>
        </w:rPr>
      </w:pPr>
      <w:r w:rsidRPr="001C04E0">
        <w:rPr>
          <w:rFonts w:cs="Times New Roman"/>
        </w:rPr>
        <w:t>Although SERVQUAL’s original authors are not invoked here, the conceptual dimensions remain useful to interpret the findings without repeating previously used sources. Three SERVQUAL-like dimensions are especially relevant:</w:t>
      </w:r>
    </w:p>
    <w:p w14:paraId="1D2514F9" w14:textId="77777777" w:rsidR="00EB6076" w:rsidRPr="001C04E0" w:rsidRDefault="00000000" w:rsidP="001C04E0">
      <w:pPr>
        <w:pStyle w:val="ListParagraph"/>
        <w:numPr>
          <w:ilvl w:val="0"/>
          <w:numId w:val="11"/>
        </w:numPr>
        <w:rPr>
          <w:rFonts w:cs="Times New Roman"/>
        </w:rPr>
      </w:pPr>
      <w:r w:rsidRPr="001C04E0">
        <w:rPr>
          <w:rFonts w:cs="Times New Roman"/>
          <w:b/>
          <w:bCs/>
        </w:rPr>
        <w:t>Responsiveness (speed and readiness to help):</w:t>
      </w:r>
      <w:r w:rsidRPr="001C04E0">
        <w:rPr>
          <w:rFonts w:cs="Times New Roman"/>
        </w:rPr>
        <w:t xml:space="preserve"> The observed understaffing and poor FOH–kitchen coordination reduce responsiveness, producing long waits and delayed issue recovery. Empirical work links responsiveness directly to guest loyalty and willingness to pay (Anderson, Fornell and Lehmann, 1994).</w:t>
      </w:r>
    </w:p>
    <w:p w14:paraId="32A2690D" w14:textId="77777777" w:rsidR="00EB6076" w:rsidRPr="001C04E0" w:rsidRDefault="00000000" w:rsidP="001C04E0">
      <w:pPr>
        <w:pStyle w:val="ListParagraph"/>
        <w:numPr>
          <w:ilvl w:val="0"/>
          <w:numId w:val="11"/>
        </w:numPr>
        <w:rPr>
          <w:rFonts w:cs="Times New Roman"/>
        </w:rPr>
      </w:pPr>
      <w:r w:rsidRPr="001C04E0">
        <w:rPr>
          <w:rFonts w:cs="Times New Roman"/>
          <w:b/>
          <w:bCs/>
        </w:rPr>
        <w:t>Reliability (consistent service delivery):</w:t>
      </w:r>
      <w:r w:rsidRPr="001C04E0">
        <w:rPr>
          <w:rFonts w:cs="Times New Roman"/>
        </w:rPr>
        <w:t xml:space="preserve"> Variability in buffet replenishment, inconsistent table turnover, and occasional order errors undermine perceived reliability. Brand-level apps and reputation management demonstrate that reliability failures are heavily weighted in guest reviews (Luca, 2016).</w:t>
      </w:r>
    </w:p>
    <w:p w14:paraId="1BA4F456" w14:textId="77777777" w:rsidR="00EB6076" w:rsidRPr="001C04E0" w:rsidRDefault="00000000" w:rsidP="001C04E0">
      <w:pPr>
        <w:pStyle w:val="ListParagraph"/>
        <w:numPr>
          <w:ilvl w:val="0"/>
          <w:numId w:val="11"/>
        </w:numPr>
        <w:rPr>
          <w:rFonts w:cs="Times New Roman"/>
        </w:rPr>
      </w:pPr>
      <w:r w:rsidRPr="001C04E0">
        <w:rPr>
          <w:rFonts w:cs="Times New Roman"/>
          <w:b/>
          <w:bCs/>
        </w:rPr>
        <w:lastRenderedPageBreak/>
        <w:t>Assurance / Empathy (staff competence and caring):</w:t>
      </w:r>
      <w:r w:rsidRPr="001C04E0">
        <w:rPr>
          <w:rFonts w:cs="Times New Roman"/>
        </w:rPr>
        <w:t xml:space="preserve"> When staff are overworked or lack role clarity, guests perceive lower assurance staff appear less able to resolve problems or reassure guests, which worsens the experience even where the core product (bedroom) is satisfactory (Sparks and Browning, 2011).</w:t>
      </w:r>
    </w:p>
    <w:p w14:paraId="223E4E34" w14:textId="77777777" w:rsidR="00EB6076" w:rsidRPr="001C04E0" w:rsidRDefault="00000000" w:rsidP="001C04E0">
      <w:pPr>
        <w:rPr>
          <w:rFonts w:cs="Times New Roman"/>
        </w:rPr>
      </w:pPr>
      <w:r w:rsidRPr="001C04E0">
        <w:rPr>
          <w:rFonts w:cs="Times New Roman"/>
        </w:rPr>
        <w:t>Using these dimensions as diagnostic tools clarifies that improvements must address both measured cycle times and softer perceptions tied to communication and recovery. Operational fixes (faster seating, KDS-enabled accuracy) address responsiveness and reliability; training and empowered recovery protocols address assurance and empathy (Tax, Brown and Chandrashekaran, 1998).</w:t>
      </w:r>
    </w:p>
    <w:p w14:paraId="4B4AD4E4" w14:textId="77777777" w:rsidR="00EB6076" w:rsidRPr="001C04E0" w:rsidRDefault="00000000" w:rsidP="001C04E0">
      <w:pPr>
        <w:pStyle w:val="Heading3"/>
        <w:rPr>
          <w:rFonts w:cs="Times New Roman"/>
        </w:rPr>
      </w:pPr>
      <w:bookmarkStart w:id="23" w:name="_Toc211337888"/>
      <w:r w:rsidRPr="001C04E0">
        <w:rPr>
          <w:rFonts w:cs="Times New Roman"/>
        </w:rPr>
        <w:t>Technological Solutions: Potential, Prerequisites and Caveats</w:t>
      </w:r>
      <w:bookmarkEnd w:id="23"/>
    </w:p>
    <w:p w14:paraId="10D60AEB" w14:textId="77777777" w:rsidR="00EB6076" w:rsidRPr="001C04E0" w:rsidRDefault="00000000" w:rsidP="001C04E0">
      <w:pPr>
        <w:rPr>
          <w:rFonts w:cs="Times New Roman"/>
        </w:rPr>
      </w:pPr>
      <w:r w:rsidRPr="001C04E0">
        <w:rPr>
          <w:rFonts w:cs="Times New Roman"/>
        </w:rPr>
        <w:t>The findings highlight three technology classes as high-impact for IBIS Barking: (1) POS–KDS integration, (2) guest-facing pre-order / app features, and (3) scheduling &amp; forecasting tools.</w:t>
      </w:r>
    </w:p>
    <w:p w14:paraId="7E6D95E9" w14:textId="77777777" w:rsidR="00EB6076" w:rsidRPr="001C04E0" w:rsidRDefault="00000000" w:rsidP="001C04E0">
      <w:pPr>
        <w:rPr>
          <w:rFonts w:cs="Times New Roman"/>
        </w:rPr>
      </w:pPr>
      <w:r w:rsidRPr="001C04E0">
        <w:rPr>
          <w:rFonts w:cs="Times New Roman"/>
          <w:b/>
          <w:bCs/>
        </w:rPr>
        <w:t>POS–KDS integration</w:t>
      </w:r>
      <w:r w:rsidRPr="001C04E0">
        <w:rPr>
          <w:rFonts w:cs="Times New Roman"/>
        </w:rPr>
        <w:t xml:space="preserve"> reduces errors and increases kitchen visibility (Toast/Delious case literature). From a theoretical perspective, successful KDS implementation requires alignment with work design and human factors; technology is an enabler, not a substitute for process design (Davis, 1989; Venkatesh et al., 2003). Empirically, hotels that integrated POS and KDS saw error reductions and faster lead times, but only after training and workflow adjustment (industry case studies). Thus, IBIS Barking should treat KDS as part of a socio-technical change programme: pilot the system on peak shifts, train staff on visual cues and timers, and adjust mise-en-place accordingly (Davis, 1989).</w:t>
      </w:r>
    </w:p>
    <w:p w14:paraId="4D1D02DB" w14:textId="77777777" w:rsidR="00EB6076" w:rsidRPr="001C04E0" w:rsidRDefault="00000000" w:rsidP="001C04E0">
      <w:pPr>
        <w:rPr>
          <w:rFonts w:cs="Times New Roman"/>
        </w:rPr>
      </w:pPr>
      <w:r w:rsidRPr="001C04E0">
        <w:rPr>
          <w:rFonts w:cs="Times New Roman"/>
          <w:b/>
          <w:bCs/>
        </w:rPr>
        <w:t>Guest-facing pre-order and app features</w:t>
      </w:r>
      <w:r w:rsidRPr="001C04E0">
        <w:rPr>
          <w:rFonts w:cs="Times New Roman"/>
        </w:rPr>
        <w:t xml:space="preserve"> (simple breakfast time-slot booking or pre-selection) can smooth arrival rates and reduce queue clustering (mobile ordering studies). Technology-acceptance models (TAM, UTAUT) predict that uptake depends on perceived usefulness and ease of use; therefore, any pre-order function must be exceptionally simple to adopt (Davis, 1989; Venkatesh et al., 2003). Given IBIS Barking's mixed guest profile (business and transient leisure), a modest uptake (even 10–20% of guests) could materially reduce peak pressure.</w:t>
      </w:r>
    </w:p>
    <w:p w14:paraId="6D036518" w14:textId="77777777" w:rsidR="00EB6076" w:rsidRPr="001C04E0" w:rsidRDefault="00000000" w:rsidP="001C04E0">
      <w:pPr>
        <w:rPr>
          <w:rFonts w:cs="Times New Roman"/>
        </w:rPr>
      </w:pPr>
      <w:r w:rsidRPr="001C04E0">
        <w:rPr>
          <w:rFonts w:cs="Times New Roman"/>
          <w:b/>
          <w:bCs/>
        </w:rPr>
        <w:t>Scheduling &amp; forecasting tools</w:t>
      </w:r>
      <w:r w:rsidRPr="001C04E0">
        <w:rPr>
          <w:rFonts w:cs="Times New Roman"/>
        </w:rPr>
        <w:t xml:space="preserve"> yield better alignment of labour to demand. The Harri/HotSchedules approach from industry reports shows forecasting reduces understaffing incidents when historical arrival patterns are used to inform rosters. However, these tools require reliable historical data and managerial discipline to act on forecasts, not merely adoption (Brynjolfsson and McAfee, 2014).</w:t>
      </w:r>
    </w:p>
    <w:p w14:paraId="364A4C3F" w14:textId="77777777" w:rsidR="00EB6076" w:rsidRPr="001C04E0" w:rsidRDefault="00000000" w:rsidP="001C04E0">
      <w:pPr>
        <w:rPr>
          <w:rFonts w:cs="Times New Roman"/>
        </w:rPr>
      </w:pPr>
      <w:r w:rsidRPr="001C04E0">
        <w:rPr>
          <w:rFonts w:cs="Times New Roman"/>
        </w:rPr>
        <w:lastRenderedPageBreak/>
        <w:t xml:space="preserve">A consistent caveat from the literature is the </w:t>
      </w:r>
      <w:r w:rsidRPr="001C04E0">
        <w:rPr>
          <w:rFonts w:cs="Times New Roman"/>
          <w:b/>
          <w:bCs/>
        </w:rPr>
        <w:t>implementation gap</w:t>
      </w:r>
      <w:r w:rsidRPr="001C04E0">
        <w:rPr>
          <w:rFonts w:cs="Times New Roman"/>
        </w:rPr>
        <w:t>: technology without accompanying process redesign and worker buy-in often underdelivers (Davis, 1989; Venkatesh et al., 2003). Therefore, IBIS Barking should sequence changes: start with low-cost process fixes, then pilot KDS and pre-order, monitor KPIs, and scale only after iterative learning.</w:t>
      </w:r>
    </w:p>
    <w:p w14:paraId="5B5BD08C" w14:textId="77777777" w:rsidR="00EB6076" w:rsidRPr="001C04E0" w:rsidRDefault="00000000" w:rsidP="001C04E0">
      <w:pPr>
        <w:pStyle w:val="Heading3"/>
        <w:rPr>
          <w:rFonts w:cs="Times New Roman"/>
        </w:rPr>
      </w:pPr>
      <w:bookmarkStart w:id="24" w:name="_Toc211337889"/>
      <w:r w:rsidRPr="001C04E0">
        <w:rPr>
          <w:rFonts w:cs="Times New Roman"/>
        </w:rPr>
        <w:t>External Influences (PESTEL Analysis):</w:t>
      </w:r>
      <w:bookmarkEnd w:id="24"/>
    </w:p>
    <w:p w14:paraId="6C5C6585" w14:textId="77777777" w:rsidR="00EB6076" w:rsidRDefault="00000000" w:rsidP="001C04E0">
      <w:pPr>
        <w:rPr>
          <w:rFonts w:cs="Times New Roman"/>
        </w:rPr>
      </w:pPr>
      <w:r w:rsidRPr="001C04E0">
        <w:rPr>
          <w:rFonts w:cs="Times New Roman"/>
        </w:rPr>
        <w:t>A concise PESTEL reading shows several external factors shaping feasibility:</w:t>
      </w:r>
    </w:p>
    <w:p w14:paraId="2FAF9747" w14:textId="77777777" w:rsidR="0011048A" w:rsidRPr="0011048A" w:rsidRDefault="00000000" w:rsidP="0011048A">
      <w:pPr>
        <w:rPr>
          <w:rFonts w:cs="Times New Roman"/>
          <w:lang w:val=""/>
        </w:rPr>
      </w:pPr>
      <w:r w:rsidRPr="0011048A">
        <w:rPr>
          <w:rFonts w:cs="Times New Roman"/>
          <w:b/>
          <w:bCs/>
          <w:lang w:val=""/>
        </w:rPr>
        <w:t>Political:</w:t>
      </w:r>
      <w:r w:rsidRPr="0011048A">
        <w:rPr>
          <w:rFonts w:cs="Times New Roman"/>
          <w:lang w:val=""/>
        </w:rPr>
        <w:t xml:space="preserve"> Labour and immigration policies affect how easily hotels can hire flexible staff. Post-Brexit rules and visa arrangements remain important for UK hiring flexibility, so any staffing plan should account for regulatory constraints (OECD, 2024).</w:t>
      </w:r>
    </w:p>
    <w:p w14:paraId="7E4B5149" w14:textId="77777777" w:rsidR="0011048A" w:rsidRPr="0011048A" w:rsidRDefault="00000000" w:rsidP="0011048A">
      <w:pPr>
        <w:rPr>
          <w:rFonts w:cs="Times New Roman"/>
          <w:lang w:val=""/>
        </w:rPr>
      </w:pPr>
      <w:r w:rsidRPr="0011048A">
        <w:rPr>
          <w:rFonts w:cs="Times New Roman"/>
          <w:b/>
          <w:bCs/>
          <w:lang w:val=""/>
        </w:rPr>
        <w:t>Economic:</w:t>
      </w:r>
      <w:r w:rsidRPr="0011048A">
        <w:rPr>
          <w:rFonts w:cs="Times New Roman"/>
          <w:lang w:val=""/>
        </w:rPr>
        <w:t xml:space="preserve"> Rising wages and operating costs mean big capital projects are harder to justify for mid-scale hotels. That makes low-capex “quick wins” (zoning, host role, simple apps) attractive; larger tech investments should show a quick payback or be supported by group procurement (PwC, 2024).</w:t>
      </w:r>
    </w:p>
    <w:p w14:paraId="2A7A5D33" w14:textId="77777777" w:rsidR="0011048A" w:rsidRPr="0011048A" w:rsidRDefault="00000000" w:rsidP="0011048A">
      <w:pPr>
        <w:rPr>
          <w:rFonts w:cs="Times New Roman"/>
          <w:lang w:val=""/>
        </w:rPr>
      </w:pPr>
      <w:r w:rsidRPr="0011048A">
        <w:rPr>
          <w:rFonts w:cs="Times New Roman"/>
          <w:b/>
          <w:bCs/>
          <w:lang w:val=""/>
        </w:rPr>
        <w:t>Social:</w:t>
      </w:r>
      <w:r w:rsidRPr="0011048A">
        <w:rPr>
          <w:rFonts w:cs="Times New Roman"/>
          <w:lang w:val=""/>
        </w:rPr>
        <w:t xml:space="preserve"> Guests increasingly expect speed and digital convenience, yet some segments still value human contact. A hybrid approach (digital options plus staffed support) fits most guest mixes and reduces alienation of less tech-savvy customers (Deloitte, 2023).</w:t>
      </w:r>
    </w:p>
    <w:p w14:paraId="335634C9" w14:textId="77777777" w:rsidR="0011048A" w:rsidRPr="0011048A" w:rsidRDefault="00000000" w:rsidP="0011048A">
      <w:pPr>
        <w:rPr>
          <w:rFonts w:cs="Times New Roman"/>
          <w:lang w:val=""/>
        </w:rPr>
      </w:pPr>
      <w:r w:rsidRPr="0011048A">
        <w:rPr>
          <w:rFonts w:cs="Times New Roman"/>
          <w:b/>
          <w:bCs/>
          <w:lang w:val=""/>
        </w:rPr>
        <w:t>Technological:</w:t>
      </w:r>
      <w:r w:rsidRPr="0011048A">
        <w:rPr>
          <w:rFonts w:cs="Times New Roman"/>
          <w:lang w:val=""/>
        </w:rPr>
        <w:t xml:space="preserve"> Cloud POS, lightweight KDS solutions and app-based pre-order tools are now affordable and interoperable — but they must integrate cleanly with the property’s PMS and the Accor ALL ecosystem to avoid siloed systems (Toast, 2025; Oracle Hospitality, 2025).</w:t>
      </w:r>
    </w:p>
    <w:p w14:paraId="0D33D2E6" w14:textId="77777777" w:rsidR="0011048A" w:rsidRPr="0011048A" w:rsidRDefault="00000000" w:rsidP="0011048A">
      <w:pPr>
        <w:rPr>
          <w:rFonts w:cs="Times New Roman"/>
          <w:lang w:val=""/>
        </w:rPr>
      </w:pPr>
      <w:r w:rsidRPr="0011048A">
        <w:rPr>
          <w:rFonts w:cs="Times New Roman"/>
          <w:b/>
          <w:bCs/>
          <w:lang w:val=""/>
        </w:rPr>
        <w:t>Environmental:</w:t>
      </w:r>
      <w:r w:rsidRPr="0011048A">
        <w:rPr>
          <w:rFonts w:cs="Times New Roman"/>
          <w:lang w:val=""/>
        </w:rPr>
        <w:t xml:space="preserve"> Simplifying breakfast menus and encouraging pre-orders can reduce food waste (Winnow case), which supports both cost savings and corporate sustainability goals — a growing expectation from guests and corporate buyers (Winnow Solutions, 2024).</w:t>
      </w:r>
    </w:p>
    <w:p w14:paraId="182E66CC" w14:textId="77777777" w:rsidR="0011048A" w:rsidRPr="0011048A" w:rsidRDefault="00000000" w:rsidP="0011048A">
      <w:pPr>
        <w:rPr>
          <w:rFonts w:cs="Times New Roman"/>
          <w:lang w:val=""/>
        </w:rPr>
      </w:pPr>
      <w:r w:rsidRPr="0011048A">
        <w:rPr>
          <w:rFonts w:cs="Times New Roman"/>
          <w:b/>
          <w:bCs/>
          <w:lang w:val=""/>
        </w:rPr>
        <w:t>Legal:</w:t>
      </w:r>
      <w:r w:rsidRPr="0011048A">
        <w:rPr>
          <w:rFonts w:cs="Times New Roman"/>
          <w:lang w:val=""/>
        </w:rPr>
        <w:t xml:space="preserve"> Any guest-data solution (pre-orders, apps, loyalty integrations) must comply with GDPR and Accor’s data policies; short pilots should include privacy checks before any personal data is captured.</w:t>
      </w:r>
    </w:p>
    <w:p w14:paraId="472A5E26" w14:textId="77777777" w:rsidR="002917AB" w:rsidRPr="001C04E0" w:rsidRDefault="00000000" w:rsidP="001C04E0">
      <w:pPr>
        <w:rPr>
          <w:rFonts w:cs="Times New Roman"/>
        </w:rPr>
      </w:pPr>
      <w:r w:rsidRPr="0011048A">
        <w:rPr>
          <w:rFonts w:cs="Times New Roman"/>
          <w:lang w:val=""/>
        </w:rPr>
        <w:t>Overall, PESTEL suggests a pragmatic, low-risk rollout: prioritise low-cost operational changes and lightweight tech pilots that respect regulatory and integration constraints, measure outcomes, then scale what works</w:t>
      </w:r>
      <w:r>
        <w:rPr>
          <w:rFonts w:cs="Times New Roman"/>
        </w:rPr>
        <w:t xml:space="preserve"> </w:t>
      </w:r>
      <w:r w:rsidRPr="001C04E0">
        <w:rPr>
          <w:rFonts w:cs="Times New Roman"/>
        </w:rPr>
        <w:t>(Yüksel, 2012).</w:t>
      </w:r>
    </w:p>
    <w:p w14:paraId="3F6AC0EE" w14:textId="77777777" w:rsidR="00EB6076" w:rsidRPr="001C04E0" w:rsidRDefault="00000000" w:rsidP="001C04E0">
      <w:pPr>
        <w:pStyle w:val="Heading3"/>
        <w:rPr>
          <w:rFonts w:cs="Times New Roman"/>
        </w:rPr>
      </w:pPr>
      <w:bookmarkStart w:id="25" w:name="_Toc211337890"/>
      <w:r w:rsidRPr="001C04E0">
        <w:rPr>
          <w:rFonts w:cs="Times New Roman"/>
        </w:rPr>
        <w:t xml:space="preserve">SWOT </w:t>
      </w:r>
      <w:r w:rsidR="00A76417" w:rsidRPr="001C04E0">
        <w:rPr>
          <w:rFonts w:cs="Times New Roman"/>
        </w:rPr>
        <w:t>A</w:t>
      </w:r>
      <w:r w:rsidRPr="001C04E0">
        <w:rPr>
          <w:rFonts w:cs="Times New Roman"/>
        </w:rPr>
        <w:t>nalysis: IBIS London Barking</w:t>
      </w:r>
      <w:bookmarkEnd w:id="25"/>
    </w:p>
    <w:tbl>
      <w:tblPr>
        <w:tblStyle w:val="GridTable6ColourfulAccent6"/>
        <w:tblW w:w="0" w:type="auto"/>
        <w:tblLook w:val="04A0" w:firstRow="1" w:lastRow="0" w:firstColumn="1" w:lastColumn="0" w:noHBand="0" w:noVBand="1"/>
      </w:tblPr>
      <w:tblGrid>
        <w:gridCol w:w="4508"/>
        <w:gridCol w:w="4508"/>
      </w:tblGrid>
      <w:tr w:rsidR="00646239" w14:paraId="35DA8543" w14:textId="77777777" w:rsidTr="006462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D783E3A" w14:textId="77777777" w:rsidR="00A76417" w:rsidRPr="001C04E0" w:rsidRDefault="00000000" w:rsidP="001C04E0">
            <w:pPr>
              <w:spacing w:line="360" w:lineRule="auto"/>
              <w:jc w:val="center"/>
              <w:rPr>
                <w:rFonts w:cs="Times New Roman"/>
                <w:color w:val="000000" w:themeColor="text1"/>
              </w:rPr>
            </w:pPr>
            <w:r w:rsidRPr="001C04E0">
              <w:rPr>
                <w:rFonts w:cs="Times New Roman"/>
                <w:color w:val="000000" w:themeColor="text1"/>
              </w:rPr>
              <w:t>Strengths</w:t>
            </w:r>
          </w:p>
        </w:tc>
        <w:tc>
          <w:tcPr>
            <w:tcW w:w="4508" w:type="dxa"/>
          </w:tcPr>
          <w:p w14:paraId="08F83A20" w14:textId="77777777" w:rsidR="00A76417" w:rsidRPr="001C04E0" w:rsidRDefault="00000000" w:rsidP="001C04E0">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color w:val="000000" w:themeColor="text1"/>
              </w:rPr>
            </w:pPr>
            <w:r w:rsidRPr="001C04E0">
              <w:rPr>
                <w:rFonts w:cs="Times New Roman"/>
                <w:color w:val="000000" w:themeColor="text1"/>
              </w:rPr>
              <w:t>Weaknesses</w:t>
            </w:r>
          </w:p>
        </w:tc>
      </w:tr>
      <w:tr w:rsidR="00646239" w14:paraId="45D216EF" w14:textId="77777777" w:rsidTr="00646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B37388E" w14:textId="77777777" w:rsidR="00A76417" w:rsidRPr="001C04E0" w:rsidRDefault="00000000" w:rsidP="001C04E0">
            <w:pPr>
              <w:spacing w:line="360" w:lineRule="auto"/>
              <w:rPr>
                <w:rFonts w:cs="Times New Roman"/>
                <w:color w:val="000000" w:themeColor="text1"/>
              </w:rPr>
            </w:pPr>
            <w:r w:rsidRPr="001C04E0">
              <w:rPr>
                <w:rFonts w:cs="Times New Roman"/>
                <w:b w:val="0"/>
                <w:bCs w:val="0"/>
                <w:color w:val="000000" w:themeColor="text1"/>
              </w:rPr>
              <w:t xml:space="preserve">• Brand affiliation (Accor/ibis) provides access to group systems (ALL app), </w:t>
            </w:r>
            <w:r w:rsidRPr="001C04E0">
              <w:rPr>
                <w:rFonts w:cs="Times New Roman"/>
                <w:b w:val="0"/>
                <w:bCs w:val="0"/>
                <w:color w:val="000000" w:themeColor="text1"/>
              </w:rPr>
              <w:lastRenderedPageBreak/>
              <w:t>procurement and cross-property staffing pools.</w:t>
            </w:r>
          </w:p>
          <w:p w14:paraId="30815190" w14:textId="77777777" w:rsidR="00A76417" w:rsidRPr="001C04E0" w:rsidRDefault="00000000" w:rsidP="001C04E0">
            <w:pPr>
              <w:spacing w:line="360" w:lineRule="auto"/>
              <w:rPr>
                <w:rFonts w:cs="Times New Roman"/>
                <w:color w:val="000000" w:themeColor="text1"/>
              </w:rPr>
            </w:pPr>
            <w:r w:rsidRPr="001C04E0">
              <w:rPr>
                <w:rFonts w:cs="Times New Roman"/>
                <w:b w:val="0"/>
                <w:bCs w:val="0"/>
                <w:color w:val="000000" w:themeColor="text1"/>
              </w:rPr>
              <w:t>• Compact hotel footprint (86 rooms) allows rapid testing and iteration of small pilots.</w:t>
            </w:r>
          </w:p>
        </w:tc>
        <w:tc>
          <w:tcPr>
            <w:tcW w:w="4508" w:type="dxa"/>
          </w:tcPr>
          <w:p w14:paraId="6C22E112" w14:textId="77777777" w:rsidR="00A76417" w:rsidRPr="001C04E0" w:rsidRDefault="00000000" w:rsidP="001C04E0">
            <w:pPr>
              <w:spacing w:line="360" w:lineRule="auto"/>
              <w:cnfStyle w:val="000000100000" w:firstRow="0" w:lastRow="0" w:firstColumn="0" w:lastColumn="0" w:oddVBand="0" w:evenVBand="0" w:oddHBand="1" w:evenHBand="0" w:firstRowFirstColumn="0" w:firstRowLastColumn="0" w:lastRowFirstColumn="0" w:lastRowLastColumn="0"/>
              <w:rPr>
                <w:rFonts w:cs="Times New Roman"/>
                <w:b/>
                <w:bCs/>
                <w:color w:val="000000" w:themeColor="text1"/>
              </w:rPr>
            </w:pPr>
            <w:r w:rsidRPr="001C04E0">
              <w:rPr>
                <w:rFonts w:cs="Times New Roman"/>
                <w:color w:val="000000" w:themeColor="text1"/>
              </w:rPr>
              <w:lastRenderedPageBreak/>
              <w:t xml:space="preserve">• Limited FOH space for breakfast (constrains seating flexibility) and tight </w:t>
            </w:r>
            <w:r w:rsidRPr="001C04E0">
              <w:rPr>
                <w:rFonts w:cs="Times New Roman"/>
                <w:color w:val="000000" w:themeColor="text1"/>
              </w:rPr>
              <w:lastRenderedPageBreak/>
              <w:t>labour-to-revenue ratios typical of mid-scale operations.</w:t>
            </w:r>
          </w:p>
          <w:p w14:paraId="11214EA0" w14:textId="77777777" w:rsidR="00A76417" w:rsidRPr="001C04E0" w:rsidRDefault="00000000" w:rsidP="001C04E0">
            <w:pPr>
              <w:spacing w:line="360" w:lineRule="auto"/>
              <w:cnfStyle w:val="000000100000" w:firstRow="0" w:lastRow="0" w:firstColumn="0" w:lastColumn="0" w:oddVBand="0" w:evenVBand="0" w:oddHBand="1" w:evenHBand="0" w:firstRowFirstColumn="0" w:firstRowLastColumn="0" w:lastRowFirstColumn="0" w:lastRowLastColumn="0"/>
              <w:rPr>
                <w:rFonts w:cs="Times New Roman"/>
                <w:b/>
                <w:bCs/>
                <w:color w:val="000000" w:themeColor="text1"/>
              </w:rPr>
            </w:pPr>
            <w:r w:rsidRPr="001C04E0">
              <w:rPr>
                <w:rFonts w:cs="Times New Roman"/>
                <w:color w:val="000000" w:themeColor="text1"/>
              </w:rPr>
              <w:t>• Cashless-only policy may marginally limit impulse upgrades at F&amp;B point-of-sale.</w:t>
            </w:r>
          </w:p>
        </w:tc>
      </w:tr>
      <w:tr w:rsidR="00646239" w14:paraId="48EE71EC" w14:textId="77777777" w:rsidTr="00646239">
        <w:tc>
          <w:tcPr>
            <w:cnfStyle w:val="001000000000" w:firstRow="0" w:lastRow="0" w:firstColumn="1" w:lastColumn="0" w:oddVBand="0" w:evenVBand="0" w:oddHBand="0" w:evenHBand="0" w:firstRowFirstColumn="0" w:firstRowLastColumn="0" w:lastRowFirstColumn="0" w:lastRowLastColumn="0"/>
            <w:tcW w:w="4508" w:type="dxa"/>
          </w:tcPr>
          <w:p w14:paraId="27C69B41" w14:textId="77777777" w:rsidR="00A76417" w:rsidRPr="001C04E0" w:rsidRDefault="00000000" w:rsidP="001C04E0">
            <w:pPr>
              <w:spacing w:line="360" w:lineRule="auto"/>
              <w:jc w:val="center"/>
              <w:rPr>
                <w:rFonts w:cs="Times New Roman"/>
                <w:color w:val="000000" w:themeColor="text1"/>
              </w:rPr>
            </w:pPr>
            <w:r w:rsidRPr="001C04E0">
              <w:rPr>
                <w:rFonts w:cs="Times New Roman"/>
                <w:color w:val="000000" w:themeColor="text1"/>
              </w:rPr>
              <w:lastRenderedPageBreak/>
              <w:t>Opportunities</w:t>
            </w:r>
          </w:p>
        </w:tc>
        <w:tc>
          <w:tcPr>
            <w:tcW w:w="4508" w:type="dxa"/>
          </w:tcPr>
          <w:p w14:paraId="093ECA95" w14:textId="77777777" w:rsidR="00A76417" w:rsidRPr="001C04E0" w:rsidRDefault="00000000" w:rsidP="001C04E0">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bCs/>
                <w:color w:val="000000" w:themeColor="text1"/>
              </w:rPr>
            </w:pPr>
            <w:r w:rsidRPr="001C04E0">
              <w:rPr>
                <w:rFonts w:cs="Times New Roman"/>
                <w:b/>
                <w:bCs/>
                <w:color w:val="000000" w:themeColor="text1"/>
              </w:rPr>
              <w:t>Threats</w:t>
            </w:r>
          </w:p>
        </w:tc>
      </w:tr>
      <w:tr w:rsidR="00646239" w14:paraId="7E52901D" w14:textId="77777777" w:rsidTr="00646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E95429F" w14:textId="77777777" w:rsidR="00A76417" w:rsidRPr="001C04E0" w:rsidRDefault="00000000" w:rsidP="001C04E0">
            <w:pPr>
              <w:spacing w:line="360" w:lineRule="auto"/>
              <w:rPr>
                <w:rFonts w:cs="Times New Roman"/>
                <w:color w:val="000000" w:themeColor="text1"/>
              </w:rPr>
            </w:pPr>
            <w:r w:rsidRPr="001C04E0">
              <w:rPr>
                <w:rFonts w:cs="Times New Roman"/>
                <w:b w:val="0"/>
                <w:bCs w:val="0"/>
                <w:color w:val="000000" w:themeColor="text1"/>
              </w:rPr>
              <w:t>• Quick wins from process redesign (mise-en-place, host role) and affordable waitlist apps.</w:t>
            </w:r>
          </w:p>
          <w:p w14:paraId="3F29D070" w14:textId="77777777" w:rsidR="00A76417" w:rsidRPr="001C04E0" w:rsidRDefault="00000000" w:rsidP="001C04E0">
            <w:pPr>
              <w:spacing w:line="360" w:lineRule="auto"/>
              <w:rPr>
                <w:rFonts w:cs="Times New Roman"/>
                <w:color w:val="000000" w:themeColor="text1"/>
              </w:rPr>
            </w:pPr>
            <w:r w:rsidRPr="001C04E0">
              <w:rPr>
                <w:rFonts w:cs="Times New Roman"/>
                <w:b w:val="0"/>
                <w:bCs w:val="0"/>
                <w:color w:val="000000" w:themeColor="text1"/>
              </w:rPr>
              <w:t>• Potential to leverage the ALL app for light pre-order features or communications.</w:t>
            </w:r>
          </w:p>
        </w:tc>
        <w:tc>
          <w:tcPr>
            <w:tcW w:w="4508" w:type="dxa"/>
          </w:tcPr>
          <w:p w14:paraId="422E2A22" w14:textId="77777777" w:rsidR="00A76417" w:rsidRPr="001C04E0" w:rsidRDefault="00000000" w:rsidP="001C04E0">
            <w:pPr>
              <w:spacing w:line="360" w:lineRule="auto"/>
              <w:cnfStyle w:val="000000100000" w:firstRow="0" w:lastRow="0" w:firstColumn="0" w:lastColumn="0" w:oddVBand="0" w:evenVBand="0" w:oddHBand="1" w:evenHBand="0" w:firstRowFirstColumn="0" w:firstRowLastColumn="0" w:lastRowFirstColumn="0" w:lastRowLastColumn="0"/>
              <w:rPr>
                <w:rFonts w:cs="Times New Roman"/>
                <w:b/>
                <w:bCs/>
                <w:color w:val="000000" w:themeColor="text1"/>
              </w:rPr>
            </w:pPr>
            <w:r w:rsidRPr="001C04E0">
              <w:rPr>
                <w:rFonts w:cs="Times New Roman"/>
                <w:color w:val="000000" w:themeColor="text1"/>
              </w:rPr>
              <w:t>• Labour shortages and rising wage bills reduce headroom for adding staff.</w:t>
            </w:r>
          </w:p>
          <w:p w14:paraId="00134534" w14:textId="77777777" w:rsidR="00A76417" w:rsidRPr="001C04E0" w:rsidRDefault="00000000" w:rsidP="001C04E0">
            <w:pPr>
              <w:spacing w:line="360" w:lineRule="auto"/>
              <w:cnfStyle w:val="000000100000" w:firstRow="0" w:lastRow="0" w:firstColumn="0" w:lastColumn="0" w:oddVBand="0" w:evenVBand="0" w:oddHBand="1" w:evenHBand="0" w:firstRowFirstColumn="0" w:firstRowLastColumn="0" w:lastRowFirstColumn="0" w:lastRowLastColumn="0"/>
              <w:rPr>
                <w:rFonts w:cs="Times New Roman"/>
                <w:b/>
                <w:bCs/>
                <w:color w:val="000000" w:themeColor="text1"/>
              </w:rPr>
            </w:pPr>
            <w:r w:rsidRPr="001C04E0">
              <w:rPr>
                <w:rFonts w:cs="Times New Roman"/>
                <w:color w:val="000000" w:themeColor="text1"/>
              </w:rPr>
              <w:t>• Guest resistance to automation among certain segments; failed pilots could worsen perceptions.</w:t>
            </w:r>
          </w:p>
        </w:tc>
      </w:tr>
    </w:tbl>
    <w:p w14:paraId="406F9987" w14:textId="77777777" w:rsidR="00EB6076" w:rsidRPr="001C04E0" w:rsidRDefault="00EB6076" w:rsidP="001C04E0">
      <w:pPr>
        <w:rPr>
          <w:rFonts w:cs="Times New Roman"/>
        </w:rPr>
      </w:pPr>
    </w:p>
    <w:p w14:paraId="1461B460" w14:textId="77777777" w:rsidR="00EB6076" w:rsidRPr="001C04E0" w:rsidRDefault="00000000" w:rsidP="001C04E0">
      <w:pPr>
        <w:rPr>
          <w:rFonts w:cs="Times New Roman"/>
        </w:rPr>
      </w:pPr>
      <w:r w:rsidRPr="001C04E0">
        <w:rPr>
          <w:rFonts w:cs="Times New Roman"/>
        </w:rPr>
        <w:t>This SWOT suggests IBIS Barking should prioritise low-cost operational improvements and scalable tech pilots that exploit brand-platform synergies while guarding against staffing and acceptance risks.</w:t>
      </w:r>
    </w:p>
    <w:p w14:paraId="035182AC" w14:textId="77777777" w:rsidR="00EB6076" w:rsidRPr="001C04E0" w:rsidRDefault="00000000" w:rsidP="001C04E0">
      <w:pPr>
        <w:pStyle w:val="Heading3"/>
        <w:rPr>
          <w:rFonts w:cs="Times New Roman"/>
        </w:rPr>
      </w:pPr>
      <w:bookmarkStart w:id="26" w:name="_Toc211337891"/>
      <w:r w:rsidRPr="001C04E0">
        <w:rPr>
          <w:rFonts w:cs="Times New Roman"/>
        </w:rPr>
        <w:t xml:space="preserve">Limitations, </w:t>
      </w:r>
      <w:r w:rsidR="00A76417" w:rsidRPr="001C04E0">
        <w:rPr>
          <w:rFonts w:cs="Times New Roman"/>
        </w:rPr>
        <w:t>C</w:t>
      </w:r>
      <w:r w:rsidRPr="001C04E0">
        <w:rPr>
          <w:rFonts w:cs="Times New Roman"/>
        </w:rPr>
        <w:t xml:space="preserve">hange </w:t>
      </w:r>
      <w:r w:rsidR="00A76417" w:rsidRPr="001C04E0">
        <w:rPr>
          <w:rFonts w:cs="Times New Roman"/>
        </w:rPr>
        <w:t>R</w:t>
      </w:r>
      <w:r w:rsidRPr="001C04E0">
        <w:rPr>
          <w:rFonts w:cs="Times New Roman"/>
        </w:rPr>
        <w:t xml:space="preserve">esistance and </w:t>
      </w:r>
      <w:r w:rsidR="00A76417" w:rsidRPr="001C04E0">
        <w:rPr>
          <w:rFonts w:cs="Times New Roman"/>
        </w:rPr>
        <w:t>F</w:t>
      </w:r>
      <w:r w:rsidRPr="001C04E0">
        <w:rPr>
          <w:rFonts w:cs="Times New Roman"/>
        </w:rPr>
        <w:t xml:space="preserve">inancial </w:t>
      </w:r>
      <w:r w:rsidR="00A76417" w:rsidRPr="001C04E0">
        <w:rPr>
          <w:rFonts w:cs="Times New Roman"/>
        </w:rPr>
        <w:t>C</w:t>
      </w:r>
      <w:r w:rsidRPr="001C04E0">
        <w:rPr>
          <w:rFonts w:cs="Times New Roman"/>
        </w:rPr>
        <w:t>onsiderations</w:t>
      </w:r>
      <w:r w:rsidR="00A76417" w:rsidRPr="001C04E0">
        <w:rPr>
          <w:rFonts w:cs="Times New Roman"/>
        </w:rPr>
        <w:t>:</w:t>
      </w:r>
      <w:bookmarkEnd w:id="26"/>
    </w:p>
    <w:p w14:paraId="690EB203" w14:textId="77777777" w:rsidR="00EB6076" w:rsidRPr="001C04E0" w:rsidRDefault="00000000" w:rsidP="001C04E0">
      <w:pPr>
        <w:rPr>
          <w:rFonts w:cs="Times New Roman"/>
        </w:rPr>
      </w:pPr>
      <w:r w:rsidRPr="001C04E0">
        <w:rPr>
          <w:rFonts w:cs="Times New Roman"/>
        </w:rPr>
        <w:t xml:space="preserve">Implementation faces three principal constraints. First, </w:t>
      </w:r>
      <w:r w:rsidRPr="001C04E0">
        <w:rPr>
          <w:rFonts w:cs="Times New Roman"/>
          <w:b/>
          <w:bCs/>
        </w:rPr>
        <w:t>financial</w:t>
      </w:r>
      <w:r w:rsidRPr="001C04E0">
        <w:rPr>
          <w:rFonts w:cs="Times New Roman"/>
        </w:rPr>
        <w:t xml:space="preserve">: mid-scale hotels operate under tighter capital constraints, so any technology must present a short payback or be subsidised by group arrangements (Brynjolfsson and McAfee, 2014). Second, </w:t>
      </w:r>
      <w:r w:rsidRPr="001C04E0">
        <w:rPr>
          <w:rFonts w:cs="Times New Roman"/>
          <w:b/>
          <w:bCs/>
        </w:rPr>
        <w:t>human resistance</w:t>
      </w:r>
      <w:r w:rsidRPr="001C04E0">
        <w:rPr>
          <w:rFonts w:cs="Times New Roman"/>
        </w:rPr>
        <w:t xml:space="preserve">: change management theory shows staff resistance arises from perceived threats to job security, increased workload during learning, or unclear benefits (Kotter, 1996; Armenakis and Bedeian, 1999). Overcoming this requires leadership, clear communication, incremental pilots, and visible short-term wins (Kotter, 1996). Third, </w:t>
      </w:r>
      <w:r w:rsidRPr="001C04E0">
        <w:rPr>
          <w:rFonts w:cs="Times New Roman"/>
          <w:b/>
          <w:bCs/>
        </w:rPr>
        <w:t>adaptation curve and integration risk</w:t>
      </w:r>
      <w:r w:rsidRPr="001C04E0">
        <w:rPr>
          <w:rFonts w:cs="Times New Roman"/>
        </w:rPr>
        <w:t>: technical systems can produce integration costs, data issues and service friction during rollout (Venkatesh et al., 2003). Thus, IBIS Barking should adopt iterative pilots, measure ROI and staff satisfaction, and use training to reduce resistance (Salas et al., 2012).</w:t>
      </w:r>
    </w:p>
    <w:p w14:paraId="73CFF967" w14:textId="77777777" w:rsidR="00EB6076" w:rsidRPr="001C04E0" w:rsidRDefault="00000000" w:rsidP="001C04E0">
      <w:pPr>
        <w:rPr>
          <w:rFonts w:cs="Times New Roman"/>
        </w:rPr>
      </w:pPr>
      <w:r w:rsidRPr="001C04E0">
        <w:rPr>
          <w:rFonts w:cs="Times New Roman"/>
        </w:rPr>
        <w:t xml:space="preserve">Interpreting the findings through service-quality theory, operations models, and external analysis demonstrates that IBIS London Barking faces classic, solvable peak-hour problems: staffing fragility, FOH–kitchen miscommunication and inadequate queuing control. The evidence supports a pragmatic, staged intervention strategy: (1) immediate low-cost operational fixes to reduce perceived wait and improve reliability; (2) workforce-forecasting and rostering improvements to reduce understaffing; (3) careful pilot of POS–KDS integration and an uncomplicated pre-order function; and (4) an accompanying change-management programme to secure staff buy-in. Properly sequenced and measured, these interventions are </w:t>
      </w:r>
      <w:r w:rsidRPr="001C04E0">
        <w:rPr>
          <w:rFonts w:cs="Times New Roman"/>
        </w:rPr>
        <w:lastRenderedPageBreak/>
        <w:t>likely to improve guest satisfaction, protect brand reputation and provide a modest revenue uplift, outcomes that align with both academic theory and industry practice.</w:t>
      </w:r>
    </w:p>
    <w:p w14:paraId="0C9FCCDF" w14:textId="77777777" w:rsidR="008077C0" w:rsidRPr="001C04E0" w:rsidRDefault="00000000" w:rsidP="001C04E0">
      <w:pPr>
        <w:pStyle w:val="Heading1"/>
        <w:rPr>
          <w:rFonts w:cs="Times New Roman"/>
        </w:rPr>
      </w:pPr>
      <w:bookmarkStart w:id="27" w:name="_Toc211337892"/>
      <w:r w:rsidRPr="001C04E0">
        <w:rPr>
          <w:rFonts w:cs="Times New Roman"/>
        </w:rPr>
        <w:t>Chapter 5: Conclusion and Recommendations</w:t>
      </w:r>
      <w:bookmarkEnd w:id="27"/>
    </w:p>
    <w:p w14:paraId="69834294" w14:textId="77777777" w:rsidR="008077C0" w:rsidRPr="001C04E0" w:rsidRDefault="00000000" w:rsidP="001C04E0">
      <w:pPr>
        <w:pStyle w:val="Heading2"/>
        <w:rPr>
          <w:rFonts w:cs="Times New Roman"/>
        </w:rPr>
      </w:pPr>
      <w:bookmarkStart w:id="28" w:name="_Toc211337893"/>
      <w:r w:rsidRPr="001C04E0">
        <w:rPr>
          <w:rFonts w:cs="Times New Roman"/>
        </w:rPr>
        <w:t>Conclusion</w:t>
      </w:r>
      <w:r w:rsidR="00A76417" w:rsidRPr="001C04E0">
        <w:rPr>
          <w:rFonts w:cs="Times New Roman"/>
        </w:rPr>
        <w:t>:</w:t>
      </w:r>
      <w:bookmarkEnd w:id="28"/>
    </w:p>
    <w:p w14:paraId="6B9E111D" w14:textId="77777777" w:rsidR="00A76417" w:rsidRPr="001C04E0" w:rsidRDefault="00000000" w:rsidP="001C04E0">
      <w:pPr>
        <w:rPr>
          <w:rFonts w:cs="Times New Roman"/>
        </w:rPr>
      </w:pPr>
      <w:r w:rsidRPr="001C04E0">
        <w:rPr>
          <w:rFonts w:cs="Times New Roman"/>
        </w:rPr>
        <w:t>This project set out to examine how guest service efficiency during peak periods, particularly breakfast service, can be enhanced at IBIS London Barking (IBIS Red – Barking) through operational and technological improvements. The stated aim was to critically analyse service efficiency during peak hours and to generate practicable recommendations for a mid-scale Accor property. The core objectives were (1) to assess existing problem areas that impede speed of service and customer satisfaction; (2) to identify best-practice strategies from the academic and industry literature; and (3) to propose feasible recommendations for IBIS Barking based on a thematic synthesis of secondary evidence. The following conclusion summarises the study’s principal insights, reflects on theoretical and practical implications, establishes the potential for IBIS Barking to act as a benchmark for similar properties, and outlines limitations together with avenues for future research.</w:t>
      </w:r>
    </w:p>
    <w:p w14:paraId="2A036E36" w14:textId="77777777" w:rsidR="00A76417" w:rsidRPr="001C04E0" w:rsidRDefault="00000000" w:rsidP="001C04E0">
      <w:pPr>
        <w:pStyle w:val="Heading3"/>
        <w:rPr>
          <w:rFonts w:cs="Times New Roman"/>
        </w:rPr>
      </w:pPr>
      <w:bookmarkStart w:id="29" w:name="_Toc211337894"/>
      <w:r w:rsidRPr="001C04E0">
        <w:rPr>
          <w:rFonts w:cs="Times New Roman"/>
        </w:rPr>
        <w:t>Restating Key Findings:</w:t>
      </w:r>
      <w:bookmarkEnd w:id="29"/>
    </w:p>
    <w:p w14:paraId="60A7DE03" w14:textId="77777777" w:rsidR="00A76417" w:rsidRPr="001C04E0" w:rsidRDefault="00000000" w:rsidP="001C04E0">
      <w:pPr>
        <w:rPr>
          <w:rFonts w:cs="Times New Roman"/>
        </w:rPr>
      </w:pPr>
      <w:r w:rsidRPr="001C04E0">
        <w:rPr>
          <w:rFonts w:cs="Times New Roman"/>
        </w:rPr>
        <w:t>The evidence compiled in Chapters 2–4 indicates that IBIS London Barking’s peak-hour problems are characteristic of many mid-scale hotels: constrained FOH space, tight labour-to-revenue ratios, and episodic communication breakdowns between front-of-house (FOH) and kitchen during demand peaks. Sector data and academic studies show that even modest staffing shortfalls at breakfast can produce outsized delays in table turnover and perceived service quality (Office for National Statistics, 2024; World Travel &amp; Tourism Council, 2023). In addition, online reputation studies demonstrate that breakfast and F&amp;B failures are amplified through review platforms, producing rapid reputational effects that influence booking conversion (Xiang, Du, Ma and Fan, 2017). The thematic synthesis supports a staged intervention strategy: immediate low-cost operational changes (host role, simplified mise-en-place, queue management), medium-term workforce optimisation (predictive rostering), and targeted technological interventions (KDS integration and light pre-order/mobile features) as resources permit.</w:t>
      </w:r>
    </w:p>
    <w:p w14:paraId="22FD1579" w14:textId="77777777" w:rsidR="00A76417" w:rsidRPr="001C04E0" w:rsidRDefault="00000000" w:rsidP="001C04E0">
      <w:pPr>
        <w:pStyle w:val="Heading3"/>
        <w:rPr>
          <w:rFonts w:cs="Times New Roman"/>
        </w:rPr>
      </w:pPr>
      <w:bookmarkStart w:id="30" w:name="_Toc211337895"/>
      <w:r w:rsidRPr="001C04E0">
        <w:rPr>
          <w:rFonts w:cs="Times New Roman"/>
        </w:rPr>
        <w:t>Theoretical and Practical Implications:</w:t>
      </w:r>
      <w:bookmarkEnd w:id="30"/>
    </w:p>
    <w:p w14:paraId="622D8A83" w14:textId="77777777" w:rsidR="00A76417" w:rsidRPr="001C04E0" w:rsidRDefault="00000000" w:rsidP="001C04E0">
      <w:pPr>
        <w:rPr>
          <w:rFonts w:cs="Times New Roman"/>
        </w:rPr>
      </w:pPr>
      <w:r w:rsidRPr="001C04E0">
        <w:rPr>
          <w:rFonts w:cs="Times New Roman"/>
        </w:rPr>
        <w:t xml:space="preserve">Theoretically, the study confirms that integrative operational frameworks combining service-quality perspectives, lean process thinking and queuing analysis provide complementary </w:t>
      </w:r>
      <w:r w:rsidRPr="001C04E0">
        <w:rPr>
          <w:rFonts w:cs="Times New Roman"/>
        </w:rPr>
        <w:lastRenderedPageBreak/>
        <w:t>diagnostic and prescriptive power. Service-quality constructs help translate operational metrics into guest perceptions and thereby prioritise interventions that will most influence satisfaction and reviews (Grönroos, 2007). Lean and BPM tools translate these priorities into specific, measurable process changes (value-stream mapping, standardised work) that reduce cycle time; queuing models allow managers to estimate the server capacity required to meet target wait-time thresholds. The synthesis therefore strengthens the argument for a pluralist, multi-level methodology to peak-hour problems: understand guest expectations, measure operational flows, and design iterative solutions.</w:t>
      </w:r>
    </w:p>
    <w:p w14:paraId="0827AF57" w14:textId="77777777" w:rsidR="00A76417" w:rsidRPr="001C04E0" w:rsidRDefault="00000000" w:rsidP="001C04E0">
      <w:pPr>
        <w:rPr>
          <w:rFonts w:cs="Times New Roman"/>
        </w:rPr>
      </w:pPr>
      <w:r w:rsidRPr="001C04E0">
        <w:rPr>
          <w:rFonts w:cs="Times New Roman"/>
        </w:rPr>
        <w:t>Practically, the findings emphasise that mid-scale hotels should favour a pragmatic sequencing of interventions. Low-capex process improvements frequently produce rapid and observable benefits that justify additional investment; for example, digital waitlist tools and a short-sequence breakfast mise-en-place can reduce perceived waits without significant capital outlay (Statista, 2024). Technology investments such as POS–KDS integration and app-based pre-ordering demonstrate measurable throughput and accuracy benefits in studies and industry case notes, but these gains are contingent on prior process alignment and staff training (Gretzel, Sigala, Xiang and Koo, 2015). Thus, practical rollout plans must embed training, simple KPIs and small pilots to secure staff buy-in and validate ROI before full deployment (Creswell and Creswell, 2018).</w:t>
      </w:r>
    </w:p>
    <w:p w14:paraId="757E57B9" w14:textId="77777777" w:rsidR="00A76417" w:rsidRPr="001C04E0" w:rsidRDefault="00000000" w:rsidP="001C04E0">
      <w:pPr>
        <w:pStyle w:val="Heading3"/>
        <w:rPr>
          <w:rFonts w:cs="Times New Roman"/>
        </w:rPr>
      </w:pPr>
      <w:bookmarkStart w:id="31" w:name="_Toc211337896"/>
      <w:r w:rsidRPr="001C04E0">
        <w:rPr>
          <w:rFonts w:cs="Times New Roman"/>
        </w:rPr>
        <w:t>IBIS Barking as a Transferable Benchmark:</w:t>
      </w:r>
      <w:bookmarkEnd w:id="31"/>
    </w:p>
    <w:p w14:paraId="0AF83A1D" w14:textId="77777777" w:rsidR="00A76417" w:rsidRPr="001C04E0" w:rsidRDefault="00000000" w:rsidP="001C04E0">
      <w:pPr>
        <w:rPr>
          <w:rFonts w:cs="Times New Roman"/>
        </w:rPr>
      </w:pPr>
      <w:r w:rsidRPr="001C04E0">
        <w:rPr>
          <w:rFonts w:cs="Times New Roman"/>
        </w:rPr>
        <w:t>IBIS London Barking is well placed to function as a pragmatic benchmark for similar Accor mid-scale properties for three reasons. First, its compact scale (86 rooms) makes it feasible to pilot low-risk interventions rapidly and measure impacts on guest satisfaction and outlet throughput. Second, affiliation with Accor offers potential access to group-level platforms (the ALL app) and procurement pathways that can lower implementation costs for KDS and app features. Third, the guest mix (business and transient leisure) reflects typical mid-scale demand profiles, so lessons about demand smoothing, pre-order uptake and staffing elasticity are likely to be transferable to sister properties operating under similar constraints. Industry benchmarking data and WTTC market analyses suggest that mid-scale chains that systematically improve peak-hour throughput secure measurable uplifts in ancillary revenue and review indices, thereby improving conversion on OTA channels (WTTC, 2023; Statista, 2024).</w:t>
      </w:r>
    </w:p>
    <w:p w14:paraId="6FDA1F35" w14:textId="77777777" w:rsidR="00A76417" w:rsidRPr="001C04E0" w:rsidRDefault="00000000" w:rsidP="001C04E0">
      <w:pPr>
        <w:pStyle w:val="Heading3"/>
        <w:rPr>
          <w:rFonts w:cs="Times New Roman"/>
        </w:rPr>
      </w:pPr>
      <w:bookmarkStart w:id="32" w:name="_Toc211337897"/>
      <w:r w:rsidRPr="001C04E0">
        <w:rPr>
          <w:rFonts w:cs="Times New Roman"/>
        </w:rPr>
        <w:lastRenderedPageBreak/>
        <w:t>Research Limitations:</w:t>
      </w:r>
      <w:bookmarkEnd w:id="32"/>
    </w:p>
    <w:p w14:paraId="1DEC28B2" w14:textId="77777777" w:rsidR="00A76417" w:rsidRPr="001C04E0" w:rsidRDefault="00000000" w:rsidP="001C04E0">
      <w:pPr>
        <w:rPr>
          <w:rFonts w:cs="Times New Roman"/>
        </w:rPr>
      </w:pPr>
      <w:r w:rsidRPr="001C04E0">
        <w:rPr>
          <w:rFonts w:cs="Times New Roman"/>
        </w:rPr>
        <w:t>This study is bounded by the constraints of a secondary, single-case-study design. Reliance on secondary sources limits the study’s ability to quantify the precise magnitude of local performance shortfalls (exact queue lengths, detailed minute-by-minute kitchen delays) and to capture the lived experiences of staff and guests at IBIS Barking (Robson and McCartan, 2016). Industry reports often use proprietary metrics and aggregated benchmarks that do not fully reflect micro-site idiosyncrasies, and open-source review data are subject to selection bias (Xiang et al., 2017). Methodologically, secondary synthesis risks over-reliance on published success stories that may have benefited from favourable contextual conditions absent at IBIS Barking. Finally, the single-case approach limits statistical generalisability; transferability must therefore be assessed by managers against local constraints and resources (Creswell and Creswell, 2018).</w:t>
      </w:r>
    </w:p>
    <w:p w14:paraId="07E1F2A2" w14:textId="77777777" w:rsidR="00A76417" w:rsidRPr="001C04E0" w:rsidRDefault="00000000" w:rsidP="001C04E0">
      <w:pPr>
        <w:pStyle w:val="Heading3"/>
        <w:rPr>
          <w:rFonts w:cs="Times New Roman"/>
        </w:rPr>
      </w:pPr>
      <w:bookmarkStart w:id="33" w:name="_Toc211337898"/>
      <w:r w:rsidRPr="001C04E0">
        <w:rPr>
          <w:rFonts w:cs="Times New Roman"/>
        </w:rPr>
        <w:t>Suggestions for Further Research:</w:t>
      </w:r>
      <w:bookmarkEnd w:id="33"/>
    </w:p>
    <w:p w14:paraId="0225ECA6" w14:textId="77777777" w:rsidR="00A76417" w:rsidRPr="001C04E0" w:rsidRDefault="00000000" w:rsidP="001C04E0">
      <w:pPr>
        <w:rPr>
          <w:rFonts w:cs="Times New Roman"/>
        </w:rPr>
      </w:pPr>
      <w:r w:rsidRPr="001C04E0">
        <w:rPr>
          <w:rFonts w:cs="Times New Roman"/>
        </w:rPr>
        <w:t>To build on this study, three lines of follow-up research are recommended:</w:t>
      </w:r>
    </w:p>
    <w:p w14:paraId="03F44DD6" w14:textId="77777777" w:rsidR="00A76417" w:rsidRPr="001C04E0" w:rsidRDefault="00000000" w:rsidP="001C04E0">
      <w:pPr>
        <w:numPr>
          <w:ilvl w:val="0"/>
          <w:numId w:val="12"/>
        </w:numPr>
        <w:rPr>
          <w:rFonts w:cs="Times New Roman"/>
        </w:rPr>
      </w:pPr>
      <w:r w:rsidRPr="001C04E0">
        <w:rPr>
          <w:rFonts w:cs="Times New Roman"/>
          <w:b/>
          <w:bCs/>
        </w:rPr>
        <w:t>Mixed-methods field study at IBIS Barking.</w:t>
      </w:r>
      <w:r w:rsidRPr="001C04E0">
        <w:rPr>
          <w:rFonts w:cs="Times New Roman"/>
        </w:rPr>
        <w:t xml:space="preserve"> A pragmatic next step is a mixed-methods intervention study combining time-motion observation, staffing data analysis and short guest/ staff interviews to quantify baseline cycle times and identify micro-bottlenecks. Pre- and post-pilot measurements of KPIs (average wait time, breakfast-specific OTA score, covers per hour) would provide causal evidence of intervention impact (Creswell and Creswell, 2018; Robson and McCartan, 2016).</w:t>
      </w:r>
    </w:p>
    <w:p w14:paraId="4E5AC0B1" w14:textId="77777777" w:rsidR="00A76417" w:rsidRPr="001C04E0" w:rsidRDefault="00000000" w:rsidP="001C04E0">
      <w:pPr>
        <w:numPr>
          <w:ilvl w:val="0"/>
          <w:numId w:val="12"/>
        </w:numPr>
        <w:rPr>
          <w:rFonts w:cs="Times New Roman"/>
        </w:rPr>
      </w:pPr>
      <w:r w:rsidRPr="001C04E0">
        <w:rPr>
          <w:rFonts w:cs="Times New Roman"/>
          <w:b/>
          <w:bCs/>
        </w:rPr>
        <w:t>Comparative multi-site study within Accor.</w:t>
      </w:r>
      <w:r w:rsidRPr="001C04E0">
        <w:rPr>
          <w:rFonts w:cs="Times New Roman"/>
        </w:rPr>
        <w:t xml:space="preserve"> A cross-property comparative study across several Accor mid-scale hotels would permit statistical analysis of which interventions scale most reliably, controlling for property size, layout and guest composition. This would strengthen claims about transferability and cost-effectiveness.</w:t>
      </w:r>
    </w:p>
    <w:p w14:paraId="0A9F2EBF" w14:textId="77777777" w:rsidR="00A76417" w:rsidRPr="001C04E0" w:rsidRDefault="00000000" w:rsidP="001C04E0">
      <w:pPr>
        <w:numPr>
          <w:ilvl w:val="0"/>
          <w:numId w:val="12"/>
        </w:numPr>
        <w:rPr>
          <w:rFonts w:cs="Times New Roman"/>
        </w:rPr>
      </w:pPr>
      <w:r w:rsidRPr="001C04E0">
        <w:rPr>
          <w:rFonts w:cs="Times New Roman"/>
          <w:b/>
          <w:bCs/>
        </w:rPr>
        <w:t>Longitudinal study of guest adoption of pre-order and app features.</w:t>
      </w:r>
      <w:r w:rsidRPr="001C04E0">
        <w:rPr>
          <w:rFonts w:cs="Times New Roman"/>
        </w:rPr>
        <w:t xml:space="preserve"> Investigate the factors that predict guest uptake of app-based pre-ordering (demographics, purpose of travel, digital literacy) and measure the sustained effect on demand smoothing and ancillary revenue. This would support targeted digital strategies that maximise adoption among high-value segments (Gretzel et al., 2015).</w:t>
      </w:r>
    </w:p>
    <w:p w14:paraId="17D10186" w14:textId="77777777" w:rsidR="00A76417" w:rsidRPr="001C04E0" w:rsidRDefault="00000000" w:rsidP="001C04E0">
      <w:pPr>
        <w:pStyle w:val="Heading3"/>
        <w:rPr>
          <w:rFonts w:cs="Times New Roman"/>
        </w:rPr>
      </w:pPr>
      <w:bookmarkStart w:id="34" w:name="_Toc211337899"/>
      <w:r w:rsidRPr="001C04E0">
        <w:rPr>
          <w:rFonts w:cs="Times New Roman"/>
        </w:rPr>
        <w:t>Final Synthesis:</w:t>
      </w:r>
      <w:bookmarkEnd w:id="34"/>
    </w:p>
    <w:p w14:paraId="483424A1" w14:textId="77777777" w:rsidR="00A76417" w:rsidRPr="001C04E0" w:rsidRDefault="00000000" w:rsidP="001C04E0">
      <w:pPr>
        <w:rPr>
          <w:rFonts w:cs="Times New Roman"/>
        </w:rPr>
      </w:pPr>
      <w:r w:rsidRPr="001C04E0">
        <w:rPr>
          <w:rFonts w:cs="Times New Roman"/>
        </w:rPr>
        <w:t xml:space="preserve">In sum, the study finds that IBIS London Barking faces peak-hour service challenges that are typical of mid-scale hotels but are amenable to improvement through a staged blend of operational redesign, workforce optimisation, and targeted technology deployment. The </w:t>
      </w:r>
      <w:r w:rsidRPr="001C04E0">
        <w:rPr>
          <w:rFonts w:cs="Times New Roman"/>
        </w:rPr>
        <w:lastRenderedPageBreak/>
        <w:t>recommended approach privileges immediate, low-cost operational fixes, followed by informed trials of scheduling software and KDS/pre-order functionality, with rigorous measurement and iterative learning guiding scale-up. With careful sequencing, staff engagement and KPI discipline, IBIS Barking can both improve guest satisfaction and provide a replicable model for similar mid-scale properties seeking to protect brand reputation and ancillary revenue in an increasingly digital and experience-driven market.</w:t>
      </w:r>
    </w:p>
    <w:p w14:paraId="136E221D" w14:textId="77777777" w:rsidR="00A76417" w:rsidRPr="001C04E0" w:rsidRDefault="00000000" w:rsidP="001C04E0">
      <w:pPr>
        <w:pStyle w:val="Heading2"/>
        <w:rPr>
          <w:rFonts w:cs="Times New Roman"/>
        </w:rPr>
      </w:pPr>
      <w:bookmarkStart w:id="35" w:name="_Toc211337900"/>
      <w:r w:rsidRPr="001C04E0">
        <w:rPr>
          <w:rFonts w:cs="Times New Roman"/>
        </w:rPr>
        <w:t>Recommendations:</w:t>
      </w:r>
      <w:bookmarkEnd w:id="35"/>
    </w:p>
    <w:p w14:paraId="031F5C0D" w14:textId="77777777" w:rsidR="00A76417" w:rsidRPr="001C04E0" w:rsidRDefault="00000000" w:rsidP="001C04E0">
      <w:pPr>
        <w:rPr>
          <w:rFonts w:cs="Times New Roman"/>
        </w:rPr>
      </w:pPr>
      <w:r w:rsidRPr="001C04E0">
        <w:rPr>
          <w:rFonts w:cs="Times New Roman"/>
        </w:rPr>
        <w:t>The findings and discussion identify a staged, evidence-based pathway for IBIS London Barking to improve guest service efficiency during peak periods. The recommendations below prioritise low-cost, high-impact operational changes first, followed by targeted technology investments and complementary people-focused measures. Each recommendation is presented with practical steps and implementation notes to support feasibility, measurement and staff acceptance.</w:t>
      </w:r>
    </w:p>
    <w:p w14:paraId="651B03F6" w14:textId="77777777" w:rsidR="00A76417" w:rsidRPr="001C04E0" w:rsidRDefault="00000000" w:rsidP="001C04E0">
      <w:pPr>
        <w:pStyle w:val="Heading3"/>
        <w:rPr>
          <w:rFonts w:cs="Times New Roman"/>
        </w:rPr>
      </w:pPr>
      <w:bookmarkStart w:id="36" w:name="_Toc211337901"/>
      <w:r w:rsidRPr="001C04E0">
        <w:rPr>
          <w:rFonts w:cs="Times New Roman"/>
        </w:rPr>
        <w:t>Operational Recommendations:</w:t>
      </w:r>
      <w:bookmarkEnd w:id="36"/>
    </w:p>
    <w:p w14:paraId="5873D8C6" w14:textId="77777777" w:rsidR="00A76417" w:rsidRPr="001C04E0" w:rsidRDefault="00000000" w:rsidP="001C04E0">
      <w:pPr>
        <w:rPr>
          <w:rFonts w:cs="Times New Roman"/>
          <w:b/>
          <w:bCs/>
        </w:rPr>
      </w:pPr>
      <w:r w:rsidRPr="001C04E0">
        <w:rPr>
          <w:rFonts w:cs="Times New Roman"/>
          <w:b/>
          <w:bCs/>
        </w:rPr>
        <w:t>Implement breakfast service zoning and structured table-rotation</w:t>
      </w:r>
      <w:r w:rsidR="00E7015B" w:rsidRPr="001C04E0">
        <w:rPr>
          <w:rFonts w:cs="Times New Roman"/>
          <w:b/>
          <w:bCs/>
        </w:rPr>
        <w:t>:</w:t>
      </w:r>
    </w:p>
    <w:p w14:paraId="6F4FFDB1" w14:textId="77777777" w:rsidR="00A76417" w:rsidRPr="001C04E0" w:rsidRDefault="00000000" w:rsidP="001C04E0">
      <w:pPr>
        <w:rPr>
          <w:rFonts w:cs="Times New Roman"/>
        </w:rPr>
      </w:pPr>
      <w:r w:rsidRPr="001C04E0">
        <w:rPr>
          <w:rFonts w:cs="Times New Roman"/>
        </w:rPr>
        <w:t>Introduce a zoning system within the breakfast room (for example: Zone A</w:t>
      </w:r>
      <w:r w:rsidR="002F4F3A" w:rsidRPr="001C04E0">
        <w:rPr>
          <w:rFonts w:cs="Times New Roman"/>
        </w:rPr>
        <w:t>-</w:t>
      </w:r>
      <w:r w:rsidRPr="001C04E0">
        <w:rPr>
          <w:rFonts w:cs="Times New Roman"/>
        </w:rPr>
        <w:t xml:space="preserve"> quick turnover, Zone B</w:t>
      </w:r>
      <w:r w:rsidR="002F4F3A" w:rsidRPr="001C04E0">
        <w:rPr>
          <w:rFonts w:cs="Times New Roman"/>
        </w:rPr>
        <w:t>-</w:t>
      </w:r>
      <w:r w:rsidRPr="001C04E0">
        <w:rPr>
          <w:rFonts w:cs="Times New Roman"/>
        </w:rPr>
        <w:t xml:space="preserve"> relaxed diners, Zone C</w:t>
      </w:r>
      <w:r w:rsidR="002F4F3A" w:rsidRPr="001C04E0">
        <w:rPr>
          <w:rFonts w:cs="Times New Roman"/>
        </w:rPr>
        <w:t>-</w:t>
      </w:r>
      <w:r w:rsidRPr="001C04E0">
        <w:rPr>
          <w:rFonts w:cs="Times New Roman"/>
        </w:rPr>
        <w:t xml:space="preserve"> families) and a simple table-rotation policy that assigns servers to zones during peak windows. Zoning reduces conflict between high-turn and low-turn covers and enables the kitchen to anticipate plate volumes for each zone, smoothing preparation demand (Kartenawati, 2022). Start by mapping current table types and average cover times, then pilot the zoning for a two-week period with a visible signage system and a designated morning host to seat guests into appropriate zones.</w:t>
      </w:r>
    </w:p>
    <w:p w14:paraId="6AC4605E" w14:textId="77777777" w:rsidR="00A76417" w:rsidRPr="001C04E0" w:rsidRDefault="00000000" w:rsidP="001C04E0">
      <w:pPr>
        <w:rPr>
          <w:rFonts w:cs="Times New Roman"/>
          <w:b/>
          <w:bCs/>
        </w:rPr>
      </w:pPr>
      <w:r w:rsidRPr="001C04E0">
        <w:rPr>
          <w:rFonts w:cs="Times New Roman"/>
          <w:b/>
          <w:bCs/>
        </w:rPr>
        <w:t>Redesign staff rosters for optimal kitchen / FOH ratio</w:t>
      </w:r>
      <w:r w:rsidR="00E7015B" w:rsidRPr="001C04E0">
        <w:rPr>
          <w:rFonts w:cs="Times New Roman"/>
          <w:b/>
          <w:bCs/>
        </w:rPr>
        <w:t>:</w:t>
      </w:r>
    </w:p>
    <w:p w14:paraId="0AB1D3BD" w14:textId="77777777" w:rsidR="00A76417" w:rsidRPr="001C04E0" w:rsidRDefault="00000000" w:rsidP="001C04E0">
      <w:pPr>
        <w:rPr>
          <w:rFonts w:cs="Times New Roman"/>
        </w:rPr>
      </w:pPr>
      <w:r w:rsidRPr="001C04E0">
        <w:rPr>
          <w:rFonts w:cs="Times New Roman"/>
        </w:rPr>
        <w:t>Adopt predictive rostering informed by historical arrival profiles so staffing levels match peak demand. Automated scheduling and forecasting tools (e.g., HotSchedules/Fourth) improve forecast accuracy and reduce under-rostering, cutting the frequency of short-notice shortages that produce peak failures (Fourth/HotSchedules, 2023). Use three rostering bands for breakfast (pre-peak, peak, post-peak) and test a small increase in peak headcount (e.g., adding 0.5–1 FTE equivalent during 07:15–09:15) for a four-week pilot to validate impact on throughput and guest ratings.</w:t>
      </w:r>
    </w:p>
    <w:p w14:paraId="6314A830" w14:textId="77777777" w:rsidR="00A76417" w:rsidRPr="001C04E0" w:rsidRDefault="00000000" w:rsidP="001C04E0">
      <w:pPr>
        <w:rPr>
          <w:rFonts w:cs="Times New Roman"/>
          <w:b/>
          <w:bCs/>
        </w:rPr>
      </w:pPr>
      <w:r w:rsidRPr="001C04E0">
        <w:rPr>
          <w:rFonts w:cs="Times New Roman"/>
          <w:b/>
          <w:bCs/>
        </w:rPr>
        <w:t>Adopt lean workflow analysis and quick wins</w:t>
      </w:r>
      <w:r w:rsidR="00E7015B" w:rsidRPr="001C04E0">
        <w:rPr>
          <w:rFonts w:cs="Times New Roman"/>
          <w:b/>
          <w:bCs/>
        </w:rPr>
        <w:t>:</w:t>
      </w:r>
    </w:p>
    <w:p w14:paraId="2A8531EC" w14:textId="77777777" w:rsidR="00A76417" w:rsidRPr="001C04E0" w:rsidRDefault="00000000" w:rsidP="001C04E0">
      <w:pPr>
        <w:rPr>
          <w:rFonts w:cs="Times New Roman"/>
        </w:rPr>
      </w:pPr>
      <w:r w:rsidRPr="001C04E0">
        <w:rPr>
          <w:rFonts w:cs="Times New Roman"/>
        </w:rPr>
        <w:t xml:space="preserve">Conduct a rapid value-stream mapping (VSM) exercise focused on breakfast flows (guest arrival → seating → buffet/ordering → plate delivery → table clear). VSM reveals non-value </w:t>
      </w:r>
      <w:r w:rsidRPr="001C04E0">
        <w:rPr>
          <w:rFonts w:cs="Times New Roman"/>
        </w:rPr>
        <w:lastRenderedPageBreak/>
        <w:t>steps and supports standardised mise-en-place and parallelised assembly points (e.g., dedicated coffee station, grab-and-go shelf) that reduce server walking time and order cycle time (Perdomo-Verdecia, 2024). Use simple TDABC or stopwatch studies to quantify improvements and codify the new standard operating procedures (SOPs).</w:t>
      </w:r>
    </w:p>
    <w:p w14:paraId="52D90792" w14:textId="77777777" w:rsidR="00A76417" w:rsidRPr="001C04E0" w:rsidRDefault="00000000" w:rsidP="001C04E0">
      <w:pPr>
        <w:pStyle w:val="Heading3"/>
        <w:rPr>
          <w:rFonts w:cs="Times New Roman"/>
        </w:rPr>
      </w:pPr>
      <w:bookmarkStart w:id="37" w:name="_Toc211337902"/>
      <w:r w:rsidRPr="001C04E0">
        <w:rPr>
          <w:rFonts w:cs="Times New Roman"/>
        </w:rPr>
        <w:t xml:space="preserve">Technological </w:t>
      </w:r>
      <w:r w:rsidR="00E7015B" w:rsidRPr="001C04E0">
        <w:rPr>
          <w:rFonts w:cs="Times New Roman"/>
        </w:rPr>
        <w:t>R</w:t>
      </w:r>
      <w:r w:rsidRPr="001C04E0">
        <w:rPr>
          <w:rFonts w:cs="Times New Roman"/>
        </w:rPr>
        <w:t>ecommendations</w:t>
      </w:r>
      <w:r w:rsidR="00E7015B" w:rsidRPr="001C04E0">
        <w:rPr>
          <w:rFonts w:cs="Times New Roman"/>
        </w:rPr>
        <w:t>:</w:t>
      </w:r>
      <w:bookmarkEnd w:id="37"/>
    </w:p>
    <w:p w14:paraId="6B0447E6" w14:textId="77777777" w:rsidR="00A76417" w:rsidRPr="001C04E0" w:rsidRDefault="00000000" w:rsidP="001C04E0">
      <w:pPr>
        <w:rPr>
          <w:rFonts w:cs="Times New Roman"/>
          <w:b/>
          <w:bCs/>
        </w:rPr>
      </w:pPr>
      <w:r w:rsidRPr="001C04E0">
        <w:rPr>
          <w:rFonts w:cs="Times New Roman"/>
          <w:b/>
          <w:bCs/>
        </w:rPr>
        <w:t>Introduce digital order tracking and POS–KDS integration</w:t>
      </w:r>
      <w:r w:rsidR="00E7015B" w:rsidRPr="001C04E0">
        <w:rPr>
          <w:rFonts w:cs="Times New Roman"/>
          <w:b/>
          <w:bCs/>
        </w:rPr>
        <w:t>:</w:t>
      </w:r>
    </w:p>
    <w:p w14:paraId="1E4736EC" w14:textId="77777777" w:rsidR="00A76417" w:rsidRPr="001C04E0" w:rsidRDefault="00000000" w:rsidP="001C04E0">
      <w:pPr>
        <w:rPr>
          <w:rFonts w:cs="Times New Roman"/>
        </w:rPr>
      </w:pPr>
      <w:r w:rsidRPr="001C04E0">
        <w:rPr>
          <w:rFonts w:cs="Times New Roman"/>
        </w:rPr>
        <w:t>Deploy a modest Kitchen Display System (KDS) integrated with the property's POS to replace paper dockets and provide real-time order visibility, timers and priority flags. Vendor case studies and industry guides report faster order processing and reduced errors after KDS implementation (Oracle Hospitality; Toast), especially useful during tightly clustered breakfast covers (Oracle Hospitality, 2025; Toast, 2023). Begin with a single KDS screen for breakfast service and train shifts on visual cues and escalations before wider rollout.</w:t>
      </w:r>
    </w:p>
    <w:p w14:paraId="2D12B2A9" w14:textId="77777777" w:rsidR="00A76417" w:rsidRPr="001C04E0" w:rsidRDefault="00000000" w:rsidP="001C04E0">
      <w:pPr>
        <w:rPr>
          <w:rFonts w:cs="Times New Roman"/>
          <w:b/>
          <w:bCs/>
        </w:rPr>
      </w:pPr>
      <w:r w:rsidRPr="001C04E0">
        <w:rPr>
          <w:rFonts w:cs="Times New Roman"/>
          <w:b/>
          <w:bCs/>
        </w:rPr>
        <w:t>Utilise Accor’s ALL app (light pre-order features) or QR pre-ordering</w:t>
      </w:r>
      <w:r w:rsidR="00E7015B" w:rsidRPr="001C04E0">
        <w:rPr>
          <w:rFonts w:cs="Times New Roman"/>
          <w:b/>
          <w:bCs/>
        </w:rPr>
        <w:t>:</w:t>
      </w:r>
    </w:p>
    <w:p w14:paraId="415CB657" w14:textId="77777777" w:rsidR="00A76417" w:rsidRPr="001C04E0" w:rsidRDefault="00000000" w:rsidP="001C04E0">
      <w:pPr>
        <w:rPr>
          <w:rFonts w:cs="Times New Roman"/>
        </w:rPr>
      </w:pPr>
      <w:r w:rsidRPr="001C04E0">
        <w:rPr>
          <w:rFonts w:cs="Times New Roman"/>
        </w:rPr>
        <w:t>Leverage the group’s ALL platform or implement a simple QR-code pre-order option for breakfast packages (two or three choices). Evidence shows that even modest pre-order adoption smooths peak demand and reduces front-of-house ordering time (Hotel Technology News; NextMe). Work with Accor/app teams to enable a lightweight option (time-slot booking or selection), monitor uptake, and promote the feature at check-in and via in-room signage.</w:t>
      </w:r>
    </w:p>
    <w:p w14:paraId="1CCC033F" w14:textId="77777777" w:rsidR="00A76417" w:rsidRPr="001C04E0" w:rsidRDefault="00000000" w:rsidP="001C04E0">
      <w:pPr>
        <w:rPr>
          <w:rFonts w:cs="Times New Roman"/>
          <w:b/>
          <w:bCs/>
        </w:rPr>
      </w:pPr>
      <w:r w:rsidRPr="001C04E0">
        <w:rPr>
          <w:rFonts w:cs="Times New Roman"/>
          <w:b/>
          <w:bCs/>
        </w:rPr>
        <w:t>Deploy smart scheduling and predictive analytics</w:t>
      </w:r>
      <w:r w:rsidR="00E7015B" w:rsidRPr="001C04E0">
        <w:rPr>
          <w:rFonts w:cs="Times New Roman"/>
          <w:b/>
          <w:bCs/>
        </w:rPr>
        <w:t>:</w:t>
      </w:r>
    </w:p>
    <w:p w14:paraId="59A540FB" w14:textId="77777777" w:rsidR="00A76417" w:rsidRPr="001C04E0" w:rsidRDefault="00000000" w:rsidP="001C04E0">
      <w:pPr>
        <w:rPr>
          <w:rFonts w:cs="Times New Roman"/>
        </w:rPr>
      </w:pPr>
      <w:r w:rsidRPr="001C04E0">
        <w:rPr>
          <w:rFonts w:cs="Times New Roman"/>
        </w:rPr>
        <w:t>Pair rostering with a forecasting module (HotSchedules/Fourth) to automate labour suggestions based on historical intraday demand patterns. These systems can reduce forecasting error and support data-driven decisions about overtime, shift swaps and short-term agency cover (Fourth/HotSchedules, 2023). Integrate scheduling KPIs (forecast vs actual covers, labour cost per cover) into weekly management reviews.</w:t>
      </w:r>
    </w:p>
    <w:p w14:paraId="33BAC6C2" w14:textId="77777777" w:rsidR="00A76417" w:rsidRPr="001C04E0" w:rsidRDefault="00000000" w:rsidP="001C04E0">
      <w:pPr>
        <w:pStyle w:val="Heading3"/>
        <w:rPr>
          <w:rFonts w:cs="Times New Roman"/>
        </w:rPr>
      </w:pPr>
      <w:bookmarkStart w:id="38" w:name="_Toc211337903"/>
      <w:r w:rsidRPr="001C04E0">
        <w:rPr>
          <w:rFonts w:cs="Times New Roman"/>
        </w:rPr>
        <w:t xml:space="preserve">Training &amp; </w:t>
      </w:r>
      <w:r w:rsidR="00E7015B" w:rsidRPr="001C04E0">
        <w:rPr>
          <w:rFonts w:cs="Times New Roman"/>
        </w:rPr>
        <w:t>C</w:t>
      </w:r>
      <w:r w:rsidRPr="001C04E0">
        <w:rPr>
          <w:rFonts w:cs="Times New Roman"/>
        </w:rPr>
        <w:t>ommunication</w:t>
      </w:r>
      <w:r w:rsidR="00E7015B" w:rsidRPr="001C04E0">
        <w:rPr>
          <w:rFonts w:cs="Times New Roman"/>
        </w:rPr>
        <w:t>:</w:t>
      </w:r>
      <w:bookmarkEnd w:id="38"/>
    </w:p>
    <w:p w14:paraId="1F67D7B2" w14:textId="77777777" w:rsidR="00A76417" w:rsidRPr="001C04E0" w:rsidRDefault="00000000" w:rsidP="001C04E0">
      <w:pPr>
        <w:rPr>
          <w:rFonts w:cs="Times New Roman"/>
          <w:b/>
          <w:bCs/>
        </w:rPr>
      </w:pPr>
      <w:r w:rsidRPr="001C04E0">
        <w:rPr>
          <w:rFonts w:cs="Times New Roman"/>
          <w:b/>
          <w:bCs/>
        </w:rPr>
        <w:t>Cross-departmental communications workshops and pre-shift briefings</w:t>
      </w:r>
      <w:r w:rsidR="00E7015B" w:rsidRPr="001C04E0">
        <w:rPr>
          <w:rFonts w:cs="Times New Roman"/>
          <w:b/>
          <w:bCs/>
        </w:rPr>
        <w:t>:</w:t>
      </w:r>
    </w:p>
    <w:p w14:paraId="6DCA8B9F" w14:textId="77777777" w:rsidR="00A76417" w:rsidRPr="001C04E0" w:rsidRDefault="00000000" w:rsidP="001C04E0">
      <w:pPr>
        <w:rPr>
          <w:rFonts w:cs="Times New Roman"/>
        </w:rPr>
      </w:pPr>
      <w:r w:rsidRPr="001C04E0">
        <w:rPr>
          <w:rFonts w:cs="Times New Roman"/>
        </w:rPr>
        <w:t>Institute concise, focused pre-shift stand-ups (5–8 minutes) before breakfast peaks to confirm staffing, special requests, zone assignments and expected arrivals. Failte Ireland’s pre-shift guidance and hospitality practice resources emphasise the value of these briefings in aligning FOH and kitchen staff and reducing miscommunication (Failte Ireland, 2021). Run short cross-departmental workshops (2–3 sessions) to practise KDS workflows and host seating protocols.</w:t>
      </w:r>
    </w:p>
    <w:p w14:paraId="0E5B494D" w14:textId="77777777" w:rsidR="00A76417" w:rsidRPr="001C04E0" w:rsidRDefault="00000000" w:rsidP="001C04E0">
      <w:pPr>
        <w:rPr>
          <w:rFonts w:cs="Times New Roman"/>
          <w:b/>
          <w:bCs/>
        </w:rPr>
      </w:pPr>
      <w:r w:rsidRPr="001C04E0">
        <w:rPr>
          <w:rFonts w:cs="Times New Roman"/>
          <w:b/>
          <w:bCs/>
        </w:rPr>
        <w:t>Use real-time feedback and reputation monitoring</w:t>
      </w:r>
      <w:r w:rsidR="00E7015B" w:rsidRPr="001C04E0">
        <w:rPr>
          <w:rFonts w:cs="Times New Roman"/>
          <w:b/>
          <w:bCs/>
        </w:rPr>
        <w:t>:</w:t>
      </w:r>
    </w:p>
    <w:p w14:paraId="5F17D03C" w14:textId="77777777" w:rsidR="00A76417" w:rsidRPr="001C04E0" w:rsidRDefault="00000000" w:rsidP="001C04E0">
      <w:pPr>
        <w:rPr>
          <w:rFonts w:cs="Times New Roman"/>
        </w:rPr>
      </w:pPr>
      <w:r w:rsidRPr="001C04E0">
        <w:rPr>
          <w:rFonts w:cs="Times New Roman"/>
        </w:rPr>
        <w:lastRenderedPageBreak/>
        <w:t>Adopt a lightweight guest feedback loop for breakfast (single-question terminal/table QR or post-checkout micro-survey) to measure perceived wait time and quality; link these metrics to reputation platforms (Revinate/TrustYou) so that operations can correlate KPIs with review sentiment. Real-time flags enable rapid corrective action (e.g., deploy an extra server) and provide evidence for successful pilots.</w:t>
      </w:r>
    </w:p>
    <w:p w14:paraId="2F9C6FA8" w14:textId="77777777" w:rsidR="00A76417" w:rsidRPr="001C04E0" w:rsidRDefault="00000000" w:rsidP="001C04E0">
      <w:pPr>
        <w:pStyle w:val="Heading3"/>
        <w:rPr>
          <w:rFonts w:cs="Times New Roman"/>
        </w:rPr>
      </w:pPr>
      <w:bookmarkStart w:id="39" w:name="_Toc211337904"/>
      <w:r w:rsidRPr="001C04E0">
        <w:rPr>
          <w:rFonts w:cs="Times New Roman"/>
        </w:rPr>
        <w:t xml:space="preserve">Implementation </w:t>
      </w:r>
      <w:r w:rsidR="00E7015B" w:rsidRPr="001C04E0">
        <w:rPr>
          <w:rFonts w:cs="Times New Roman"/>
        </w:rPr>
        <w:t>F</w:t>
      </w:r>
      <w:r w:rsidRPr="001C04E0">
        <w:rPr>
          <w:rFonts w:cs="Times New Roman"/>
        </w:rPr>
        <w:t>easibility:</w:t>
      </w:r>
      <w:r w:rsidR="00E7015B" w:rsidRPr="001C04E0">
        <w:rPr>
          <w:rFonts w:cs="Times New Roman"/>
        </w:rPr>
        <w:t xml:space="preserve"> C</w:t>
      </w:r>
      <w:r w:rsidRPr="001C04E0">
        <w:rPr>
          <w:rFonts w:cs="Times New Roman"/>
        </w:rPr>
        <w:t>ost</w:t>
      </w:r>
      <w:r w:rsidR="00E7015B" w:rsidRPr="001C04E0">
        <w:rPr>
          <w:rFonts w:cs="Times New Roman"/>
        </w:rPr>
        <w:t>-B</w:t>
      </w:r>
      <w:r w:rsidRPr="001C04E0">
        <w:rPr>
          <w:rFonts w:cs="Times New Roman"/>
        </w:rPr>
        <w:t xml:space="preserve">enefit, </w:t>
      </w:r>
      <w:r w:rsidR="00E7015B" w:rsidRPr="001C04E0">
        <w:rPr>
          <w:rFonts w:cs="Times New Roman"/>
        </w:rPr>
        <w:t>S</w:t>
      </w:r>
      <w:r w:rsidRPr="001C04E0">
        <w:rPr>
          <w:rFonts w:cs="Times New Roman"/>
        </w:rPr>
        <w:t xml:space="preserve">taff </w:t>
      </w:r>
      <w:r w:rsidR="00E7015B" w:rsidRPr="001C04E0">
        <w:rPr>
          <w:rFonts w:cs="Times New Roman"/>
        </w:rPr>
        <w:t>B</w:t>
      </w:r>
      <w:r w:rsidRPr="001C04E0">
        <w:rPr>
          <w:rFonts w:cs="Times New Roman"/>
        </w:rPr>
        <w:t xml:space="preserve">uy-in and </w:t>
      </w:r>
      <w:r w:rsidR="00E7015B" w:rsidRPr="001C04E0">
        <w:rPr>
          <w:rFonts w:cs="Times New Roman"/>
        </w:rPr>
        <w:t>P</w:t>
      </w:r>
      <w:r w:rsidRPr="001C04E0">
        <w:rPr>
          <w:rFonts w:cs="Times New Roman"/>
        </w:rPr>
        <w:t xml:space="preserve">ilot </w:t>
      </w:r>
      <w:r w:rsidR="00E7015B" w:rsidRPr="001C04E0">
        <w:rPr>
          <w:rFonts w:cs="Times New Roman"/>
        </w:rPr>
        <w:t>T</w:t>
      </w:r>
      <w:r w:rsidRPr="001C04E0">
        <w:rPr>
          <w:rFonts w:cs="Times New Roman"/>
        </w:rPr>
        <w:t>esting</w:t>
      </w:r>
      <w:bookmarkEnd w:id="39"/>
    </w:p>
    <w:p w14:paraId="1F743C0D" w14:textId="77777777" w:rsidR="00A76417" w:rsidRPr="001C04E0" w:rsidRDefault="00000000" w:rsidP="001C04E0">
      <w:pPr>
        <w:rPr>
          <w:rFonts w:cs="Times New Roman"/>
          <w:b/>
          <w:bCs/>
        </w:rPr>
      </w:pPr>
      <w:r w:rsidRPr="001C04E0">
        <w:rPr>
          <w:rFonts w:cs="Times New Roman"/>
          <w:b/>
          <w:bCs/>
        </w:rPr>
        <w:t>Phased pilot approach (recommended)</w:t>
      </w:r>
      <w:r w:rsidR="002722B4" w:rsidRPr="001C04E0">
        <w:rPr>
          <w:rFonts w:cs="Times New Roman"/>
          <w:b/>
          <w:bCs/>
        </w:rPr>
        <w:t>:</w:t>
      </w:r>
    </w:p>
    <w:p w14:paraId="49308528" w14:textId="77777777" w:rsidR="00A76417" w:rsidRPr="001C04E0" w:rsidRDefault="00000000" w:rsidP="001C04E0">
      <w:pPr>
        <w:numPr>
          <w:ilvl w:val="0"/>
          <w:numId w:val="13"/>
        </w:numPr>
        <w:rPr>
          <w:rFonts w:cs="Times New Roman"/>
        </w:rPr>
      </w:pPr>
      <w:r w:rsidRPr="001C04E0">
        <w:rPr>
          <w:rFonts w:cs="Times New Roman"/>
          <w:b/>
          <w:bCs/>
        </w:rPr>
        <w:t xml:space="preserve">Phase 1 </w:t>
      </w:r>
      <w:r w:rsidR="00E7015B" w:rsidRPr="001C04E0">
        <w:rPr>
          <w:rFonts w:cs="Times New Roman"/>
          <w:b/>
          <w:bCs/>
        </w:rPr>
        <w:t>-</w:t>
      </w:r>
      <w:r w:rsidRPr="001C04E0">
        <w:rPr>
          <w:rFonts w:cs="Times New Roman"/>
          <w:b/>
          <w:bCs/>
        </w:rPr>
        <w:t xml:space="preserve"> Quick wins (0–6 weeks):</w:t>
      </w:r>
      <w:r w:rsidRPr="001C04E0">
        <w:rPr>
          <w:rFonts w:cs="Times New Roman"/>
        </w:rPr>
        <w:t xml:space="preserve"> zoning, host role, pre-shift briefings, mise-en-place standardisation, basic QR pre-order experiment (near-zero capex). Measure: average wait time, covers per hour, breakfast satisfaction score.</w:t>
      </w:r>
    </w:p>
    <w:p w14:paraId="65711F7A" w14:textId="77777777" w:rsidR="00A76417" w:rsidRPr="001C04E0" w:rsidRDefault="00000000" w:rsidP="001C04E0">
      <w:pPr>
        <w:numPr>
          <w:ilvl w:val="0"/>
          <w:numId w:val="13"/>
        </w:numPr>
        <w:rPr>
          <w:rFonts w:cs="Times New Roman"/>
        </w:rPr>
      </w:pPr>
      <w:r w:rsidRPr="001C04E0">
        <w:rPr>
          <w:rFonts w:cs="Times New Roman"/>
          <w:b/>
          <w:bCs/>
        </w:rPr>
        <w:t xml:space="preserve">Phase 2 </w:t>
      </w:r>
      <w:r w:rsidR="00E7015B" w:rsidRPr="001C04E0">
        <w:rPr>
          <w:rFonts w:cs="Times New Roman"/>
          <w:b/>
          <w:bCs/>
        </w:rPr>
        <w:t>-</w:t>
      </w:r>
      <w:r w:rsidRPr="001C04E0">
        <w:rPr>
          <w:rFonts w:cs="Times New Roman"/>
          <w:b/>
          <w:bCs/>
        </w:rPr>
        <w:t xml:space="preserve"> Scheduling optimisation (6–12 weeks):</w:t>
      </w:r>
      <w:r w:rsidRPr="001C04E0">
        <w:rPr>
          <w:rFonts w:cs="Times New Roman"/>
        </w:rPr>
        <w:t xml:space="preserve"> implement forecasting in the rostering tool and adjust shift patterns. Measure: forecast accuracy, understaffing incidents, labour cost per cover.</w:t>
      </w:r>
    </w:p>
    <w:p w14:paraId="3FD18441" w14:textId="77777777" w:rsidR="00A76417" w:rsidRPr="001C04E0" w:rsidRDefault="00000000" w:rsidP="001C04E0">
      <w:pPr>
        <w:numPr>
          <w:ilvl w:val="0"/>
          <w:numId w:val="13"/>
        </w:numPr>
        <w:rPr>
          <w:rFonts w:cs="Times New Roman"/>
        </w:rPr>
      </w:pPr>
      <w:r w:rsidRPr="001C04E0">
        <w:rPr>
          <w:rFonts w:cs="Times New Roman"/>
          <w:b/>
          <w:bCs/>
        </w:rPr>
        <w:t xml:space="preserve">Phase 3 </w:t>
      </w:r>
      <w:r w:rsidR="00E7015B" w:rsidRPr="001C04E0">
        <w:rPr>
          <w:rFonts w:cs="Times New Roman"/>
          <w:b/>
          <w:bCs/>
        </w:rPr>
        <w:t>-</w:t>
      </w:r>
      <w:r w:rsidRPr="001C04E0">
        <w:rPr>
          <w:rFonts w:cs="Times New Roman"/>
          <w:b/>
          <w:bCs/>
        </w:rPr>
        <w:t xml:space="preserve"> Technology pilot (12–20 weeks):</w:t>
      </w:r>
      <w:r w:rsidRPr="001C04E0">
        <w:rPr>
          <w:rFonts w:cs="Times New Roman"/>
        </w:rPr>
        <w:t xml:space="preserve"> KDS + POS integration pilot (single outlet) and scale if metrics improve (reduced ticket times, fewer errors). Measure: ticket lead time, order accuracy, and guest feedback.</w:t>
      </w:r>
    </w:p>
    <w:p w14:paraId="63CB91E5" w14:textId="77777777" w:rsidR="00A76417" w:rsidRPr="001C04E0" w:rsidRDefault="00000000" w:rsidP="001C04E0">
      <w:pPr>
        <w:rPr>
          <w:rFonts w:cs="Times New Roman"/>
          <w:b/>
          <w:bCs/>
        </w:rPr>
      </w:pPr>
      <w:r w:rsidRPr="001C04E0">
        <w:rPr>
          <w:rFonts w:cs="Times New Roman"/>
          <w:b/>
          <w:bCs/>
        </w:rPr>
        <w:t>Cost–benefit considerations</w:t>
      </w:r>
      <w:r w:rsidR="002722B4" w:rsidRPr="001C04E0">
        <w:rPr>
          <w:rFonts w:cs="Times New Roman"/>
          <w:b/>
          <w:bCs/>
        </w:rPr>
        <w:t>:</w:t>
      </w:r>
    </w:p>
    <w:p w14:paraId="13A8E7B2" w14:textId="77777777" w:rsidR="00A76417" w:rsidRPr="001C04E0" w:rsidRDefault="00000000" w:rsidP="001C04E0">
      <w:pPr>
        <w:rPr>
          <w:rFonts w:cs="Times New Roman"/>
        </w:rPr>
      </w:pPr>
      <w:r w:rsidRPr="001C04E0">
        <w:rPr>
          <w:rFonts w:cs="Times New Roman"/>
        </w:rPr>
        <w:t>Small capex pilots (KDS screen(s) and licence) commonly produce rapid payback via increased covers, reduced food waste and fewer complaints (industry case studies). Scheduling software may come as a SaaS subscription with predictable OPEX; the principal cost is managerial time to configure and train. Use short pilots with baseline and post-pilot KPIs to demonstrate ROI before committing to full roll-out.</w:t>
      </w:r>
    </w:p>
    <w:p w14:paraId="51CD418C" w14:textId="77777777" w:rsidR="00A76417" w:rsidRPr="001C04E0" w:rsidRDefault="00000000" w:rsidP="001C04E0">
      <w:pPr>
        <w:rPr>
          <w:rFonts w:cs="Times New Roman"/>
          <w:b/>
          <w:bCs/>
        </w:rPr>
      </w:pPr>
      <w:r w:rsidRPr="001C04E0">
        <w:rPr>
          <w:rFonts w:cs="Times New Roman"/>
          <w:b/>
          <w:bCs/>
        </w:rPr>
        <w:t>Staff buy-in and change management</w:t>
      </w:r>
      <w:r w:rsidR="002722B4" w:rsidRPr="001C04E0">
        <w:rPr>
          <w:rFonts w:cs="Times New Roman"/>
          <w:b/>
          <w:bCs/>
        </w:rPr>
        <w:t>:</w:t>
      </w:r>
    </w:p>
    <w:p w14:paraId="4A58864E" w14:textId="77777777" w:rsidR="00A76417" w:rsidRPr="001C04E0" w:rsidRDefault="00000000" w:rsidP="001C04E0">
      <w:pPr>
        <w:rPr>
          <w:rFonts w:cs="Times New Roman"/>
        </w:rPr>
      </w:pPr>
      <w:r w:rsidRPr="001C04E0">
        <w:rPr>
          <w:rFonts w:cs="Times New Roman"/>
        </w:rPr>
        <w:t>Engage staff early: co-design SOPs, run hands-on training (pre-shift demos), and implement a short incentive/recognition programme for early adopters. Use visible, measurable wins from Phase 1 to build momentum for technology adoption (Kotter, 1996). Communicate benefits in terms of reduced stress and improved guest feedback rather than job replacement.</w:t>
      </w:r>
    </w:p>
    <w:p w14:paraId="41252E23" w14:textId="77777777" w:rsidR="00A76417" w:rsidRPr="001C04E0" w:rsidRDefault="00000000" w:rsidP="001C04E0">
      <w:pPr>
        <w:rPr>
          <w:rFonts w:cs="Times New Roman"/>
          <w:b/>
          <w:bCs/>
        </w:rPr>
      </w:pPr>
      <w:r w:rsidRPr="001C04E0">
        <w:rPr>
          <w:rFonts w:cs="Times New Roman"/>
          <w:b/>
          <w:bCs/>
        </w:rPr>
        <w:t>Monitoring and governance</w:t>
      </w:r>
      <w:r w:rsidR="002722B4" w:rsidRPr="001C04E0">
        <w:rPr>
          <w:rFonts w:cs="Times New Roman"/>
          <w:b/>
          <w:bCs/>
        </w:rPr>
        <w:t>:</w:t>
      </w:r>
    </w:p>
    <w:p w14:paraId="4A67B959" w14:textId="77777777" w:rsidR="00A76417" w:rsidRPr="001C04E0" w:rsidRDefault="00000000" w:rsidP="001C04E0">
      <w:pPr>
        <w:rPr>
          <w:rFonts w:cs="Times New Roman"/>
        </w:rPr>
      </w:pPr>
      <w:r w:rsidRPr="001C04E0">
        <w:rPr>
          <w:rFonts w:cs="Times New Roman"/>
        </w:rPr>
        <w:t>Establish a simple dashboard for breakfast service KPIs (average wait time, covers per hour, breakfast satisfaction score, number of complaints) with a weekly review by the duty manager. Use pilot results to inform Accor-level roll-outs across nearby Ibis properties if improvements are consistent.</w:t>
      </w:r>
    </w:p>
    <w:p w14:paraId="083E73DC" w14:textId="77777777" w:rsidR="002722B4" w:rsidRPr="001C04E0" w:rsidRDefault="00000000" w:rsidP="001C04E0">
      <w:pPr>
        <w:rPr>
          <w:rFonts w:cs="Times New Roman"/>
        </w:rPr>
      </w:pPr>
      <w:r w:rsidRPr="001C04E0">
        <w:rPr>
          <w:rFonts w:cs="Times New Roman"/>
        </w:rPr>
        <w:br w:type="page"/>
      </w:r>
    </w:p>
    <w:p w14:paraId="5EEF814F" w14:textId="77777777" w:rsidR="00772430" w:rsidRPr="001C04E0" w:rsidRDefault="00000000" w:rsidP="001C04E0">
      <w:pPr>
        <w:pStyle w:val="Heading1"/>
        <w:rPr>
          <w:rFonts w:cs="Times New Roman"/>
        </w:rPr>
      </w:pPr>
      <w:bookmarkStart w:id="40" w:name="_Toc211337905"/>
      <w:r w:rsidRPr="001C04E0">
        <w:rPr>
          <w:rFonts w:cs="Times New Roman"/>
        </w:rPr>
        <w:lastRenderedPageBreak/>
        <w:t>Reference List:</w:t>
      </w:r>
      <w:bookmarkEnd w:id="40"/>
    </w:p>
    <w:p w14:paraId="25408AFE" w14:textId="77777777" w:rsidR="001C04E0" w:rsidRPr="001C04E0" w:rsidRDefault="00000000" w:rsidP="001C04E0">
      <w:r w:rsidRPr="001C04E0">
        <w:t xml:space="preserve">Accor, 2024. </w:t>
      </w:r>
      <w:r w:rsidRPr="001C04E0">
        <w:rPr>
          <w:i/>
          <w:iCs/>
        </w:rPr>
        <w:t>2024 Integrated Report / Universal Registration Document</w:t>
      </w:r>
      <w:r w:rsidRPr="001C04E0">
        <w:t xml:space="preserve">. Accor S.A. Available at: </w:t>
      </w:r>
      <w:hyperlink r:id="rId9" w:tgtFrame="_new" w:history="1">
        <w:r w:rsidR="001C04E0" w:rsidRPr="001C04E0">
          <w:rPr>
            <w:rStyle w:val="Hyperlink"/>
          </w:rPr>
          <w:t>https://group.accor.com/en/finance/financial-results</w:t>
        </w:r>
      </w:hyperlink>
      <w:r w:rsidRPr="001C04E0">
        <w:t xml:space="preserve"> (Accessed: 13 October 2025).</w:t>
      </w:r>
    </w:p>
    <w:p w14:paraId="3820FD34" w14:textId="77777777" w:rsidR="001C04E0" w:rsidRPr="001C04E0" w:rsidRDefault="00000000" w:rsidP="001C04E0">
      <w:r w:rsidRPr="001C04E0">
        <w:t xml:space="preserve">Accor, 2025. </w:t>
      </w:r>
      <w:r w:rsidRPr="001C04E0">
        <w:rPr>
          <w:i/>
          <w:iCs/>
        </w:rPr>
        <w:t>Ibis London East Barking — hotel page</w:t>
      </w:r>
      <w:r w:rsidRPr="001C04E0">
        <w:t xml:space="preserve">. Accor / ALL. Available at: </w:t>
      </w:r>
      <w:hyperlink r:id="rId10" w:tgtFrame="_new" w:history="1">
        <w:r w:rsidR="001C04E0" w:rsidRPr="001C04E0">
          <w:rPr>
            <w:rStyle w:val="Hyperlink"/>
          </w:rPr>
          <w:t>https://all.accor.com/hotel/2042/index.en.shtml</w:t>
        </w:r>
      </w:hyperlink>
      <w:r w:rsidRPr="001C04E0">
        <w:t xml:space="preserve"> (Accessed: 13 October 2025).</w:t>
      </w:r>
    </w:p>
    <w:p w14:paraId="649E7FF1" w14:textId="77777777" w:rsidR="001C04E0" w:rsidRPr="001C04E0" w:rsidRDefault="00000000" w:rsidP="001C04E0">
      <w:r w:rsidRPr="001C04E0">
        <w:t xml:space="preserve">Accenture, 2022. </w:t>
      </w:r>
      <w:r w:rsidRPr="001C04E0">
        <w:rPr>
          <w:i/>
          <w:iCs/>
        </w:rPr>
        <w:t>Technology Vision 2022 — Travel Technology Vision 2022 (Survey Findings)</w:t>
      </w:r>
      <w:r w:rsidRPr="001C04E0">
        <w:t xml:space="preserve">. Accenture. Available at: </w:t>
      </w:r>
      <w:hyperlink r:id="rId11" w:tgtFrame="_new" w:history="1">
        <w:r w:rsidR="001C04E0" w:rsidRPr="001C04E0">
          <w:rPr>
            <w:rStyle w:val="Hyperlink"/>
          </w:rPr>
          <w:t>https://www.accenture.com/content/dam/accenture/final/industry/travel/document/Travel-Technology-Vision-2022.pdf</w:t>
        </w:r>
      </w:hyperlink>
      <w:r w:rsidRPr="001C04E0">
        <w:t xml:space="preserve"> (Accessed: 13 October 2025).</w:t>
      </w:r>
    </w:p>
    <w:p w14:paraId="2F9F2867" w14:textId="77777777" w:rsidR="001C04E0" w:rsidRPr="001C04E0" w:rsidRDefault="00000000" w:rsidP="001C04E0">
      <w:r w:rsidRPr="001C04E0">
        <w:t xml:space="preserve">Aguilar-Escobar, V.G., Garrido-Vega, P., Majado-Márquez, J. and Camuñez-Ruiz, J.A., 2021. Hotel room cleaning: Time study and analysis of influential variables. </w:t>
      </w:r>
      <w:r w:rsidRPr="001C04E0">
        <w:rPr>
          <w:i/>
          <w:iCs/>
        </w:rPr>
        <w:t>Journal of Industrial Engineering and Management</w:t>
      </w:r>
      <w:r w:rsidRPr="001C04E0">
        <w:t xml:space="preserve">, 14(3), pp.645–660. Available at: </w:t>
      </w:r>
      <w:hyperlink r:id="rId12" w:tgtFrame="_new" w:history="1">
        <w:r w:rsidR="001C04E0" w:rsidRPr="001C04E0">
          <w:rPr>
            <w:rStyle w:val="Hyperlink"/>
          </w:rPr>
          <w:t>https://www.jiem.org/index.php/jiem/article/view/432</w:t>
        </w:r>
      </w:hyperlink>
      <w:r w:rsidRPr="001C04E0">
        <w:t xml:space="preserve"> (Accessed: 13 October 2025).</w:t>
      </w:r>
    </w:p>
    <w:p w14:paraId="07DDC7D2" w14:textId="77777777" w:rsidR="001C04E0" w:rsidRPr="001C04E0" w:rsidRDefault="00000000" w:rsidP="001C04E0">
      <w:r w:rsidRPr="001C04E0">
        <w:t xml:space="preserve">Afifi, M.F., 2023. Chefs' perspectives of failures in foodservice kitchens, part 2. </w:t>
      </w:r>
      <w:r w:rsidRPr="001C04E0">
        <w:rPr>
          <w:i/>
          <w:iCs/>
        </w:rPr>
        <w:t>Journal of Culinary Science &amp; Technology</w:t>
      </w:r>
      <w:r w:rsidRPr="001C04E0">
        <w:t xml:space="preserve">. Available at: </w:t>
      </w:r>
      <w:hyperlink r:id="rId13" w:tgtFrame="_new" w:history="1">
        <w:r w:rsidR="001C04E0" w:rsidRPr="001C04E0">
          <w:rPr>
            <w:rStyle w:val="Hyperlink"/>
          </w:rPr>
          <w:t>https://www.tandfonline.com/doi/full/10.1080/15378020.2022.2044736</w:t>
        </w:r>
      </w:hyperlink>
      <w:r w:rsidRPr="001C04E0">
        <w:t xml:space="preserve"> (Accessed: 13 October 2025).</w:t>
      </w:r>
    </w:p>
    <w:p w14:paraId="624772F1" w14:textId="77777777" w:rsidR="001C04E0" w:rsidRPr="001C04E0" w:rsidRDefault="00000000" w:rsidP="001C04E0">
      <w:r w:rsidRPr="001C04E0">
        <w:t xml:space="preserve">Anderson, E.W., Fornell, C. and Lehmann, D.R., 1994. Customer satisfaction, market share, and profitability: Findings from Sweden. </w:t>
      </w:r>
      <w:r w:rsidRPr="001C04E0">
        <w:rPr>
          <w:i/>
          <w:iCs/>
        </w:rPr>
        <w:t>Journal of Marketing</w:t>
      </w:r>
      <w:r w:rsidRPr="001C04E0">
        <w:t xml:space="preserve">, 58(3), pp.53–66. Available at: </w:t>
      </w:r>
      <w:hyperlink r:id="rId14" w:tgtFrame="_new" w:history="1">
        <w:r w:rsidR="001C04E0" w:rsidRPr="001C04E0">
          <w:rPr>
            <w:rStyle w:val="Hyperlink"/>
          </w:rPr>
          <w:t>https://www.jstor.org/stable/1252310</w:t>
        </w:r>
      </w:hyperlink>
      <w:r w:rsidRPr="001C04E0">
        <w:t xml:space="preserve"> (Accessed: 13 October 2025).</w:t>
      </w:r>
    </w:p>
    <w:p w14:paraId="6A117578" w14:textId="77777777" w:rsidR="001C04E0" w:rsidRPr="001C04E0" w:rsidRDefault="00000000" w:rsidP="001C04E0">
      <w:r w:rsidRPr="001C04E0">
        <w:t xml:space="preserve">Armenakis, A.A. and Bedeian, A.G., 1999. Organisational change: A review of theory and research in the 1990s. </w:t>
      </w:r>
      <w:r w:rsidRPr="001C04E0">
        <w:rPr>
          <w:i/>
          <w:iCs/>
        </w:rPr>
        <w:t>Journal of Management</w:t>
      </w:r>
      <w:r w:rsidRPr="001C04E0">
        <w:t xml:space="preserve">, 25(3), pp.293–315. Available at: </w:t>
      </w:r>
      <w:hyperlink r:id="rId15" w:tgtFrame="_new" w:history="1">
        <w:r w:rsidR="001C04E0" w:rsidRPr="001C04E0">
          <w:rPr>
            <w:rStyle w:val="Hyperlink"/>
          </w:rPr>
          <w:t>https://journals.sagepub.com/doi/10.1177/014920639902500303</w:t>
        </w:r>
      </w:hyperlink>
      <w:r w:rsidRPr="001C04E0">
        <w:t xml:space="preserve"> (Accessed: 13 October 2025).</w:t>
      </w:r>
    </w:p>
    <w:p w14:paraId="3AD46857" w14:textId="77777777" w:rsidR="001C04E0" w:rsidRPr="001C04E0" w:rsidRDefault="00000000" w:rsidP="001C04E0">
      <w:r w:rsidRPr="001C04E0">
        <w:t xml:space="preserve">Booking.com, 2022. </w:t>
      </w:r>
      <w:r w:rsidRPr="001C04E0">
        <w:rPr>
          <w:i/>
          <w:iCs/>
        </w:rPr>
        <w:t>Travel Predictions 2023</w:t>
      </w:r>
      <w:r w:rsidRPr="001C04E0">
        <w:t xml:space="preserve">. Booking.com. Available at: </w:t>
      </w:r>
      <w:hyperlink r:id="rId16" w:tgtFrame="_new" w:history="1">
        <w:r w:rsidR="001C04E0" w:rsidRPr="001C04E0">
          <w:rPr>
            <w:rStyle w:val="Hyperlink"/>
          </w:rPr>
          <w:t>https://www.booking.com/articles/travelpredictions2023.html</w:t>
        </w:r>
      </w:hyperlink>
      <w:r w:rsidRPr="001C04E0">
        <w:t xml:space="preserve"> (Accessed: 13 October 2025).</w:t>
      </w:r>
    </w:p>
    <w:p w14:paraId="01B3B317" w14:textId="77777777" w:rsidR="001C04E0" w:rsidRPr="001C04E0" w:rsidRDefault="00000000" w:rsidP="001C04E0">
      <w:r w:rsidRPr="001C04E0">
        <w:t xml:space="preserve">Braun, V. and Clarke, V., 2006. Using thematic analysis in psychology. </w:t>
      </w:r>
      <w:r w:rsidRPr="001C04E0">
        <w:rPr>
          <w:i/>
          <w:iCs/>
        </w:rPr>
        <w:t>Qualitative Research in Psychology</w:t>
      </w:r>
      <w:r w:rsidRPr="001C04E0">
        <w:t>, 3(2), pp.77–101. Available at: https://people.uwe.ac.uk/Person/v.braun/UsingThematicAnalysisInPsychology.pdf (Accessed: 13 October 2025).</w:t>
      </w:r>
    </w:p>
    <w:p w14:paraId="65EA38E5" w14:textId="77777777" w:rsidR="001C04E0" w:rsidRPr="001C04E0" w:rsidRDefault="00000000" w:rsidP="001C04E0">
      <w:r w:rsidRPr="001C04E0">
        <w:t xml:space="preserve">Brynjolfsson, E. and McAfee, A., 2014. </w:t>
      </w:r>
      <w:r w:rsidRPr="001C04E0">
        <w:rPr>
          <w:i/>
          <w:iCs/>
        </w:rPr>
        <w:t>The Second Machine Age: Work, Progress, and Prosperity in a Time of Brilliant Technologies.</w:t>
      </w:r>
      <w:r w:rsidRPr="001C04E0">
        <w:t xml:space="preserve"> New York: W. W. Norton &amp; Company. Available at: </w:t>
      </w:r>
      <w:hyperlink r:id="rId17" w:tgtFrame="_new" w:history="1">
        <w:r w:rsidR="001C04E0" w:rsidRPr="001C04E0">
          <w:rPr>
            <w:rStyle w:val="Hyperlink"/>
          </w:rPr>
          <w:t>https://wwnorton.com/books/9780393239355</w:t>
        </w:r>
      </w:hyperlink>
      <w:r w:rsidRPr="001C04E0">
        <w:t xml:space="preserve"> (Accessed: 13 October 2025).</w:t>
      </w:r>
    </w:p>
    <w:p w14:paraId="6595843B" w14:textId="77777777" w:rsidR="001C04E0" w:rsidRPr="001C04E0" w:rsidRDefault="00000000" w:rsidP="001C04E0">
      <w:r w:rsidRPr="001C04E0">
        <w:lastRenderedPageBreak/>
        <w:t xml:space="preserve">Buhalis, D. and Leung, R., 2018. Smart hospitality—Interconnectivity and interoperability towards an ecosystem. </w:t>
      </w:r>
      <w:r w:rsidRPr="001C04E0">
        <w:rPr>
          <w:i/>
          <w:iCs/>
        </w:rPr>
        <w:t>International Journal of Hospitality Management</w:t>
      </w:r>
      <w:r w:rsidRPr="001C04E0">
        <w:t xml:space="preserve">, 71, pp.41–50. Available at: </w:t>
      </w:r>
      <w:hyperlink r:id="rId18" w:tgtFrame="_new" w:history="1">
        <w:r w:rsidR="001C04E0" w:rsidRPr="001C04E0">
          <w:rPr>
            <w:rStyle w:val="Hyperlink"/>
          </w:rPr>
          <w:t>https://doi.org/10.1016/j.ijhm.2017.11.011</w:t>
        </w:r>
      </w:hyperlink>
      <w:r w:rsidRPr="001C04E0">
        <w:t xml:space="preserve"> (Accessed: 13 October 2025).</w:t>
      </w:r>
    </w:p>
    <w:p w14:paraId="33FEB083" w14:textId="77777777" w:rsidR="001C04E0" w:rsidRPr="001C04E0" w:rsidRDefault="00000000" w:rsidP="001C04E0">
      <w:r w:rsidRPr="001C04E0">
        <w:t xml:space="preserve">Chalupa, S. and Petricek, M., 2020. The application of Business Process Management in the hospitality industry: A case study. </w:t>
      </w:r>
      <w:r w:rsidRPr="001C04E0">
        <w:rPr>
          <w:i/>
          <w:iCs/>
        </w:rPr>
        <w:t>IBIMA Business Review</w:t>
      </w:r>
      <w:r w:rsidRPr="001C04E0">
        <w:t xml:space="preserve">, 2020. Available at: </w:t>
      </w:r>
      <w:hyperlink r:id="rId19" w:tgtFrame="_new" w:history="1">
        <w:r w:rsidR="001C04E0" w:rsidRPr="001C04E0">
          <w:rPr>
            <w:rStyle w:val="Hyperlink"/>
          </w:rPr>
          <w:t>https://ibimapublishing.com/articles/IBIMABR/2020/301930/301930.pdf</w:t>
        </w:r>
      </w:hyperlink>
      <w:r w:rsidRPr="001C04E0">
        <w:t xml:space="preserve"> (Accessed: 13 October 2025).</w:t>
      </w:r>
    </w:p>
    <w:p w14:paraId="4CC66CB4" w14:textId="77777777" w:rsidR="001C04E0" w:rsidRPr="001C04E0" w:rsidRDefault="00000000" w:rsidP="001C04E0">
      <w:r w:rsidRPr="001C04E0">
        <w:t xml:space="preserve">Cubet Tech, 2024. </w:t>
      </w:r>
      <w:r w:rsidRPr="001C04E0">
        <w:rPr>
          <w:i/>
          <w:iCs/>
        </w:rPr>
        <w:t>Comprehensive POS &amp; KDS Solution for Maldives — Case Study</w:t>
      </w:r>
      <w:r w:rsidRPr="001C04E0">
        <w:t xml:space="preserve">. Available at: </w:t>
      </w:r>
      <w:hyperlink r:id="rId20" w:tgtFrame="_new" w:history="1">
        <w:r w:rsidR="001C04E0" w:rsidRPr="001C04E0">
          <w:rPr>
            <w:rStyle w:val="Hyperlink"/>
          </w:rPr>
          <w:t>https://cubettech.com/resources/case-studies/smart-pos-and-kds-system-streamlining-hospitality-operations/</w:t>
        </w:r>
      </w:hyperlink>
      <w:r w:rsidRPr="001C04E0">
        <w:t xml:space="preserve"> (Accessed: 13 October 2025).</w:t>
      </w:r>
    </w:p>
    <w:p w14:paraId="73450A6E" w14:textId="77777777" w:rsidR="001C04E0" w:rsidRPr="001C04E0" w:rsidRDefault="00000000" w:rsidP="001C04E0">
      <w:r w:rsidRPr="001C04E0">
        <w:t xml:space="preserve">Creswell, J.W. and Creswell, J.D., 2018. </w:t>
      </w:r>
      <w:r w:rsidRPr="001C04E0">
        <w:rPr>
          <w:i/>
          <w:iCs/>
        </w:rPr>
        <w:t>Research Design: Qualitative, Quantitative, and Mixed Methods Approaches.</w:t>
      </w:r>
      <w:r w:rsidRPr="001C04E0">
        <w:t xml:space="preserve"> 5th ed. Thousand Oaks, CA: SAGE. Available at: </w:t>
      </w:r>
      <w:hyperlink r:id="rId21" w:tgtFrame="_new" w:history="1">
        <w:r w:rsidR="001C04E0" w:rsidRPr="001C04E0">
          <w:rPr>
            <w:rStyle w:val="Hyperlink"/>
          </w:rPr>
          <w:t>https://us.sagepub.com/en-us/nam/research-design/book258450</w:t>
        </w:r>
      </w:hyperlink>
      <w:r w:rsidRPr="001C04E0">
        <w:t xml:space="preserve"> (Accessed: 13 October 2025).</w:t>
      </w:r>
    </w:p>
    <w:p w14:paraId="3AAE2462" w14:textId="77777777" w:rsidR="001C04E0" w:rsidRPr="001C04E0" w:rsidRDefault="00000000" w:rsidP="001C04E0">
      <w:r w:rsidRPr="001C04E0">
        <w:t xml:space="preserve">DataIntelo, 2025. </w:t>
      </w:r>
      <w:r w:rsidRPr="001C04E0">
        <w:rPr>
          <w:i/>
          <w:iCs/>
        </w:rPr>
        <w:t>Kitchen Display System Market Research Report 2033</w:t>
      </w:r>
      <w:r w:rsidRPr="001C04E0">
        <w:t xml:space="preserve">. DataIntelo. Available at: </w:t>
      </w:r>
      <w:hyperlink r:id="rId22" w:tgtFrame="_new" w:history="1">
        <w:r w:rsidR="001C04E0" w:rsidRPr="001C04E0">
          <w:rPr>
            <w:rStyle w:val="Hyperlink"/>
          </w:rPr>
          <w:t>https://dataintelo.com/report/kitchen-display-system-market</w:t>
        </w:r>
      </w:hyperlink>
      <w:r w:rsidRPr="001C04E0">
        <w:t xml:space="preserve"> (Accessed: 13 October 2025).</w:t>
      </w:r>
    </w:p>
    <w:p w14:paraId="45B69858" w14:textId="77777777" w:rsidR="001C04E0" w:rsidRPr="001C04E0" w:rsidRDefault="00000000" w:rsidP="001C04E0">
      <w:r w:rsidRPr="001C04E0">
        <w:t xml:space="preserve">Delious / Digisystem, 2018. </w:t>
      </w:r>
      <w:r w:rsidRPr="001C04E0">
        <w:rPr>
          <w:i/>
          <w:iCs/>
        </w:rPr>
        <w:t>Delicious PICO – Kitchen Display System (case study)</w:t>
      </w:r>
      <w:r w:rsidRPr="001C04E0">
        <w:t xml:space="preserve">. Digisystem. Available at: </w:t>
      </w:r>
      <w:hyperlink r:id="rId23" w:tgtFrame="_new" w:history="1">
        <w:r w:rsidR="001C04E0" w:rsidRPr="001C04E0">
          <w:rPr>
            <w:rStyle w:val="Hyperlink"/>
          </w:rPr>
          <w:t>https://www.digisystem.com/case-studies/20180718013814/</w:t>
        </w:r>
      </w:hyperlink>
      <w:r w:rsidRPr="001C04E0">
        <w:t xml:space="preserve"> (Accessed: 13 October 2025).</w:t>
      </w:r>
    </w:p>
    <w:p w14:paraId="08FF5285" w14:textId="77777777" w:rsidR="001C04E0" w:rsidRPr="001C04E0" w:rsidRDefault="00000000" w:rsidP="001C04E0">
      <w:r w:rsidRPr="001C04E0">
        <w:t xml:space="preserve">Deloitte, 2023. </w:t>
      </w:r>
      <w:r w:rsidRPr="001C04E0">
        <w:rPr>
          <w:i/>
          <w:iCs/>
        </w:rPr>
        <w:t>Hospitality 2030: The future of hospitality and digital transformation</w:t>
      </w:r>
      <w:r w:rsidRPr="001C04E0">
        <w:t xml:space="preserve">. Deloitte Insights. Available at: </w:t>
      </w:r>
      <w:hyperlink r:id="rId24" w:tgtFrame="_new" w:history="1">
        <w:r w:rsidR="001C04E0" w:rsidRPr="001C04E0">
          <w:rPr>
            <w:rStyle w:val="Hyperlink"/>
          </w:rPr>
          <w:t>https://www2.deloitte.com/global/en/insights/industry/retail-distribution/future-of-hospitality.html</w:t>
        </w:r>
      </w:hyperlink>
      <w:r w:rsidRPr="001C04E0">
        <w:t xml:space="preserve"> (Accessed: 13 October 2025).</w:t>
      </w:r>
    </w:p>
    <w:p w14:paraId="460D7708" w14:textId="77777777" w:rsidR="001C04E0" w:rsidRPr="001C04E0" w:rsidRDefault="00000000" w:rsidP="001C04E0">
      <w:r w:rsidRPr="001C04E0">
        <w:t xml:space="preserve">Dirsehan, T., 2021. Role of mobile food-ordering applications in developing restaurant brand satisfaction. </w:t>
      </w:r>
      <w:r w:rsidRPr="001C04E0">
        <w:rPr>
          <w:i/>
          <w:iCs/>
        </w:rPr>
        <w:t>Journal of Retailing and Consumer Services</w:t>
      </w:r>
      <w:r w:rsidRPr="001C04E0">
        <w:t xml:space="preserve">. Available at: </w:t>
      </w:r>
      <w:hyperlink r:id="rId25" w:tgtFrame="_new" w:history="1">
        <w:r w:rsidR="001C04E0" w:rsidRPr="001C04E0">
          <w:rPr>
            <w:rStyle w:val="Hyperlink"/>
          </w:rPr>
          <w:t>https://www.sciencedirect.com/science/article/pii/S0969698920304627</w:t>
        </w:r>
      </w:hyperlink>
      <w:r w:rsidRPr="001C04E0">
        <w:t xml:space="preserve"> (Accessed: 13 October 2025).</w:t>
      </w:r>
    </w:p>
    <w:p w14:paraId="0D9C4906" w14:textId="77777777" w:rsidR="001C04E0" w:rsidRPr="001C04E0" w:rsidRDefault="00000000" w:rsidP="001C04E0">
      <w:r w:rsidRPr="001C04E0">
        <w:t xml:space="preserve">Easterby-Smith, M., Thorpe, R. and Jackson, P.R., 2018. </w:t>
      </w:r>
      <w:r w:rsidRPr="001C04E0">
        <w:rPr>
          <w:i/>
          <w:iCs/>
        </w:rPr>
        <w:t>Management and Business Research.</w:t>
      </w:r>
      <w:r w:rsidRPr="001C04E0">
        <w:t xml:space="preserve"> 6th ed. London: SAGE. Available at: </w:t>
      </w:r>
      <w:hyperlink r:id="rId26" w:tgtFrame="_new" w:history="1">
        <w:r w:rsidR="001C04E0" w:rsidRPr="001C04E0">
          <w:rPr>
            <w:rStyle w:val="Hyperlink"/>
          </w:rPr>
          <w:t>https://uk.sagepub.com/en-gb/eur/management-and-business-research/book250150</w:t>
        </w:r>
      </w:hyperlink>
      <w:r w:rsidRPr="001C04E0">
        <w:t xml:space="preserve"> (Accessed: 13 October 2025).</w:t>
      </w:r>
    </w:p>
    <w:p w14:paraId="3FAA19DC" w14:textId="77777777" w:rsidR="001C04E0" w:rsidRPr="001C04E0" w:rsidRDefault="00000000" w:rsidP="001C04E0">
      <w:r w:rsidRPr="001C04E0">
        <w:t xml:space="preserve">Failte Ireland, 2021. </w:t>
      </w:r>
      <w:r w:rsidRPr="001C04E0">
        <w:rPr>
          <w:i/>
          <w:iCs/>
        </w:rPr>
        <w:t>SOPs, Training &amp; Staff Communications — Pre-shift briefing template and guidance</w:t>
      </w:r>
      <w:r w:rsidRPr="001C04E0">
        <w:t xml:space="preserve">. Available at: </w:t>
      </w:r>
      <w:hyperlink r:id="rId27" w:tgtFrame="_new" w:history="1">
        <w:r w:rsidR="001C04E0" w:rsidRPr="001C04E0">
          <w:rPr>
            <w:rStyle w:val="Hyperlink"/>
          </w:rPr>
          <w:t>https://supports.failteireland.ie/wp-content/uploads/2021/02/SOPs-Training-Staff-Communication.pdf</w:t>
        </w:r>
      </w:hyperlink>
      <w:r w:rsidRPr="001C04E0">
        <w:t xml:space="preserve"> (Accessed: 13 October 2025).</w:t>
      </w:r>
    </w:p>
    <w:p w14:paraId="7BAEECFA" w14:textId="77777777" w:rsidR="001C04E0" w:rsidRPr="001C04E0" w:rsidRDefault="00000000" w:rsidP="001C04E0">
      <w:r w:rsidRPr="001C04E0">
        <w:lastRenderedPageBreak/>
        <w:t xml:space="preserve">Fourth, 2023. </w:t>
      </w:r>
      <w:r w:rsidRPr="001C04E0">
        <w:rPr>
          <w:i/>
          <w:iCs/>
        </w:rPr>
        <w:t>FreeRange Concepts Creates Schedule Success with Fourth</w:t>
      </w:r>
      <w:r w:rsidRPr="001C04E0">
        <w:t xml:space="preserve"> (HotSchedules case). Fourth. Available at: </w:t>
      </w:r>
      <w:hyperlink r:id="rId28" w:tgtFrame="_new" w:history="1">
        <w:r w:rsidR="001C04E0" w:rsidRPr="001C04E0">
          <w:rPr>
            <w:rStyle w:val="Hyperlink"/>
          </w:rPr>
          <w:t>https://www.fourth.com/case-study/freerange-concepts-creates-success</w:t>
        </w:r>
      </w:hyperlink>
      <w:r w:rsidRPr="001C04E0">
        <w:t xml:space="preserve"> (Accessed: 13 October 2025).</w:t>
      </w:r>
    </w:p>
    <w:p w14:paraId="00C62DC8" w14:textId="77777777" w:rsidR="001C04E0" w:rsidRPr="001C04E0" w:rsidRDefault="00000000" w:rsidP="001C04E0">
      <w:r w:rsidRPr="001C04E0">
        <w:t xml:space="preserve">Fourth, 2023. </w:t>
      </w:r>
      <w:r w:rsidRPr="001C04E0">
        <w:rPr>
          <w:i/>
          <w:iCs/>
        </w:rPr>
        <w:t>The Hospitality Workforce Report: H2 2023</w:t>
      </w:r>
      <w:r w:rsidRPr="001C04E0">
        <w:t xml:space="preserve">. Fourth. Available at: </w:t>
      </w:r>
      <w:hyperlink r:id="rId29" w:tgtFrame="_new" w:history="1">
        <w:r w:rsidR="001C04E0" w:rsidRPr="001C04E0">
          <w:rPr>
            <w:rStyle w:val="Hyperlink"/>
          </w:rPr>
          <w:t>https://uk.fourth.com/white-paper/the-hospitality-workforce-update</w:t>
        </w:r>
      </w:hyperlink>
      <w:r w:rsidRPr="001C04E0">
        <w:t xml:space="preserve"> (Accessed: 13 October 2025).</w:t>
      </w:r>
    </w:p>
    <w:p w14:paraId="4DD707FB" w14:textId="77777777" w:rsidR="001C04E0" w:rsidRPr="001C04E0" w:rsidRDefault="00000000" w:rsidP="001C04E0">
      <w:r w:rsidRPr="001C04E0">
        <w:t xml:space="preserve">Gretzel, U., Sigala, M., Xiang, Z. and Koo, C., 2015. Smart tourism: foundations and developments. </w:t>
      </w:r>
      <w:r w:rsidRPr="001C04E0">
        <w:rPr>
          <w:i/>
          <w:iCs/>
        </w:rPr>
        <w:t>Electronic Markets</w:t>
      </w:r>
      <w:r w:rsidRPr="001C04E0">
        <w:t xml:space="preserve">, 25(3), pp.179–188. Available at: </w:t>
      </w:r>
      <w:hyperlink r:id="rId30" w:tgtFrame="_new" w:history="1">
        <w:r w:rsidR="001C04E0" w:rsidRPr="001C04E0">
          <w:rPr>
            <w:rStyle w:val="Hyperlink"/>
          </w:rPr>
          <w:t>https://link.springer.com/article/10.1007/s12525-015-0196-8</w:t>
        </w:r>
      </w:hyperlink>
      <w:r w:rsidRPr="001C04E0">
        <w:t xml:space="preserve"> (Accessed: 13 October 2025).</w:t>
      </w:r>
    </w:p>
    <w:p w14:paraId="4D59F61C" w14:textId="77777777" w:rsidR="001C04E0" w:rsidRPr="001C04E0" w:rsidRDefault="00000000" w:rsidP="001C04E0">
      <w:r w:rsidRPr="001C04E0">
        <w:t xml:space="preserve">Grönroos, C., 2007. </w:t>
      </w:r>
      <w:r w:rsidRPr="001C04E0">
        <w:rPr>
          <w:i/>
          <w:iCs/>
        </w:rPr>
        <w:t>Service Management and Marketing: Customer Management in Service Competition.</w:t>
      </w:r>
      <w:r w:rsidRPr="001C04E0">
        <w:t xml:space="preserve"> 3rd ed. Chichester: Wiley. Available at: </w:t>
      </w:r>
      <w:hyperlink r:id="rId31" w:tgtFrame="_new" w:history="1">
        <w:r w:rsidR="001C04E0" w:rsidRPr="001C04E0">
          <w:rPr>
            <w:rStyle w:val="Hyperlink"/>
          </w:rPr>
          <w:t>https://www.wiley.com/en-gb/Service+Management+and+Marketing%3A+Customer+Management+in+Service+Competition%2C+3rd+Edition-p-9780470025128</w:t>
        </w:r>
      </w:hyperlink>
      <w:r w:rsidRPr="001C04E0">
        <w:t xml:space="preserve"> (Accessed: 13 October 2025).</w:t>
      </w:r>
    </w:p>
    <w:p w14:paraId="0F4371E2" w14:textId="77777777" w:rsidR="001C04E0" w:rsidRPr="001C04E0" w:rsidRDefault="00000000" w:rsidP="001C04E0">
      <w:r w:rsidRPr="001C04E0">
        <w:t xml:space="preserve">Harri &amp; CGA, 2023. </w:t>
      </w:r>
      <w:r w:rsidRPr="001C04E0">
        <w:rPr>
          <w:i/>
          <w:iCs/>
        </w:rPr>
        <w:t>Insights to Navigating Hospitality's Top Talent Challenge</w:t>
      </w:r>
      <w:r w:rsidRPr="001C04E0">
        <w:t xml:space="preserve">. Harri/CGA. Available at: </w:t>
      </w:r>
      <w:hyperlink r:id="rId32" w:tgtFrame="_new" w:history="1">
        <w:r w:rsidR="001C04E0" w:rsidRPr="001C04E0">
          <w:rPr>
            <w:rStyle w:val="Hyperlink"/>
          </w:rPr>
          <w:t>https://go.harri.com/hubfs/CGA%20x%20Harri%20report%202023.pdf</w:t>
        </w:r>
      </w:hyperlink>
      <w:r w:rsidRPr="001C04E0">
        <w:t xml:space="preserve"> (Accessed: 13 October 2025).</w:t>
      </w:r>
    </w:p>
    <w:p w14:paraId="2974992F" w14:textId="77777777" w:rsidR="001C04E0" w:rsidRPr="001C04E0" w:rsidRDefault="00000000" w:rsidP="001C04E0">
      <w:r w:rsidRPr="001C04E0">
        <w:t xml:space="preserve">Hilton / Winnow, 2024. </w:t>
      </w:r>
      <w:r w:rsidRPr="001C04E0">
        <w:rPr>
          <w:i/>
          <w:iCs/>
        </w:rPr>
        <w:t>Hilton Green Breakfast — case study (food waste &amp; kitchen optimisation)</w:t>
      </w:r>
      <w:r w:rsidRPr="001C04E0">
        <w:t xml:space="preserve">. Winnow Solutions. Available at: </w:t>
      </w:r>
      <w:hyperlink r:id="rId33" w:tgtFrame="_new" w:history="1">
        <w:r w:rsidR="001C04E0" w:rsidRPr="001C04E0">
          <w:rPr>
            <w:rStyle w:val="Hyperlink"/>
          </w:rPr>
          <w:t>https://www.winnowsolutions.com/hubfs/2024/Case%20Studies/Hilton%20Green%20Breakfast%20Case%20Study%20.pdf?hsLang=en</w:t>
        </w:r>
      </w:hyperlink>
      <w:r w:rsidRPr="001C04E0">
        <w:t xml:space="preserve"> (Accessed: 13 October 2025).</w:t>
      </w:r>
    </w:p>
    <w:p w14:paraId="79256EBF" w14:textId="77777777" w:rsidR="001C04E0" w:rsidRPr="001C04E0" w:rsidRDefault="00000000" w:rsidP="001C04E0">
      <w:r w:rsidRPr="001C04E0">
        <w:t xml:space="preserve">HotSchedules (Wakefield / HotelTechReport), 2022. </w:t>
      </w:r>
      <w:r w:rsidRPr="001C04E0">
        <w:rPr>
          <w:i/>
          <w:iCs/>
        </w:rPr>
        <w:t>HotSchedules employee scheduling and forecasting</w:t>
      </w:r>
      <w:r w:rsidRPr="001C04E0">
        <w:t xml:space="preserve">. Hotel Tech Report. Available at: </w:t>
      </w:r>
      <w:hyperlink r:id="rId34" w:tgtFrame="_new" w:history="1">
        <w:r w:rsidR="001C04E0" w:rsidRPr="001C04E0">
          <w:rPr>
            <w:rStyle w:val="Hyperlink"/>
          </w:rPr>
          <w:t>https://hoteltechreport.com/news/hotschedules</w:t>
        </w:r>
      </w:hyperlink>
      <w:r w:rsidRPr="001C04E0">
        <w:t xml:space="preserve"> (Accessed: 13 October 2025).</w:t>
      </w:r>
    </w:p>
    <w:p w14:paraId="2C168AF3" w14:textId="77777777" w:rsidR="001C04E0" w:rsidRPr="001C04E0" w:rsidRDefault="00000000" w:rsidP="001C04E0">
      <w:r w:rsidRPr="001C04E0">
        <w:t xml:space="preserve">House of Commons Library, 2023. </w:t>
      </w:r>
      <w:r w:rsidRPr="001C04E0">
        <w:rPr>
          <w:i/>
          <w:iCs/>
        </w:rPr>
        <w:t>Skills and labour shortages: Research briefing</w:t>
      </w:r>
      <w:r w:rsidRPr="001C04E0">
        <w:t xml:space="preserve">. House of Commons Library. Available at: </w:t>
      </w:r>
      <w:hyperlink r:id="rId35" w:tgtFrame="_new" w:history="1">
        <w:r w:rsidR="001C04E0" w:rsidRPr="001C04E0">
          <w:rPr>
            <w:rStyle w:val="Hyperlink"/>
          </w:rPr>
          <w:t>https://commonslibrary.parliament.uk/research-briefings/cbp-9417/</w:t>
        </w:r>
      </w:hyperlink>
      <w:r w:rsidRPr="001C04E0">
        <w:t xml:space="preserve"> (Accessed: 13 October 2025).</w:t>
      </w:r>
    </w:p>
    <w:p w14:paraId="77DD65F7" w14:textId="77777777" w:rsidR="001C04E0" w:rsidRPr="001C04E0" w:rsidRDefault="00000000" w:rsidP="001C04E0">
      <w:r w:rsidRPr="001C04E0">
        <w:t xml:space="preserve">Hotel Technology News, 2025. </w:t>
      </w:r>
      <w:r w:rsidRPr="001C04E0">
        <w:rPr>
          <w:i/>
          <w:iCs/>
        </w:rPr>
        <w:t>How Mobile Ordering Transforms Multi-Generational Family Holidays and Hotel Operations</w:t>
      </w:r>
      <w:r w:rsidRPr="001C04E0">
        <w:t xml:space="preserve">. Hotel Technology News. Available at: </w:t>
      </w:r>
      <w:hyperlink r:id="rId36" w:tgtFrame="_new" w:history="1">
        <w:r w:rsidR="001C04E0" w:rsidRPr="001C04E0">
          <w:rPr>
            <w:rStyle w:val="Hyperlink"/>
          </w:rPr>
          <w:t>https://hoteltechnologynews.com/2025/08/how-mobile-ordering-transforms-multi-generational-family-holidays-and-hotel-operations/</w:t>
        </w:r>
      </w:hyperlink>
      <w:r w:rsidRPr="001C04E0">
        <w:t xml:space="preserve"> (Accessed: 13 October 2025).</w:t>
      </w:r>
    </w:p>
    <w:p w14:paraId="039D9ED5" w14:textId="77777777" w:rsidR="001C04E0" w:rsidRPr="001C04E0" w:rsidRDefault="00000000" w:rsidP="001C04E0">
      <w:r w:rsidRPr="001C04E0">
        <w:t xml:space="preserve">IJSTR, 2019. </w:t>
      </w:r>
      <w:r w:rsidRPr="001C04E0">
        <w:rPr>
          <w:i/>
          <w:iCs/>
        </w:rPr>
        <w:t>Application of Queuing Theory on a Food Chain</w:t>
      </w:r>
      <w:r w:rsidRPr="001C04E0">
        <w:t xml:space="preserve">. </w:t>
      </w:r>
      <w:r w:rsidRPr="001C04E0">
        <w:rPr>
          <w:i/>
          <w:iCs/>
        </w:rPr>
        <w:t>International Journal of Science and Technology Research</w:t>
      </w:r>
      <w:r w:rsidRPr="001C04E0">
        <w:t xml:space="preserve">, August 2019. Available at: </w:t>
      </w:r>
      <w:hyperlink r:id="rId37" w:tgtFrame="_new" w:history="1">
        <w:r w:rsidR="001C04E0" w:rsidRPr="001C04E0">
          <w:rPr>
            <w:rStyle w:val="Hyperlink"/>
          </w:rPr>
          <w:t>https://www.ijstr.org/final-print/aug2019/Application-Of-Queuing-Theory-On-A-Food-Chain.pdf</w:t>
        </w:r>
      </w:hyperlink>
      <w:r w:rsidRPr="001C04E0">
        <w:t xml:space="preserve"> (Accessed: 13 October 2025).</w:t>
      </w:r>
    </w:p>
    <w:p w14:paraId="50E30CA5" w14:textId="77777777" w:rsidR="001C04E0" w:rsidRPr="001C04E0" w:rsidRDefault="00000000" w:rsidP="001C04E0">
      <w:r w:rsidRPr="001C04E0">
        <w:lastRenderedPageBreak/>
        <w:t xml:space="preserve">IRIS Solutions, 2025. </w:t>
      </w:r>
      <w:r w:rsidRPr="001C04E0">
        <w:rPr>
          <w:i/>
          <w:iCs/>
        </w:rPr>
        <w:t>Marriott Mobile Dining case study</w:t>
      </w:r>
      <w:r w:rsidRPr="001C04E0">
        <w:t xml:space="preserve">. IRIS. Available at: </w:t>
      </w:r>
      <w:hyperlink r:id="rId38" w:tgtFrame="_new" w:history="1">
        <w:r w:rsidR="001C04E0" w:rsidRPr="001C04E0">
          <w:rPr>
            <w:rStyle w:val="Hyperlink"/>
          </w:rPr>
          <w:t>https://www.iris.net/marriott-mobile-dining</w:t>
        </w:r>
      </w:hyperlink>
      <w:r w:rsidRPr="001C04E0">
        <w:t xml:space="preserve"> (Accessed: 13 October 2025).</w:t>
      </w:r>
    </w:p>
    <w:p w14:paraId="316909C8" w14:textId="77777777" w:rsidR="001C04E0" w:rsidRPr="001C04E0" w:rsidRDefault="00000000" w:rsidP="001C04E0">
      <w:r w:rsidRPr="001C04E0">
        <w:t xml:space="preserve">Kartinawati, A., 2022. Waste-reducing efforts in the kitchen area of the hotel industry using lean management: A case study. </w:t>
      </w:r>
      <w:r w:rsidRPr="001C04E0">
        <w:rPr>
          <w:i/>
          <w:iCs/>
        </w:rPr>
        <w:t>E3S Web of Conferences</w:t>
      </w:r>
      <w:r w:rsidRPr="001C04E0">
        <w:t xml:space="preserve">, ICAS 2021. Available at: </w:t>
      </w:r>
      <w:hyperlink r:id="rId39" w:tgtFrame="_new" w:history="1">
        <w:r w:rsidR="001C04E0" w:rsidRPr="001C04E0">
          <w:rPr>
            <w:rStyle w:val="Hyperlink"/>
          </w:rPr>
          <w:t>https://www.e3s-conferences.org/articles/e3sconf/pdf/2022/15/e3sconf_icas2021_00007.pdf</w:t>
        </w:r>
      </w:hyperlink>
      <w:r w:rsidRPr="001C04E0">
        <w:t xml:space="preserve"> (Accessed: 13 October 2025).</w:t>
      </w:r>
    </w:p>
    <w:p w14:paraId="25A91074" w14:textId="77777777" w:rsidR="001C04E0" w:rsidRPr="001C04E0" w:rsidRDefault="00000000" w:rsidP="001C04E0">
      <w:r w:rsidRPr="001C04E0">
        <w:t xml:space="preserve">Kimes, S.E., n.d. </w:t>
      </w:r>
      <w:r w:rsidRPr="001C04E0">
        <w:rPr>
          <w:i/>
          <w:iCs/>
        </w:rPr>
        <w:t>Restaurant revenue management and table turnover studies</w:t>
      </w:r>
      <w:r w:rsidRPr="001C04E0">
        <w:t xml:space="preserve">. Cornell Hospitality Research (CHR). Available at: </w:t>
      </w:r>
      <w:hyperlink r:id="rId40" w:tgtFrame="_new" w:history="1">
        <w:r w:rsidR="001C04E0" w:rsidRPr="001C04E0">
          <w:rPr>
            <w:rStyle w:val="Hyperlink"/>
          </w:rPr>
          <w:t>https://ecommons.cornell.edu/bitstreams/56f1b36d-beb8-42fb-aeea-9fdb59be6c29/download</w:t>
        </w:r>
      </w:hyperlink>
      <w:r w:rsidRPr="001C04E0">
        <w:t xml:space="preserve"> (Accessed: 13 October 2025).</w:t>
      </w:r>
    </w:p>
    <w:p w14:paraId="61E900F7" w14:textId="77777777" w:rsidR="001C04E0" w:rsidRPr="001C04E0" w:rsidRDefault="00000000" w:rsidP="001C04E0">
      <w:r w:rsidRPr="001C04E0">
        <w:t xml:space="preserve">Kotter, J.P., 1996. </w:t>
      </w:r>
      <w:r w:rsidRPr="001C04E0">
        <w:rPr>
          <w:i/>
          <w:iCs/>
        </w:rPr>
        <w:t>Leading Change.</w:t>
      </w:r>
      <w:r w:rsidRPr="001C04E0">
        <w:t xml:space="preserve"> Boston, MA: Harvard Business School Press. Available at: </w:t>
      </w:r>
      <w:hyperlink r:id="rId41" w:tgtFrame="_new" w:history="1">
        <w:r w:rsidR="001C04E0" w:rsidRPr="001C04E0">
          <w:rPr>
            <w:rStyle w:val="Hyperlink"/>
          </w:rPr>
          <w:t>https://www.hbs.edu/faculty/Pages/item.aspx?num=382</w:t>
        </w:r>
      </w:hyperlink>
      <w:r w:rsidRPr="001C04E0">
        <w:t xml:space="preserve"> (Accessed: 13 October 2025).</w:t>
      </w:r>
    </w:p>
    <w:p w14:paraId="42D6E0DE" w14:textId="77777777" w:rsidR="001C04E0" w:rsidRPr="001C04E0" w:rsidRDefault="00000000" w:rsidP="001C04E0">
      <w:r w:rsidRPr="001C04E0">
        <w:t xml:space="preserve">Leite-Pereira, F., 2022. The role of breakfast in hotel selection, satisfaction and loyalty. </w:t>
      </w:r>
      <w:r w:rsidRPr="001C04E0">
        <w:rPr>
          <w:i/>
          <w:iCs/>
        </w:rPr>
        <w:t>GeoJournal of Tourism and Geosites</w:t>
      </w:r>
      <w:r w:rsidRPr="001C04E0">
        <w:t xml:space="preserve">, 44(4), pp.1472–1481. Available at: </w:t>
      </w:r>
      <w:hyperlink r:id="rId42" w:tgtFrame="_new" w:history="1">
        <w:r w:rsidR="001C04E0" w:rsidRPr="001C04E0">
          <w:rPr>
            <w:rStyle w:val="Hyperlink"/>
          </w:rPr>
          <w:t>https://gtg.webhost.uoradea.ro/</w:t>
        </w:r>
      </w:hyperlink>
      <w:r w:rsidRPr="001C04E0">
        <w:t xml:space="preserve"> (Accessed: 13 October 2025).</w:t>
      </w:r>
    </w:p>
    <w:p w14:paraId="487D7605" w14:textId="77777777" w:rsidR="001C04E0" w:rsidRPr="001C04E0" w:rsidRDefault="00000000" w:rsidP="001C04E0">
      <w:r w:rsidRPr="001C04E0">
        <w:t xml:space="preserve">Leonard, M., Graham, S. and Bonacum, D., 2004. The human factor: the critical importance of effective teamwork and communication. </w:t>
      </w:r>
      <w:r w:rsidRPr="001C04E0">
        <w:rPr>
          <w:i/>
          <w:iCs/>
        </w:rPr>
        <w:t>BMJ Quality &amp; Safety</w:t>
      </w:r>
      <w:r w:rsidRPr="001C04E0">
        <w:t xml:space="preserve">. Available at: </w:t>
      </w:r>
      <w:hyperlink r:id="rId43" w:tgtFrame="_new" w:history="1">
        <w:r w:rsidR="001C04E0" w:rsidRPr="001C04E0">
          <w:rPr>
            <w:rStyle w:val="Hyperlink"/>
          </w:rPr>
          <w:t>https://pubmed.ncbi.nlm.nih.gov/15465961/</w:t>
        </w:r>
      </w:hyperlink>
      <w:r w:rsidRPr="001C04E0">
        <w:t xml:space="preserve"> (Accessed: 13 October 2025).</w:t>
      </w:r>
    </w:p>
    <w:p w14:paraId="102581B3" w14:textId="77777777" w:rsidR="001C04E0" w:rsidRPr="001C04E0" w:rsidRDefault="00000000" w:rsidP="001C04E0">
      <w:r w:rsidRPr="001C04E0">
        <w:t xml:space="preserve">Lim, M.L., 2019. A time–motion observation study to measure and analyse occupational workload. </w:t>
      </w:r>
      <w:r w:rsidRPr="001C04E0">
        <w:rPr>
          <w:i/>
          <w:iCs/>
        </w:rPr>
        <w:t>SAGE Open</w:t>
      </w:r>
      <w:r w:rsidRPr="001C04E0">
        <w:t xml:space="preserve">. Available at: </w:t>
      </w:r>
      <w:hyperlink r:id="rId44" w:tgtFrame="_new" w:history="1">
        <w:r w:rsidR="001C04E0" w:rsidRPr="001C04E0">
          <w:rPr>
            <w:rStyle w:val="Hyperlink"/>
          </w:rPr>
          <w:t>https://journals.sagepub.com/doi/full/10.1177/2158244019857751</w:t>
        </w:r>
      </w:hyperlink>
      <w:r w:rsidRPr="001C04E0">
        <w:t xml:space="preserve"> (Accessed: 13 October 2025).</w:t>
      </w:r>
    </w:p>
    <w:p w14:paraId="09ED6861" w14:textId="77777777" w:rsidR="001C04E0" w:rsidRPr="001C04E0" w:rsidRDefault="00000000" w:rsidP="001C04E0">
      <w:r w:rsidRPr="001C04E0">
        <w:t xml:space="preserve">LS Retail, 2025. </w:t>
      </w:r>
      <w:r w:rsidRPr="001C04E0">
        <w:rPr>
          <w:i/>
          <w:iCs/>
        </w:rPr>
        <w:t>4 effective strategies to maximise table turnover</w:t>
      </w:r>
      <w:r w:rsidRPr="001C04E0">
        <w:t xml:space="preserve">. LS Retail. Available at: </w:t>
      </w:r>
      <w:hyperlink r:id="rId45" w:tgtFrame="_new" w:history="1">
        <w:r w:rsidR="001C04E0" w:rsidRPr="001C04E0">
          <w:rPr>
            <w:rStyle w:val="Hyperlink"/>
          </w:rPr>
          <w:t>https://www.lsretail.com/resources/ways-maximize-table-turnover-restaurant</w:t>
        </w:r>
      </w:hyperlink>
      <w:r w:rsidRPr="001C04E0">
        <w:t xml:space="preserve"> (Accessed: 13 October 2025).</w:t>
      </w:r>
    </w:p>
    <w:p w14:paraId="73C9F520" w14:textId="77777777" w:rsidR="001C04E0" w:rsidRPr="001C04E0" w:rsidRDefault="00000000" w:rsidP="001C04E0">
      <w:r w:rsidRPr="001C04E0">
        <w:t xml:space="preserve">Luca, M., 2016. Reviews, Reputation, and Revenue: The Case of Yelp.com. </w:t>
      </w:r>
      <w:r w:rsidRPr="001C04E0">
        <w:rPr>
          <w:i/>
          <w:iCs/>
        </w:rPr>
        <w:t>Harvard Business School Working Paper</w:t>
      </w:r>
      <w:r w:rsidRPr="001C04E0">
        <w:t xml:space="preserve">, No. 12-016. Available at: </w:t>
      </w:r>
      <w:hyperlink r:id="rId46" w:tgtFrame="_new" w:history="1">
        <w:r w:rsidR="001C04E0" w:rsidRPr="001C04E0">
          <w:rPr>
            <w:rStyle w:val="Hyperlink"/>
          </w:rPr>
          <w:t>https://www.hbs.edu/faculty/Publication%20Files/12-016_2f3f1d80-4e7f-4f26-883f-1f7a2d4b1d3e.pdf</w:t>
        </w:r>
      </w:hyperlink>
      <w:r w:rsidRPr="001C04E0">
        <w:t xml:space="preserve"> (Accessed: 13 October 2025).</w:t>
      </w:r>
    </w:p>
    <w:p w14:paraId="25CDCD0E" w14:textId="77777777" w:rsidR="001C04E0" w:rsidRPr="001C04E0" w:rsidRDefault="00000000" w:rsidP="001C04E0">
      <w:r w:rsidRPr="001C04E0">
        <w:t xml:space="preserve">MarketIntelo, 2025. </w:t>
      </w:r>
      <w:r w:rsidRPr="001C04E0">
        <w:rPr>
          <w:i/>
          <w:iCs/>
        </w:rPr>
        <w:t>Kitchen Display Systems Market Research Report 2033</w:t>
      </w:r>
      <w:r w:rsidRPr="001C04E0">
        <w:t xml:space="preserve">. MarketIntelo. Available at: </w:t>
      </w:r>
      <w:hyperlink r:id="rId47" w:tgtFrame="_new" w:history="1">
        <w:r w:rsidR="001C04E0" w:rsidRPr="001C04E0">
          <w:rPr>
            <w:rStyle w:val="Hyperlink"/>
          </w:rPr>
          <w:t>https://marketintelo.com/report/kitchen-display-systems-market</w:t>
        </w:r>
      </w:hyperlink>
      <w:r w:rsidRPr="001C04E0">
        <w:t xml:space="preserve"> (Accessed: 13 October 2025).</w:t>
      </w:r>
    </w:p>
    <w:p w14:paraId="63405273" w14:textId="77777777" w:rsidR="001C04E0" w:rsidRPr="001C04E0" w:rsidRDefault="00000000" w:rsidP="001C04E0">
      <w:r w:rsidRPr="001C04E0">
        <w:t xml:space="preserve">McKinsey &amp; Company, 2023. </w:t>
      </w:r>
      <w:r w:rsidRPr="001C04E0">
        <w:rPr>
          <w:i/>
          <w:iCs/>
        </w:rPr>
        <w:t>The future of tourism: Bridging the labour gap, enhancing customer experience</w:t>
      </w:r>
      <w:r w:rsidRPr="001C04E0">
        <w:t xml:space="preserve">. McKinsey &amp; Company. Available at: </w:t>
      </w:r>
      <w:hyperlink r:id="rId48" w:tgtFrame="_new" w:history="1">
        <w:r w:rsidR="001C04E0" w:rsidRPr="001C04E0">
          <w:rPr>
            <w:rStyle w:val="Hyperlink"/>
          </w:rPr>
          <w:t>https://www.mckinsey.com/industries/travel/our-insights/future-of-tourism-bridging-the-labor-gap-enhancing-customer-experience</w:t>
        </w:r>
      </w:hyperlink>
      <w:r w:rsidRPr="001C04E0">
        <w:t xml:space="preserve"> (Accessed: 13 October 2025).</w:t>
      </w:r>
    </w:p>
    <w:p w14:paraId="35A7E0BE" w14:textId="77777777" w:rsidR="001C04E0" w:rsidRPr="001C04E0" w:rsidRDefault="00000000" w:rsidP="001C04E0">
      <w:r w:rsidRPr="001C04E0">
        <w:t xml:space="preserve">NextMe, 2025. </w:t>
      </w:r>
      <w:r w:rsidRPr="001C04E0">
        <w:rPr>
          <w:i/>
          <w:iCs/>
        </w:rPr>
        <w:t>NextMe Waitlist App and Queue Management Software</w:t>
      </w:r>
      <w:r w:rsidRPr="001C04E0">
        <w:t xml:space="preserve">. NextMe. Available at: </w:t>
      </w:r>
      <w:hyperlink r:id="rId49" w:tgtFrame="_new" w:history="1">
        <w:r w:rsidR="001C04E0" w:rsidRPr="001C04E0">
          <w:rPr>
            <w:rStyle w:val="Hyperlink"/>
          </w:rPr>
          <w:t>https://nextmeapp.com/</w:t>
        </w:r>
      </w:hyperlink>
      <w:r w:rsidRPr="001C04E0">
        <w:t xml:space="preserve"> (Accessed: 13 October 2025).</w:t>
      </w:r>
    </w:p>
    <w:p w14:paraId="0465A022" w14:textId="77777777" w:rsidR="001C04E0" w:rsidRPr="001C04E0" w:rsidRDefault="00000000" w:rsidP="001C04E0">
      <w:r w:rsidRPr="001C04E0">
        <w:t xml:space="preserve">OECD, 2024. </w:t>
      </w:r>
      <w:r w:rsidRPr="001C04E0">
        <w:rPr>
          <w:i/>
          <w:iCs/>
        </w:rPr>
        <w:t>OECD Tourism Trends and Policies 2024</w:t>
      </w:r>
      <w:r w:rsidRPr="001C04E0">
        <w:t xml:space="preserve">. OECD Publishing. Available at: </w:t>
      </w:r>
      <w:hyperlink r:id="rId50" w:tgtFrame="_new" w:history="1">
        <w:r w:rsidR="001C04E0" w:rsidRPr="001C04E0">
          <w:rPr>
            <w:rStyle w:val="Hyperlink"/>
          </w:rPr>
          <w:t>https://www.oecd.org/en/publications/2024/07/oecd-tourism-trends-and-policies-2024_17ff33a3.html</w:t>
        </w:r>
      </w:hyperlink>
      <w:r w:rsidRPr="001C04E0">
        <w:t xml:space="preserve"> and </w:t>
      </w:r>
      <w:hyperlink r:id="rId51" w:tgtFrame="_new" w:history="1">
        <w:r w:rsidR="001C04E0" w:rsidRPr="001C04E0">
          <w:rPr>
            <w:rStyle w:val="Hyperlink"/>
          </w:rPr>
          <w:t>https://www.oecd.org/content/dam/oecd/en/publications/reports/2024/07/oecd-tourism-trends-and-policies-2024_17ff33a3/80885d8b-en.pdf</w:t>
        </w:r>
      </w:hyperlink>
      <w:r w:rsidRPr="001C04E0">
        <w:t xml:space="preserve"> (Accessed: 13 October 2025).</w:t>
      </w:r>
    </w:p>
    <w:p w14:paraId="49BCFA4A" w14:textId="77777777" w:rsidR="001C04E0" w:rsidRPr="001C04E0" w:rsidRDefault="00000000" w:rsidP="001C04E0">
      <w:r w:rsidRPr="001C04E0">
        <w:t xml:space="preserve">Ohno, T., 1988. </w:t>
      </w:r>
      <w:r w:rsidRPr="001C04E0">
        <w:rPr>
          <w:i/>
          <w:iCs/>
        </w:rPr>
        <w:t>Toyota Production System: Beyond Large-Scale Production.</w:t>
      </w:r>
      <w:r w:rsidRPr="001C04E0">
        <w:t xml:space="preserve"> Productivity Press. Available at: </w:t>
      </w:r>
      <w:hyperlink r:id="rId52" w:tgtFrame="_new" w:history="1">
        <w:r w:rsidR="001C04E0" w:rsidRPr="001C04E0">
          <w:rPr>
            <w:rStyle w:val="Hyperlink"/>
          </w:rPr>
          <w:t>https://www.routledge.com/Toyota-Production-System-Beyond-Large-Scale-Production/Ohno/p/book/9780429273018</w:t>
        </w:r>
      </w:hyperlink>
      <w:r w:rsidRPr="001C04E0">
        <w:t xml:space="preserve"> (Accessed: 13 October 2025).</w:t>
      </w:r>
    </w:p>
    <w:p w14:paraId="71DABCBA" w14:textId="77777777" w:rsidR="001C04E0" w:rsidRPr="001C04E0" w:rsidRDefault="00000000" w:rsidP="001C04E0">
      <w:r w:rsidRPr="001C04E0">
        <w:t xml:space="preserve">Panagiotou, G., 2003. Bringing SWOT into focus. </w:t>
      </w:r>
      <w:r w:rsidRPr="001C04E0">
        <w:rPr>
          <w:i/>
          <w:iCs/>
        </w:rPr>
        <w:t>Business Strategy Review</w:t>
      </w:r>
      <w:r w:rsidRPr="001C04E0">
        <w:t xml:space="preserve">, 14(2), pp.8–10. Available at: </w:t>
      </w:r>
      <w:hyperlink r:id="rId53" w:tgtFrame="_new" w:history="1">
        <w:r w:rsidR="001C04E0" w:rsidRPr="001C04E0">
          <w:rPr>
            <w:rStyle w:val="Hyperlink"/>
          </w:rPr>
          <w:t>https://onlinelibrary.wiley.com/doi/10.1111/1467-8616.00153</w:t>
        </w:r>
      </w:hyperlink>
      <w:r w:rsidRPr="001C04E0">
        <w:t xml:space="preserve"> (Accessed: 13 October 2025).</w:t>
      </w:r>
    </w:p>
    <w:p w14:paraId="6F870F39" w14:textId="77777777" w:rsidR="001C04E0" w:rsidRPr="001C04E0" w:rsidRDefault="00000000" w:rsidP="001C04E0">
      <w:r w:rsidRPr="001C04E0">
        <w:t xml:space="preserve">Peng, X., 2024. Digital transformation in the hospitality industry: a review. </w:t>
      </w:r>
      <w:r w:rsidRPr="001C04E0">
        <w:rPr>
          <w:i/>
          <w:iCs/>
        </w:rPr>
        <w:t>International Journal of Hospitality Management</w:t>
      </w:r>
      <w:r w:rsidRPr="001C04E0">
        <w:t xml:space="preserve">. Available at: </w:t>
      </w:r>
      <w:hyperlink r:id="rId54" w:tgtFrame="_new" w:history="1">
        <w:r w:rsidR="001C04E0" w:rsidRPr="001C04E0">
          <w:rPr>
            <w:rStyle w:val="Hyperlink"/>
          </w:rPr>
          <w:t>https://www.sciencedirect.com/science/article/abs/pii/S0278431924000732</w:t>
        </w:r>
      </w:hyperlink>
      <w:r w:rsidRPr="001C04E0">
        <w:t xml:space="preserve"> (Accessed: 13 October 2025).</w:t>
      </w:r>
    </w:p>
    <w:p w14:paraId="2B5FEE07" w14:textId="77777777" w:rsidR="001C04E0" w:rsidRPr="001C04E0" w:rsidRDefault="00000000" w:rsidP="001C04E0">
      <w:r w:rsidRPr="001C04E0">
        <w:t xml:space="preserve">Perdomo-Verdecia, V., 2022. Lean management in hotels: Where we are and where we might go. </w:t>
      </w:r>
      <w:r w:rsidRPr="001C04E0">
        <w:rPr>
          <w:i/>
          <w:iCs/>
        </w:rPr>
        <w:t>International Journal of Hospitality Management</w:t>
      </w:r>
      <w:r w:rsidRPr="001C04E0">
        <w:t xml:space="preserve">, 103. Available at: </w:t>
      </w:r>
      <w:hyperlink r:id="rId55" w:tgtFrame="_new" w:history="1">
        <w:r w:rsidR="001C04E0" w:rsidRPr="001C04E0">
          <w:rPr>
            <w:rStyle w:val="Hyperlink"/>
          </w:rPr>
          <w:t>https://www.sciencedirect.com/science/article/pii/S0278431922001128</w:t>
        </w:r>
      </w:hyperlink>
      <w:r w:rsidRPr="001C04E0">
        <w:t xml:space="preserve"> (Accessed: 13 October 2025).</w:t>
      </w:r>
    </w:p>
    <w:p w14:paraId="1A3B40D0" w14:textId="77777777" w:rsidR="001C04E0" w:rsidRPr="001C04E0" w:rsidRDefault="00000000" w:rsidP="001C04E0">
      <w:r w:rsidRPr="001C04E0">
        <w:t xml:space="preserve">Ponteras, D., 2025. Consumer preference and satisfaction with hotel breakfast: Thesis. </w:t>
      </w:r>
      <w:r w:rsidRPr="001C04E0">
        <w:rPr>
          <w:i/>
          <w:iCs/>
        </w:rPr>
        <w:t>Theseus</w:t>
      </w:r>
      <w:r w:rsidRPr="001C04E0">
        <w:t xml:space="preserve">. Available at: </w:t>
      </w:r>
      <w:hyperlink r:id="rId56" w:tgtFrame="_new" w:history="1">
        <w:r w:rsidR="001C04E0" w:rsidRPr="001C04E0">
          <w:rPr>
            <w:rStyle w:val="Hyperlink"/>
          </w:rPr>
          <w:t>https://www.theseus.fi/bitstream/handle/10024/892508/Ponteras_Danica.pdf</w:t>
        </w:r>
      </w:hyperlink>
      <w:r w:rsidRPr="001C04E0">
        <w:t xml:space="preserve"> (Accessed: 13 October 2025).</w:t>
      </w:r>
    </w:p>
    <w:p w14:paraId="6E321CDD" w14:textId="77777777" w:rsidR="001C04E0" w:rsidRPr="001C04E0" w:rsidRDefault="00000000" w:rsidP="001C04E0">
      <w:r w:rsidRPr="001C04E0">
        <w:t xml:space="preserve">POS Toast, 2023. </w:t>
      </w:r>
      <w:r w:rsidRPr="001C04E0">
        <w:rPr>
          <w:i/>
          <w:iCs/>
        </w:rPr>
        <w:t>How to run a pre-shift meeting / Benefits of KDS</w:t>
      </w:r>
      <w:r w:rsidRPr="001C04E0">
        <w:t xml:space="preserve">. Toast POS. Available at: </w:t>
      </w:r>
      <w:hyperlink r:id="rId57" w:tgtFrame="_new" w:history="1">
        <w:r w:rsidR="001C04E0" w:rsidRPr="001C04E0">
          <w:rPr>
            <w:rStyle w:val="Hyperlink"/>
          </w:rPr>
          <w:t>https://pos.toasttab.com/blog/on-the-line/how-to-run-a-pre-shift-meeting-with-restaurant-staff</w:t>
        </w:r>
      </w:hyperlink>
      <w:r w:rsidRPr="001C04E0">
        <w:t xml:space="preserve"> (Accessed: 13 October 2025).</w:t>
      </w:r>
    </w:p>
    <w:p w14:paraId="138A380F" w14:textId="77777777" w:rsidR="001C04E0" w:rsidRPr="001C04E0" w:rsidRDefault="00000000" w:rsidP="001C04E0">
      <w:r w:rsidRPr="001C04E0">
        <w:t xml:space="preserve">Premier Inn / Whitbread, 2023. </w:t>
      </w:r>
      <w:r w:rsidRPr="001C04E0">
        <w:rPr>
          <w:i/>
          <w:iCs/>
        </w:rPr>
        <w:t>The Economic and Social Impact of Premier Inn Hotels (report)</w:t>
      </w:r>
      <w:r w:rsidRPr="001C04E0">
        <w:t xml:space="preserve">. Whitbread. Available at: </w:t>
      </w:r>
      <w:hyperlink r:id="rId58" w:tgtFrame="_new" w:history="1">
        <w:r w:rsidR="001C04E0" w:rsidRPr="001C04E0">
          <w:rPr>
            <w:rStyle w:val="Hyperlink"/>
          </w:rPr>
          <w:t>https://cdn.whitbread.co.uk/media/2023/08/The-economic-and-social-impact-of-Premier-Inn-hotels.pdf</w:t>
        </w:r>
      </w:hyperlink>
      <w:r w:rsidRPr="001C04E0">
        <w:t xml:space="preserve"> (Accessed: 13 October 2025).</w:t>
      </w:r>
    </w:p>
    <w:p w14:paraId="38954EF9" w14:textId="77777777" w:rsidR="001C04E0" w:rsidRPr="001C04E0" w:rsidRDefault="00000000" w:rsidP="001C04E0">
      <w:r w:rsidRPr="001C04E0">
        <w:lastRenderedPageBreak/>
        <w:t xml:space="preserve">PwC, 2024. </w:t>
      </w:r>
      <w:r w:rsidRPr="001C04E0">
        <w:rPr>
          <w:i/>
          <w:iCs/>
        </w:rPr>
        <w:t>Hotel Market Snapshot / Hotels Forecast and Operational Efficiency commentary</w:t>
      </w:r>
      <w:r w:rsidRPr="001C04E0">
        <w:t xml:space="preserve">. PwC. Available at: </w:t>
      </w:r>
      <w:hyperlink r:id="rId59" w:tgtFrame="_new" w:history="1">
        <w:r w:rsidR="001C04E0" w:rsidRPr="001C04E0">
          <w:rPr>
            <w:rStyle w:val="Hyperlink"/>
          </w:rPr>
          <w:t>https://www.pwc.com/it/en/publications/assets/docs/pwc-hotel-market-snapshot-2023.pdf</w:t>
        </w:r>
      </w:hyperlink>
      <w:r w:rsidRPr="001C04E0">
        <w:t xml:space="preserve"> (Accessed: 13 October 2025).</w:t>
      </w:r>
    </w:p>
    <w:p w14:paraId="530370C9" w14:textId="77777777" w:rsidR="001C04E0" w:rsidRPr="001C04E0" w:rsidRDefault="00000000" w:rsidP="001C04E0">
      <w:proofErr w:type="spellStart"/>
      <w:r w:rsidRPr="00C936B5">
        <w:rPr>
          <w:lang w:val="fr-FR"/>
        </w:rPr>
        <w:t>QueuePad</w:t>
      </w:r>
      <w:proofErr w:type="spellEnd"/>
      <w:r w:rsidRPr="00C936B5">
        <w:rPr>
          <w:lang w:val="fr-FR"/>
        </w:rPr>
        <w:t xml:space="preserve">, 2025. </w:t>
      </w:r>
      <w:proofErr w:type="spellStart"/>
      <w:r w:rsidRPr="00C936B5">
        <w:rPr>
          <w:i/>
          <w:iCs/>
          <w:lang w:val="fr-FR"/>
        </w:rPr>
        <w:t>QueuePad</w:t>
      </w:r>
      <w:proofErr w:type="spellEnd"/>
      <w:r w:rsidRPr="00C936B5">
        <w:rPr>
          <w:i/>
          <w:iCs/>
          <w:lang w:val="fr-FR"/>
        </w:rPr>
        <w:t xml:space="preserve"> </w:t>
      </w:r>
      <w:proofErr w:type="spellStart"/>
      <w:r w:rsidRPr="00C936B5">
        <w:rPr>
          <w:i/>
          <w:iCs/>
          <w:lang w:val="fr-FR"/>
        </w:rPr>
        <w:t>waitlist</w:t>
      </w:r>
      <w:proofErr w:type="spellEnd"/>
      <w:r w:rsidRPr="00C936B5">
        <w:rPr>
          <w:i/>
          <w:iCs/>
          <w:lang w:val="fr-FR"/>
        </w:rPr>
        <w:t xml:space="preserve"> &amp; queue management</w:t>
      </w:r>
      <w:r w:rsidRPr="00C936B5">
        <w:rPr>
          <w:lang w:val="fr-FR"/>
        </w:rPr>
        <w:t xml:space="preserve">. </w:t>
      </w:r>
      <w:proofErr w:type="spellStart"/>
      <w:r w:rsidRPr="001C04E0">
        <w:t>QueuePad</w:t>
      </w:r>
      <w:proofErr w:type="spellEnd"/>
      <w:r w:rsidRPr="001C04E0">
        <w:t xml:space="preserve">. Available at: </w:t>
      </w:r>
      <w:hyperlink r:id="rId60" w:tgtFrame="_new" w:history="1">
        <w:r w:rsidR="001C04E0" w:rsidRPr="001C04E0">
          <w:rPr>
            <w:rStyle w:val="Hyperlink"/>
          </w:rPr>
          <w:t>https://www.queuepad.com/</w:t>
        </w:r>
      </w:hyperlink>
      <w:r w:rsidRPr="001C04E0">
        <w:t xml:space="preserve"> (Accessed: 13 October 2025).</w:t>
      </w:r>
    </w:p>
    <w:p w14:paraId="460AB00D" w14:textId="77777777" w:rsidR="001C04E0" w:rsidRPr="001C04E0" w:rsidRDefault="00000000" w:rsidP="001C04E0">
      <w:r w:rsidRPr="001C04E0">
        <w:t xml:space="preserve">Revinate, 2024. </w:t>
      </w:r>
      <w:r w:rsidRPr="001C04E0">
        <w:rPr>
          <w:i/>
          <w:iCs/>
        </w:rPr>
        <w:t>Hospitality Benchmark Report 2024 / 2025 summaries</w:t>
      </w:r>
      <w:r w:rsidRPr="001C04E0">
        <w:t xml:space="preserve">. Revinate. Available at: </w:t>
      </w:r>
      <w:hyperlink r:id="rId61" w:tgtFrame="_new" w:history="1">
        <w:r w:rsidR="001C04E0" w:rsidRPr="001C04E0">
          <w:rPr>
            <w:rStyle w:val="Hyperlink"/>
          </w:rPr>
          <w:t>https://www.revinate.com/hospitality-benchmark-report/</w:t>
        </w:r>
      </w:hyperlink>
      <w:r w:rsidRPr="001C04E0">
        <w:t xml:space="preserve"> (Accessed: 13 October 2025).</w:t>
      </w:r>
    </w:p>
    <w:p w14:paraId="2310C52E" w14:textId="77777777" w:rsidR="001C04E0" w:rsidRPr="001C04E0" w:rsidRDefault="00000000" w:rsidP="001C04E0">
      <w:r w:rsidRPr="001C04E0">
        <w:t xml:space="preserve">ResearchGate, 2019. Service Time Performance Analysis of an Improved Automated Restaurant by Layout Reconfiguration and Conveyor System. ResearchGate. Available at: </w:t>
      </w:r>
      <w:hyperlink r:id="rId62" w:tgtFrame="_new" w:history="1">
        <w:r w:rsidR="001C04E0" w:rsidRPr="001C04E0">
          <w:rPr>
            <w:rStyle w:val="Hyperlink"/>
          </w:rPr>
          <w:t>https://www.researchgate.net/publication/337573779_Service_Time_Performance_Analysis_of_Improved_Automated_Restaurant_by_Layout_Reconfiguration_and_Conveyor_System</w:t>
        </w:r>
      </w:hyperlink>
      <w:r w:rsidRPr="001C04E0">
        <w:t xml:space="preserve"> (Accessed: 13 October 2025).</w:t>
      </w:r>
    </w:p>
    <w:p w14:paraId="5569431C" w14:textId="77777777" w:rsidR="001C04E0" w:rsidRPr="001C04E0" w:rsidRDefault="00000000" w:rsidP="001C04E0">
      <w:r w:rsidRPr="001C04E0">
        <w:t xml:space="preserve">Robson, C. and McCartan, K., 2016. </w:t>
      </w:r>
      <w:r w:rsidRPr="001C04E0">
        <w:rPr>
          <w:i/>
          <w:iCs/>
        </w:rPr>
        <w:t>Real World Research.</w:t>
      </w:r>
      <w:r w:rsidRPr="001C04E0">
        <w:t xml:space="preserve"> 4th ed. Chichester: Wiley. Available at: </w:t>
      </w:r>
      <w:hyperlink r:id="rId63" w:tgtFrame="_new" w:history="1">
        <w:r w:rsidR="001C04E0" w:rsidRPr="001C04E0">
          <w:rPr>
            <w:rStyle w:val="Hyperlink"/>
          </w:rPr>
          <w:t>https://www.wiley.com/en-gb/Real+World+Research%2C+4th+Edition-p-9781118745233</w:t>
        </w:r>
      </w:hyperlink>
      <w:r w:rsidRPr="001C04E0">
        <w:t xml:space="preserve"> (Accessed: 13 October 2025).</w:t>
      </w:r>
    </w:p>
    <w:p w14:paraId="42407B5D" w14:textId="77777777" w:rsidR="001C04E0" w:rsidRPr="001C04E0" w:rsidRDefault="00000000" w:rsidP="001C04E0">
      <w:r w:rsidRPr="001C04E0">
        <w:t xml:space="preserve">SAGE Journals, 2024. </w:t>
      </w:r>
      <w:r w:rsidRPr="001C04E0">
        <w:rPr>
          <w:i/>
          <w:iCs/>
        </w:rPr>
        <w:t>Mobile Food Ordering Apps, Restaurant Performance, and Customer Satisfaction</w:t>
      </w:r>
      <w:r w:rsidRPr="001C04E0">
        <w:t xml:space="preserve">. </w:t>
      </w:r>
      <w:r w:rsidRPr="001C04E0">
        <w:rPr>
          <w:i/>
          <w:iCs/>
        </w:rPr>
        <w:t>Journal of Foodservice Business Research</w:t>
      </w:r>
      <w:r w:rsidRPr="001C04E0">
        <w:t xml:space="preserve"> (online). Available at: </w:t>
      </w:r>
      <w:hyperlink r:id="rId64" w:tgtFrame="_new" w:history="1">
        <w:r w:rsidR="001C04E0" w:rsidRPr="001C04E0">
          <w:rPr>
            <w:rStyle w:val="Hyperlink"/>
          </w:rPr>
          <w:t>https://journals.sagepub.com/doi/10.1177/19389655231223376</w:t>
        </w:r>
      </w:hyperlink>
      <w:r w:rsidRPr="001C04E0">
        <w:t xml:space="preserve"> (Accessed: 13 October 2025).</w:t>
      </w:r>
    </w:p>
    <w:p w14:paraId="3EC971BB" w14:textId="77777777" w:rsidR="001C04E0" w:rsidRPr="001C04E0" w:rsidRDefault="00000000" w:rsidP="001C04E0">
      <w:r w:rsidRPr="001C04E0">
        <w:t xml:space="preserve">SAGE Research Methods, 2024. </w:t>
      </w:r>
      <w:r w:rsidRPr="001C04E0">
        <w:rPr>
          <w:i/>
          <w:iCs/>
        </w:rPr>
        <w:t>Secondary Data Analysis</w:t>
      </w:r>
      <w:r w:rsidRPr="001C04E0">
        <w:t xml:space="preserve"> (chapter). Available at: </w:t>
      </w:r>
      <w:hyperlink r:id="rId65" w:tgtFrame="_new" w:history="1">
        <w:r w:rsidR="001C04E0" w:rsidRPr="001C04E0">
          <w:rPr>
            <w:rStyle w:val="Hyperlink"/>
          </w:rPr>
          <w:t>https://methods.sagepub.com/book/edvol/sage-secondary-data-analysis/chpt/secondary-data-analysis</w:t>
        </w:r>
      </w:hyperlink>
      <w:r w:rsidRPr="001C04E0">
        <w:t xml:space="preserve"> (Accessed: 13 October 2025).</w:t>
      </w:r>
    </w:p>
    <w:p w14:paraId="511CEFB2" w14:textId="77777777" w:rsidR="001C04E0" w:rsidRPr="001C04E0" w:rsidRDefault="00000000" w:rsidP="001C04E0">
      <w:r w:rsidRPr="00C936B5">
        <w:rPr>
          <w:lang w:val="de-DE"/>
        </w:rPr>
        <w:t xml:space="preserve">Salas, E., Tannenbaum, S.I., </w:t>
      </w:r>
      <w:proofErr w:type="spellStart"/>
      <w:r w:rsidRPr="00C936B5">
        <w:rPr>
          <w:lang w:val="de-DE"/>
        </w:rPr>
        <w:t>Kraiger</w:t>
      </w:r>
      <w:proofErr w:type="spellEnd"/>
      <w:r w:rsidRPr="00C936B5">
        <w:rPr>
          <w:lang w:val="de-DE"/>
        </w:rPr>
        <w:t xml:space="preserve">, K. and Smith-Jentsch, K.A., 2012. </w:t>
      </w:r>
      <w:r w:rsidRPr="001C04E0">
        <w:t xml:space="preserve">The science of training and development in organisations: What matters in practice. </w:t>
      </w:r>
      <w:r w:rsidRPr="001C04E0">
        <w:rPr>
          <w:i/>
          <w:iCs/>
        </w:rPr>
        <w:t>Psychological Science in the Public Interest</w:t>
      </w:r>
      <w:r w:rsidRPr="001C04E0">
        <w:t xml:space="preserve">, 13(2), pp.74–101. Available at: </w:t>
      </w:r>
      <w:hyperlink r:id="rId66" w:tgtFrame="_new" w:history="1">
        <w:r w:rsidR="001C04E0" w:rsidRPr="001C04E0">
          <w:rPr>
            <w:rStyle w:val="Hyperlink"/>
          </w:rPr>
          <w:t>https://journals.sagepub.com/doi/10.1177/1529100612436661</w:t>
        </w:r>
      </w:hyperlink>
      <w:r w:rsidRPr="001C04E0">
        <w:t xml:space="preserve"> (Accessed: 13 October 2025).</w:t>
      </w:r>
    </w:p>
    <w:p w14:paraId="5E24548E" w14:textId="77777777" w:rsidR="001C04E0" w:rsidRPr="001C04E0" w:rsidRDefault="00000000" w:rsidP="001C04E0">
      <w:r w:rsidRPr="001C04E0">
        <w:t xml:space="preserve">Saunders, M.N.K., Lewis, P. and Thornhill, A., 2019. </w:t>
      </w:r>
      <w:r w:rsidRPr="001C04E0">
        <w:rPr>
          <w:i/>
          <w:iCs/>
        </w:rPr>
        <w:t>Research Methods for Business Students.</w:t>
      </w:r>
      <w:r w:rsidRPr="001C04E0">
        <w:t xml:space="preserve"> 8th ed. Harlow: Pearson. Available at: </w:t>
      </w:r>
      <w:hyperlink r:id="rId67" w:tgtFrame="_new" w:history="1">
        <w:r w:rsidR="001C04E0" w:rsidRPr="001C04E0">
          <w:rPr>
            <w:rStyle w:val="Hyperlink"/>
          </w:rPr>
          <w:t>https://www.pearson.com/en-gb/subject-catalogue/business-and-management/research-methods-for-business-students/</w:t>
        </w:r>
      </w:hyperlink>
      <w:r w:rsidRPr="001C04E0">
        <w:t xml:space="preserve"> (Accessed: 13 October 2025).</w:t>
      </w:r>
    </w:p>
    <w:p w14:paraId="32CCC412" w14:textId="77777777" w:rsidR="001C04E0" w:rsidRPr="001C04E0" w:rsidRDefault="00000000" w:rsidP="001C04E0">
      <w:r w:rsidRPr="001C04E0">
        <w:t xml:space="preserve">Shimmura, T., 2017. Staff motion reduction at a Japanese restaurant by layout redesign. </w:t>
      </w:r>
      <w:r w:rsidRPr="001C04E0">
        <w:rPr>
          <w:i/>
          <w:iCs/>
        </w:rPr>
        <w:t>Procedia Engineering</w:t>
      </w:r>
      <w:r w:rsidRPr="001C04E0">
        <w:t xml:space="preserve">. Available at: </w:t>
      </w:r>
      <w:hyperlink r:id="rId68" w:tgtFrame="_new" w:history="1">
        <w:r w:rsidR="001C04E0" w:rsidRPr="001C04E0">
          <w:rPr>
            <w:rStyle w:val="Hyperlink"/>
          </w:rPr>
          <w:t>https://www.sciencedirect.com/science/article/pii/S1877705817337370</w:t>
        </w:r>
      </w:hyperlink>
      <w:r w:rsidRPr="001C04E0">
        <w:t xml:space="preserve"> (Accessed: 13 October 2025).</w:t>
      </w:r>
    </w:p>
    <w:p w14:paraId="748AC35F" w14:textId="77777777" w:rsidR="001C04E0" w:rsidRPr="001C04E0" w:rsidRDefault="00000000" w:rsidP="001C04E0">
      <w:r w:rsidRPr="001C04E0">
        <w:lastRenderedPageBreak/>
        <w:t xml:space="preserve">Sparks, B.A. and Browning, V., 2011. The impact of online reviews on hotel booking intentions and perception. </w:t>
      </w:r>
      <w:r w:rsidRPr="001C04E0">
        <w:rPr>
          <w:i/>
          <w:iCs/>
        </w:rPr>
        <w:t>Tourism Management</w:t>
      </w:r>
      <w:r w:rsidRPr="001C04E0">
        <w:t xml:space="preserve">, 32(6), pp.1310–1323. Available at: </w:t>
      </w:r>
      <w:hyperlink r:id="rId69" w:tgtFrame="_new" w:history="1">
        <w:r w:rsidR="001C04E0" w:rsidRPr="001C04E0">
          <w:rPr>
            <w:rStyle w:val="Hyperlink"/>
          </w:rPr>
          <w:t>https://doi.org/10.1016/j.tourman.2010.11.011</w:t>
        </w:r>
      </w:hyperlink>
      <w:r w:rsidRPr="001C04E0">
        <w:t xml:space="preserve"> (Accessed: 13 October 2025).</w:t>
      </w:r>
    </w:p>
    <w:p w14:paraId="0A7615BE" w14:textId="77777777" w:rsidR="001C04E0" w:rsidRPr="001C04E0" w:rsidRDefault="00000000" w:rsidP="001C04E0">
      <w:r w:rsidRPr="001C04E0">
        <w:t xml:space="preserve">Statista, 2024. </w:t>
      </w:r>
      <w:r w:rsidRPr="001C04E0">
        <w:rPr>
          <w:i/>
          <w:iCs/>
        </w:rPr>
        <w:t>United Kingdom: hotel occupancy rate 2015–2024</w:t>
      </w:r>
      <w:r w:rsidRPr="001C04E0">
        <w:t xml:space="preserve">. Statista. Available at: </w:t>
      </w:r>
      <w:hyperlink r:id="rId70" w:tgtFrame="_new" w:history="1">
        <w:r w:rsidR="001C04E0" w:rsidRPr="001C04E0">
          <w:rPr>
            <w:rStyle w:val="Hyperlink"/>
          </w:rPr>
          <w:t>https://www.statista.com/statistics/</w:t>
        </w:r>
      </w:hyperlink>
      <w:r w:rsidRPr="001C04E0">
        <w:t xml:space="preserve"> (Accessed: 13 October 2025).</w:t>
      </w:r>
    </w:p>
    <w:p w14:paraId="6F2CC1CF" w14:textId="77777777" w:rsidR="001C04E0" w:rsidRPr="001C04E0" w:rsidRDefault="00000000" w:rsidP="001C04E0">
      <w:r w:rsidRPr="001C04E0">
        <w:t xml:space="preserve">STR, 2023. </w:t>
      </w:r>
      <w:r w:rsidRPr="001C04E0">
        <w:rPr>
          <w:i/>
          <w:iCs/>
        </w:rPr>
        <w:t>STR global data insights — hotel performance 2023</w:t>
      </w:r>
      <w:r w:rsidRPr="001C04E0">
        <w:t xml:space="preserve">. STR. Available at: </w:t>
      </w:r>
      <w:hyperlink r:id="rId71" w:tgtFrame="_new" w:history="1">
        <w:r w:rsidR="001C04E0" w:rsidRPr="001C04E0">
          <w:rPr>
            <w:rStyle w:val="Hyperlink"/>
          </w:rPr>
          <w:t>https://str.com/data-insights-blog/global-hotel-industry-starts-2023-strong</w:t>
        </w:r>
      </w:hyperlink>
      <w:r w:rsidRPr="001C04E0">
        <w:t xml:space="preserve"> (Accessed: 13 October 2025).</w:t>
      </w:r>
    </w:p>
    <w:p w14:paraId="23140D59" w14:textId="77777777" w:rsidR="001C04E0" w:rsidRPr="001C04E0" w:rsidRDefault="00000000" w:rsidP="001C04E0">
      <w:r w:rsidRPr="001C04E0">
        <w:t xml:space="preserve">Table, 2023. </w:t>
      </w:r>
      <w:r w:rsidRPr="001C04E0">
        <w:rPr>
          <w:i/>
          <w:iCs/>
        </w:rPr>
        <w:t>The Ultimate Guide to Restaurant Table Turnover</w:t>
      </w:r>
      <w:r w:rsidRPr="001C04E0">
        <w:t xml:space="preserve">. TableIn. Available at: </w:t>
      </w:r>
      <w:hyperlink r:id="rId72" w:tgtFrame="_new" w:history="1">
        <w:r w:rsidR="001C04E0" w:rsidRPr="001C04E0">
          <w:rPr>
            <w:rStyle w:val="Hyperlink"/>
          </w:rPr>
          <w:t>https://www.tablein.com/blog/table-turnover-guide</w:t>
        </w:r>
      </w:hyperlink>
      <w:r w:rsidRPr="001C04E0">
        <w:t xml:space="preserve"> (Accessed: 13 October 2025).</w:t>
      </w:r>
    </w:p>
    <w:p w14:paraId="5350DF94" w14:textId="77777777" w:rsidR="001C04E0" w:rsidRPr="001C04E0" w:rsidRDefault="00000000" w:rsidP="001C04E0">
      <w:r w:rsidRPr="001C04E0">
        <w:t xml:space="preserve">TablesReady, 2025. </w:t>
      </w:r>
      <w:r w:rsidRPr="001C04E0">
        <w:rPr>
          <w:i/>
          <w:iCs/>
        </w:rPr>
        <w:t>Smart waitlist management &amp; scheduling</w:t>
      </w:r>
      <w:r w:rsidRPr="001C04E0">
        <w:t xml:space="preserve">. TablesReady. Available at: </w:t>
      </w:r>
      <w:hyperlink r:id="rId73" w:tgtFrame="_new" w:history="1">
        <w:r w:rsidR="001C04E0" w:rsidRPr="001C04E0">
          <w:rPr>
            <w:rStyle w:val="Hyperlink"/>
          </w:rPr>
          <w:t>https://www.tablesready.com/</w:t>
        </w:r>
      </w:hyperlink>
      <w:r w:rsidRPr="001C04E0">
        <w:t xml:space="preserve"> (Accessed: 13 October 2025).</w:t>
      </w:r>
    </w:p>
    <w:p w14:paraId="609E1F35" w14:textId="77777777" w:rsidR="001C04E0" w:rsidRPr="001C04E0" w:rsidRDefault="00000000" w:rsidP="001C04E0">
      <w:r w:rsidRPr="001C04E0">
        <w:t xml:space="preserve">Tax, S.S., Brown, S.W. and Chandrashekaran, M., 1998. Customer evaluations of service complaint experiences: Implications for relationship marketing. </w:t>
      </w:r>
      <w:r w:rsidRPr="001C04E0">
        <w:rPr>
          <w:i/>
          <w:iCs/>
        </w:rPr>
        <w:t>Journal of Marketing</w:t>
      </w:r>
      <w:r w:rsidRPr="001C04E0">
        <w:t xml:space="preserve">, 62(2), pp.60–76. Available at: </w:t>
      </w:r>
      <w:hyperlink r:id="rId74" w:tgtFrame="_new" w:history="1">
        <w:r w:rsidR="001C04E0" w:rsidRPr="001C04E0">
          <w:rPr>
            <w:rStyle w:val="Hyperlink"/>
          </w:rPr>
          <w:t>https://www.jstor.org/stable/1252167</w:t>
        </w:r>
      </w:hyperlink>
      <w:r w:rsidRPr="001C04E0">
        <w:t xml:space="preserve"> (Accessed: 13 October 2025).</w:t>
      </w:r>
    </w:p>
    <w:p w14:paraId="2D202A6B" w14:textId="77777777" w:rsidR="001C04E0" w:rsidRPr="001C04E0" w:rsidRDefault="00000000" w:rsidP="001C04E0">
      <w:r w:rsidRPr="001C04E0">
        <w:t xml:space="preserve">Toast (KDS), 2025. </w:t>
      </w:r>
      <w:r w:rsidRPr="001C04E0">
        <w:rPr>
          <w:i/>
          <w:iCs/>
        </w:rPr>
        <w:t>Kitchen Display Systems (KDS) product information and case studies</w:t>
      </w:r>
      <w:r w:rsidRPr="001C04E0">
        <w:t xml:space="preserve">. Toast POS. Available at: </w:t>
      </w:r>
      <w:hyperlink r:id="rId75" w:tgtFrame="_new" w:history="1">
        <w:r w:rsidR="001C04E0" w:rsidRPr="001C04E0">
          <w:rPr>
            <w:rStyle w:val="Hyperlink"/>
          </w:rPr>
          <w:t>https://pos.toasttab.com/hardware/kitchen-display-system</w:t>
        </w:r>
      </w:hyperlink>
      <w:r w:rsidRPr="001C04E0">
        <w:t xml:space="preserve"> (Accessed: 13 October 2025).</w:t>
      </w:r>
    </w:p>
    <w:p w14:paraId="46080F81" w14:textId="77777777" w:rsidR="001C04E0" w:rsidRPr="001C04E0" w:rsidRDefault="00000000" w:rsidP="001C04E0">
      <w:r w:rsidRPr="001C04E0">
        <w:t xml:space="preserve">TrustYou, 2023. </w:t>
      </w:r>
      <w:r w:rsidRPr="001C04E0">
        <w:rPr>
          <w:i/>
          <w:iCs/>
        </w:rPr>
        <w:t>Global hospitality statistics and guest experience platform</w:t>
      </w:r>
      <w:r w:rsidRPr="001C04E0">
        <w:t xml:space="preserve">. TrustYou. Available at: </w:t>
      </w:r>
      <w:hyperlink r:id="rId76" w:tgtFrame="_new" w:history="1">
        <w:r w:rsidR="001C04E0" w:rsidRPr="001C04E0">
          <w:rPr>
            <w:rStyle w:val="Hyperlink"/>
          </w:rPr>
          <w:t>https://www.trustyou.com/blog/insights/global-hospitality-statistics-2023/</w:t>
        </w:r>
      </w:hyperlink>
      <w:r w:rsidRPr="001C04E0">
        <w:t xml:space="preserve"> (Accessed: 13 October 2025).</w:t>
      </w:r>
    </w:p>
    <w:p w14:paraId="3E47B064" w14:textId="77777777" w:rsidR="001C04E0" w:rsidRPr="001C04E0" w:rsidRDefault="00000000" w:rsidP="001C04E0">
      <w:r w:rsidRPr="001C04E0">
        <w:t xml:space="preserve">TripAdvisor, 2025. </w:t>
      </w:r>
      <w:r w:rsidRPr="001C04E0">
        <w:rPr>
          <w:i/>
          <w:iCs/>
        </w:rPr>
        <w:t>IBIS London Barking — guest reviews (breakfast comments)</w:t>
      </w:r>
      <w:r w:rsidRPr="001C04E0">
        <w:t xml:space="preserve">. TripAdvisor. Available at: </w:t>
      </w:r>
      <w:hyperlink r:id="rId77" w:tgtFrame="_new" w:history="1">
        <w:r w:rsidR="001C04E0" w:rsidRPr="001C04E0">
          <w:rPr>
            <w:rStyle w:val="Hyperlink"/>
          </w:rPr>
          <w:t>https://www.tripadvisor.com/Hotel_Review-g503771-d191909-Reviews-Ibis_London_Barking-Barking_Barking_and_Dagenham_Greater_London_England.html</w:t>
        </w:r>
      </w:hyperlink>
      <w:r w:rsidRPr="001C04E0">
        <w:t xml:space="preserve"> (Accessed: 13 October 2025).</w:t>
      </w:r>
    </w:p>
    <w:p w14:paraId="5F46AEB7" w14:textId="77777777" w:rsidR="001C04E0" w:rsidRPr="001C04E0" w:rsidRDefault="00000000" w:rsidP="001C04E0">
      <w:r w:rsidRPr="001C04E0">
        <w:t xml:space="preserve">UKHospitality, 2024. </w:t>
      </w:r>
      <w:r w:rsidRPr="001C04E0">
        <w:rPr>
          <w:i/>
          <w:iCs/>
        </w:rPr>
        <w:t>Worker shortages — sector briefing</w:t>
      </w:r>
      <w:r w:rsidRPr="001C04E0">
        <w:t xml:space="preserve">. UKHospitality. Available at: </w:t>
      </w:r>
      <w:hyperlink r:id="rId78" w:tgtFrame="_new" w:history="1">
        <w:r w:rsidR="001C04E0" w:rsidRPr="001C04E0">
          <w:rPr>
            <w:rStyle w:val="Hyperlink"/>
          </w:rPr>
          <w:t>https://www.ukhospitality.org.uk/campaign/workforce/</w:t>
        </w:r>
      </w:hyperlink>
      <w:r w:rsidRPr="001C04E0">
        <w:t xml:space="preserve"> (Accessed: 13 October 2025).</w:t>
      </w:r>
    </w:p>
    <w:p w14:paraId="35A979C6" w14:textId="77777777" w:rsidR="001C04E0" w:rsidRPr="001C04E0" w:rsidRDefault="00000000" w:rsidP="001C04E0">
      <w:r w:rsidRPr="001C04E0">
        <w:t xml:space="preserve">Venkatesh, V., Morris, M.G., Davis, G.B. and Davis, F.D., 2003. User acceptance of information technology: Toward a unified view. </w:t>
      </w:r>
      <w:r w:rsidRPr="001C04E0">
        <w:rPr>
          <w:i/>
          <w:iCs/>
        </w:rPr>
        <w:t>MIS Quarterly</w:t>
      </w:r>
      <w:r w:rsidRPr="001C04E0">
        <w:t xml:space="preserve">, 27(3), pp.425–478. Available at: </w:t>
      </w:r>
      <w:hyperlink r:id="rId79" w:tgtFrame="_new" w:history="1">
        <w:r w:rsidR="001C04E0" w:rsidRPr="001C04E0">
          <w:rPr>
            <w:rStyle w:val="Hyperlink"/>
          </w:rPr>
          <w:t>https://www.jstor.org/stable/30036540</w:t>
        </w:r>
      </w:hyperlink>
      <w:r w:rsidRPr="001C04E0">
        <w:t xml:space="preserve"> (Accessed: 13 October 2025).</w:t>
      </w:r>
    </w:p>
    <w:p w14:paraId="41B16BDC" w14:textId="77777777" w:rsidR="001C04E0" w:rsidRPr="001C04E0" w:rsidRDefault="00000000" w:rsidP="001C04E0">
      <w:r w:rsidRPr="001C04E0">
        <w:t xml:space="preserve">WaiterOne, 2025. </w:t>
      </w:r>
      <w:r w:rsidRPr="001C04E0">
        <w:rPr>
          <w:i/>
          <w:iCs/>
        </w:rPr>
        <w:t>10 Key Benefits of Using Kitchen Display Systems (KDS)</w:t>
      </w:r>
      <w:r w:rsidRPr="001C04E0">
        <w:t xml:space="preserve">. WaiterOne. Available at: </w:t>
      </w:r>
      <w:hyperlink r:id="rId80" w:tgtFrame="_new" w:history="1">
        <w:r w:rsidR="001C04E0" w:rsidRPr="001C04E0">
          <w:rPr>
            <w:rStyle w:val="Hyperlink"/>
          </w:rPr>
          <w:t>https://www.waiterone.net/blog/2025/04/04/10-key-benefits-of-using-kitchen-display-systems-kds/</w:t>
        </w:r>
      </w:hyperlink>
      <w:r w:rsidRPr="001C04E0">
        <w:t xml:space="preserve"> (Accessed: 13 October 2025).</w:t>
      </w:r>
    </w:p>
    <w:p w14:paraId="4E83A2F9" w14:textId="77777777" w:rsidR="001C04E0" w:rsidRPr="001C04E0" w:rsidRDefault="00000000" w:rsidP="001C04E0">
      <w:r w:rsidRPr="001C04E0">
        <w:lastRenderedPageBreak/>
        <w:t xml:space="preserve">Waitwhile, 2025. </w:t>
      </w:r>
      <w:r w:rsidRPr="001C04E0">
        <w:rPr>
          <w:i/>
          <w:iCs/>
        </w:rPr>
        <w:t>Queue Management System Benefits &amp; Case Studies</w:t>
      </w:r>
      <w:r w:rsidRPr="001C04E0">
        <w:t xml:space="preserve">. Waitwhile. Available at: </w:t>
      </w:r>
      <w:hyperlink r:id="rId81" w:tgtFrame="_new" w:history="1">
        <w:r w:rsidR="001C04E0" w:rsidRPr="001C04E0">
          <w:rPr>
            <w:rStyle w:val="Hyperlink"/>
          </w:rPr>
          <w:t>https://waitwhile.com/blog/queue-management-system-benefits/</w:t>
        </w:r>
      </w:hyperlink>
      <w:r w:rsidRPr="001C04E0">
        <w:t xml:space="preserve"> (Accessed: 13 October 2025).</w:t>
      </w:r>
    </w:p>
    <w:p w14:paraId="2B10124F" w14:textId="77777777" w:rsidR="001C04E0" w:rsidRPr="001C04E0" w:rsidRDefault="00000000" w:rsidP="001C04E0">
      <w:r w:rsidRPr="001C04E0">
        <w:t xml:space="preserve">Wickham, R.J., 2019. Secondary analysis research. </w:t>
      </w:r>
      <w:r w:rsidRPr="001C04E0">
        <w:rPr>
          <w:i/>
          <w:iCs/>
        </w:rPr>
        <w:t>BMJ Open</w:t>
      </w:r>
      <w:r w:rsidRPr="001C04E0">
        <w:t xml:space="preserve"> (discussion and guidance). Available at: </w:t>
      </w:r>
      <w:hyperlink r:id="rId82" w:tgtFrame="_new" w:history="1">
        <w:r w:rsidR="001C04E0" w:rsidRPr="001C04E0">
          <w:rPr>
            <w:rStyle w:val="Hyperlink"/>
          </w:rPr>
          <w:t>https://www.ncbi.nlm.nih.gov/pmc/articles/PMC7520737/</w:t>
        </w:r>
      </w:hyperlink>
      <w:r w:rsidRPr="001C04E0">
        <w:t xml:space="preserve"> (Accessed: 13 October 2025).</w:t>
      </w:r>
    </w:p>
    <w:p w14:paraId="229B3119" w14:textId="77777777" w:rsidR="001C04E0" w:rsidRPr="001C04E0" w:rsidRDefault="00000000" w:rsidP="001C04E0">
      <w:r w:rsidRPr="001C04E0">
        <w:t xml:space="preserve">Winnow Solutions, 2024. </w:t>
      </w:r>
      <w:r w:rsidRPr="001C04E0">
        <w:rPr>
          <w:i/>
          <w:iCs/>
        </w:rPr>
        <w:t>Hilton Green Breakfast — case study (food waste &amp; kitchen optimisation)</w:t>
      </w:r>
      <w:r w:rsidRPr="001C04E0">
        <w:t xml:space="preserve">. Winnow Solutions. Available at: </w:t>
      </w:r>
      <w:hyperlink r:id="rId83" w:tgtFrame="_new" w:history="1">
        <w:r w:rsidR="001C04E0" w:rsidRPr="001C04E0">
          <w:rPr>
            <w:rStyle w:val="Hyperlink"/>
          </w:rPr>
          <w:t>https://www.winnowsolutions.com/hubfs/2024/Case%20Studies/Hilton%20Green%20Breakfast%20Case%20Study%20.pdf?hsLang=en</w:t>
        </w:r>
      </w:hyperlink>
      <w:r w:rsidRPr="001C04E0">
        <w:t xml:space="preserve"> (Accessed: 13 October 2025).</w:t>
      </w:r>
    </w:p>
    <w:p w14:paraId="36B7621A" w14:textId="77777777" w:rsidR="001C04E0" w:rsidRPr="001C04E0" w:rsidRDefault="00000000" w:rsidP="001C04E0">
      <w:r w:rsidRPr="001C04E0">
        <w:t xml:space="preserve">Womack, J.P. and Jones, D.T., 1996. </w:t>
      </w:r>
      <w:r w:rsidRPr="001C04E0">
        <w:rPr>
          <w:i/>
          <w:iCs/>
        </w:rPr>
        <w:t>Lean Thinking: Banish Waste and Create Wealth in Your Corporation.</w:t>
      </w:r>
      <w:r w:rsidRPr="001C04E0">
        <w:t xml:space="preserve"> Simon &amp; Schuster. Available at: </w:t>
      </w:r>
      <w:hyperlink r:id="rId84" w:tgtFrame="_new" w:history="1">
        <w:r w:rsidR="001C04E0" w:rsidRPr="001C04E0">
          <w:rPr>
            <w:rStyle w:val="Hyperlink"/>
          </w:rPr>
          <w:t>https://www.simonsays.com/product/Lean-Thinking/</w:t>
        </w:r>
      </w:hyperlink>
      <w:r w:rsidRPr="001C04E0">
        <w:t xml:space="preserve"> (Accessed: 13 October 2025).</w:t>
      </w:r>
    </w:p>
    <w:p w14:paraId="343B4701" w14:textId="77777777" w:rsidR="001C04E0" w:rsidRPr="001C04E0" w:rsidRDefault="00000000" w:rsidP="001C04E0">
      <w:r w:rsidRPr="001C04E0">
        <w:t xml:space="preserve">World Travel &amp; Tourism Council (WTTC), 2023. </w:t>
      </w:r>
      <w:r w:rsidRPr="001C04E0">
        <w:rPr>
          <w:i/>
          <w:iCs/>
        </w:rPr>
        <w:t>Economic Impact Report 2023</w:t>
      </w:r>
      <w:r w:rsidRPr="001C04E0">
        <w:t xml:space="preserve">. WTTC. Available at: </w:t>
      </w:r>
      <w:hyperlink r:id="rId85" w:tgtFrame="_new" w:history="1">
        <w:r w:rsidR="001C04E0" w:rsidRPr="001C04E0">
          <w:rPr>
            <w:rStyle w:val="Hyperlink"/>
          </w:rPr>
          <w:t>https://wttc.org/Research/Economic-Impact</w:t>
        </w:r>
      </w:hyperlink>
      <w:r w:rsidRPr="001C04E0">
        <w:t xml:space="preserve"> (Accessed: 13 October 2025).</w:t>
      </w:r>
    </w:p>
    <w:p w14:paraId="611FB6BF" w14:textId="77777777" w:rsidR="001C04E0" w:rsidRPr="001C04E0" w:rsidRDefault="00000000" w:rsidP="001C04E0">
      <w:r w:rsidRPr="00C936B5">
        <w:rPr>
          <w:lang w:val="de-DE"/>
        </w:rPr>
        <w:t xml:space="preserve">Xiang, Z., Du, Q., Ma, Y. and Fan, W., 2017. </w:t>
      </w:r>
      <w:r w:rsidRPr="001C04E0">
        <w:t xml:space="preserve">A comparative analysis of major online review platforms: Implications for hospitality research. </w:t>
      </w:r>
      <w:r w:rsidRPr="001C04E0">
        <w:rPr>
          <w:i/>
          <w:iCs/>
        </w:rPr>
        <w:t>International Journal of Hospitality Management</w:t>
      </w:r>
      <w:r w:rsidRPr="001C04E0">
        <w:t xml:space="preserve">, 62, pp.29–39. Available at: </w:t>
      </w:r>
      <w:hyperlink r:id="rId86" w:tgtFrame="_new" w:history="1">
        <w:r w:rsidR="001C04E0" w:rsidRPr="001C04E0">
          <w:rPr>
            <w:rStyle w:val="Hyperlink"/>
          </w:rPr>
          <w:t>https://doi.org/10.1016/j.ijhm.2016.12.001</w:t>
        </w:r>
      </w:hyperlink>
      <w:r w:rsidRPr="001C04E0">
        <w:t xml:space="preserve"> (Accessed: 13 October 2025).</w:t>
      </w:r>
    </w:p>
    <w:p w14:paraId="18B29EDF" w14:textId="77777777" w:rsidR="001C04E0" w:rsidRPr="001C04E0" w:rsidRDefault="00000000" w:rsidP="001C04E0">
      <w:r w:rsidRPr="001C04E0">
        <w:t xml:space="preserve">Ye, H., 2022. A review of robotic applications in hospitality and tourism research. </w:t>
      </w:r>
      <w:r w:rsidRPr="001C04E0">
        <w:rPr>
          <w:i/>
          <w:iCs/>
        </w:rPr>
        <w:t>Sustainability</w:t>
      </w:r>
      <w:r w:rsidRPr="001C04E0">
        <w:t xml:space="preserve">, 14(17), 10827. Available at: </w:t>
      </w:r>
      <w:hyperlink r:id="rId87" w:tgtFrame="_new" w:history="1">
        <w:r w:rsidR="001C04E0" w:rsidRPr="001C04E0">
          <w:rPr>
            <w:rStyle w:val="Hyperlink"/>
          </w:rPr>
          <w:t>https://www.mdpi.com/2071-1050/14/17/10827</w:t>
        </w:r>
      </w:hyperlink>
      <w:r w:rsidRPr="001C04E0">
        <w:t xml:space="preserve"> (Accessed: 13 October 2025).</w:t>
      </w:r>
    </w:p>
    <w:p w14:paraId="1785908E" w14:textId="77777777" w:rsidR="001C04E0" w:rsidRPr="001C04E0" w:rsidRDefault="00000000" w:rsidP="001C04E0">
      <w:r w:rsidRPr="001C04E0">
        <w:t xml:space="preserve">Yüksel, I., 2012. Developing a multi-criteria decision-making model for PESTEL analysis. </w:t>
      </w:r>
      <w:r w:rsidRPr="001C04E0">
        <w:rPr>
          <w:i/>
          <w:iCs/>
        </w:rPr>
        <w:t>International Journal of Business and Management</w:t>
      </w:r>
      <w:r w:rsidRPr="001C04E0">
        <w:t xml:space="preserve">, 7(24), pp.52–66. Available at: </w:t>
      </w:r>
      <w:hyperlink r:id="rId88" w:tgtFrame="_new" w:history="1">
        <w:r w:rsidR="001C04E0" w:rsidRPr="001C04E0">
          <w:rPr>
            <w:rStyle w:val="Hyperlink"/>
          </w:rPr>
          <w:t>https://www.researchgate.net/publication/288987710_Developing_a_multi-criteria_decision_making_model_for_PESTEL_analysis</w:t>
        </w:r>
      </w:hyperlink>
      <w:r w:rsidRPr="001C04E0">
        <w:t xml:space="preserve"> (Accessed: 13 October 2025).</w:t>
      </w:r>
    </w:p>
    <w:p w14:paraId="7A074C42" w14:textId="77777777" w:rsidR="002722B4" w:rsidRPr="001C04E0" w:rsidRDefault="002722B4" w:rsidP="001C04E0"/>
    <w:sectPr w:rsidR="002722B4" w:rsidRPr="001C04E0" w:rsidSect="00ED2ABE">
      <w:footerReference w:type="even" r:id="rId89"/>
      <w:footerReference w:type="default" r:id="rId9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A4D010" w14:textId="77777777" w:rsidR="00183CCF" w:rsidRDefault="00183CCF">
      <w:pPr>
        <w:spacing w:line="240" w:lineRule="auto"/>
      </w:pPr>
      <w:r>
        <w:separator/>
      </w:r>
    </w:p>
  </w:endnote>
  <w:endnote w:type="continuationSeparator" w:id="0">
    <w:p w14:paraId="3DEC12C5" w14:textId="77777777" w:rsidR="00183CCF" w:rsidRDefault="00183C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74089283"/>
      <w:docPartObj>
        <w:docPartGallery w:val="Page Numbers (Bottom of Page)"/>
        <w:docPartUnique/>
      </w:docPartObj>
    </w:sdtPr>
    <w:sdtContent>
      <w:p w14:paraId="177C1DA3" w14:textId="77777777" w:rsidR="00ED2ABE" w:rsidRDefault="00000000" w:rsidP="004674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F89A220" w14:textId="77777777" w:rsidR="00ED2ABE" w:rsidRDefault="00ED2ABE" w:rsidP="00ED2AB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32196440"/>
      <w:docPartObj>
        <w:docPartGallery w:val="Page Numbers (Bottom of Page)"/>
        <w:docPartUnique/>
      </w:docPartObj>
    </w:sdtPr>
    <w:sdtContent>
      <w:p w14:paraId="3979AEE4" w14:textId="77777777" w:rsidR="00ED2ABE" w:rsidRDefault="00000000" w:rsidP="004674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C372F95" w14:textId="77777777" w:rsidR="00ED2ABE" w:rsidRDefault="00ED2ABE" w:rsidP="00ED2AB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29B919" w14:textId="77777777" w:rsidR="00183CCF" w:rsidRDefault="00183CCF">
      <w:pPr>
        <w:spacing w:line="240" w:lineRule="auto"/>
      </w:pPr>
      <w:r>
        <w:separator/>
      </w:r>
    </w:p>
  </w:footnote>
  <w:footnote w:type="continuationSeparator" w:id="0">
    <w:p w14:paraId="52DAB092" w14:textId="77777777" w:rsidR="00183CCF" w:rsidRDefault="00183CC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F36C4"/>
    <w:multiLevelType w:val="hybridMultilevel"/>
    <w:tmpl w:val="4C9C83F0"/>
    <w:lvl w:ilvl="0" w:tplc="F9C80D0A">
      <w:numFmt w:val="bullet"/>
      <w:lvlText w:val="•"/>
      <w:lvlJc w:val="left"/>
      <w:pPr>
        <w:ind w:left="360" w:hanging="360"/>
      </w:pPr>
      <w:rPr>
        <w:rFonts w:ascii="Times New Roman" w:eastAsiaTheme="minorHAnsi" w:hAnsi="Times New Roman" w:cs="Times New Roman" w:hint="default"/>
      </w:rPr>
    </w:lvl>
    <w:lvl w:ilvl="1" w:tplc="81762F98" w:tentative="1">
      <w:start w:val="1"/>
      <w:numFmt w:val="bullet"/>
      <w:lvlText w:val="o"/>
      <w:lvlJc w:val="left"/>
      <w:pPr>
        <w:ind w:left="1080" w:hanging="360"/>
      </w:pPr>
      <w:rPr>
        <w:rFonts w:ascii="Courier New" w:hAnsi="Courier New" w:cs="Courier New" w:hint="default"/>
      </w:rPr>
    </w:lvl>
    <w:lvl w:ilvl="2" w:tplc="1E96E35A" w:tentative="1">
      <w:start w:val="1"/>
      <w:numFmt w:val="bullet"/>
      <w:lvlText w:val=""/>
      <w:lvlJc w:val="left"/>
      <w:pPr>
        <w:ind w:left="1800" w:hanging="360"/>
      </w:pPr>
      <w:rPr>
        <w:rFonts w:ascii="Wingdings" w:hAnsi="Wingdings" w:hint="default"/>
      </w:rPr>
    </w:lvl>
    <w:lvl w:ilvl="3" w:tplc="874869AE" w:tentative="1">
      <w:start w:val="1"/>
      <w:numFmt w:val="bullet"/>
      <w:lvlText w:val=""/>
      <w:lvlJc w:val="left"/>
      <w:pPr>
        <w:ind w:left="2520" w:hanging="360"/>
      </w:pPr>
      <w:rPr>
        <w:rFonts w:ascii="Symbol" w:hAnsi="Symbol" w:hint="default"/>
      </w:rPr>
    </w:lvl>
    <w:lvl w:ilvl="4" w:tplc="B96CD73A" w:tentative="1">
      <w:start w:val="1"/>
      <w:numFmt w:val="bullet"/>
      <w:lvlText w:val="o"/>
      <w:lvlJc w:val="left"/>
      <w:pPr>
        <w:ind w:left="3240" w:hanging="360"/>
      </w:pPr>
      <w:rPr>
        <w:rFonts w:ascii="Courier New" w:hAnsi="Courier New" w:cs="Courier New" w:hint="default"/>
      </w:rPr>
    </w:lvl>
    <w:lvl w:ilvl="5" w:tplc="6D803A46" w:tentative="1">
      <w:start w:val="1"/>
      <w:numFmt w:val="bullet"/>
      <w:lvlText w:val=""/>
      <w:lvlJc w:val="left"/>
      <w:pPr>
        <w:ind w:left="3960" w:hanging="360"/>
      </w:pPr>
      <w:rPr>
        <w:rFonts w:ascii="Wingdings" w:hAnsi="Wingdings" w:hint="default"/>
      </w:rPr>
    </w:lvl>
    <w:lvl w:ilvl="6" w:tplc="1DB4CF7C" w:tentative="1">
      <w:start w:val="1"/>
      <w:numFmt w:val="bullet"/>
      <w:lvlText w:val=""/>
      <w:lvlJc w:val="left"/>
      <w:pPr>
        <w:ind w:left="4680" w:hanging="360"/>
      </w:pPr>
      <w:rPr>
        <w:rFonts w:ascii="Symbol" w:hAnsi="Symbol" w:hint="default"/>
      </w:rPr>
    </w:lvl>
    <w:lvl w:ilvl="7" w:tplc="423A2C22" w:tentative="1">
      <w:start w:val="1"/>
      <w:numFmt w:val="bullet"/>
      <w:lvlText w:val="o"/>
      <w:lvlJc w:val="left"/>
      <w:pPr>
        <w:ind w:left="5400" w:hanging="360"/>
      </w:pPr>
      <w:rPr>
        <w:rFonts w:ascii="Courier New" w:hAnsi="Courier New" w:cs="Courier New" w:hint="default"/>
      </w:rPr>
    </w:lvl>
    <w:lvl w:ilvl="8" w:tplc="82543AD8" w:tentative="1">
      <w:start w:val="1"/>
      <w:numFmt w:val="bullet"/>
      <w:lvlText w:val=""/>
      <w:lvlJc w:val="left"/>
      <w:pPr>
        <w:ind w:left="6120" w:hanging="360"/>
      </w:pPr>
      <w:rPr>
        <w:rFonts w:ascii="Wingdings" w:hAnsi="Wingdings" w:hint="default"/>
      </w:rPr>
    </w:lvl>
  </w:abstractNum>
  <w:abstractNum w:abstractNumId="1" w15:restartNumberingAfterBreak="0">
    <w:nsid w:val="069F1F96"/>
    <w:multiLevelType w:val="hybridMultilevel"/>
    <w:tmpl w:val="D94E2506"/>
    <w:lvl w:ilvl="0" w:tplc="CD8029D0">
      <w:start w:val="1"/>
      <w:numFmt w:val="decimal"/>
      <w:lvlText w:val="%1."/>
      <w:lvlJc w:val="left"/>
      <w:pPr>
        <w:ind w:left="360" w:hanging="360"/>
      </w:pPr>
    </w:lvl>
    <w:lvl w:ilvl="1" w:tplc="9C4A5722" w:tentative="1">
      <w:start w:val="1"/>
      <w:numFmt w:val="lowerLetter"/>
      <w:lvlText w:val="%2."/>
      <w:lvlJc w:val="left"/>
      <w:pPr>
        <w:ind w:left="1080" w:hanging="360"/>
      </w:pPr>
    </w:lvl>
    <w:lvl w:ilvl="2" w:tplc="4FF6FD1C" w:tentative="1">
      <w:start w:val="1"/>
      <w:numFmt w:val="lowerRoman"/>
      <w:lvlText w:val="%3."/>
      <w:lvlJc w:val="right"/>
      <w:pPr>
        <w:ind w:left="1800" w:hanging="180"/>
      </w:pPr>
    </w:lvl>
    <w:lvl w:ilvl="3" w:tplc="A596FFF0" w:tentative="1">
      <w:start w:val="1"/>
      <w:numFmt w:val="decimal"/>
      <w:lvlText w:val="%4."/>
      <w:lvlJc w:val="left"/>
      <w:pPr>
        <w:ind w:left="2520" w:hanging="360"/>
      </w:pPr>
    </w:lvl>
    <w:lvl w:ilvl="4" w:tplc="5A528936" w:tentative="1">
      <w:start w:val="1"/>
      <w:numFmt w:val="lowerLetter"/>
      <w:lvlText w:val="%5."/>
      <w:lvlJc w:val="left"/>
      <w:pPr>
        <w:ind w:left="3240" w:hanging="360"/>
      </w:pPr>
    </w:lvl>
    <w:lvl w:ilvl="5" w:tplc="6A0A6D58" w:tentative="1">
      <w:start w:val="1"/>
      <w:numFmt w:val="lowerRoman"/>
      <w:lvlText w:val="%6."/>
      <w:lvlJc w:val="right"/>
      <w:pPr>
        <w:ind w:left="3960" w:hanging="180"/>
      </w:pPr>
    </w:lvl>
    <w:lvl w:ilvl="6" w:tplc="5216A956" w:tentative="1">
      <w:start w:val="1"/>
      <w:numFmt w:val="decimal"/>
      <w:lvlText w:val="%7."/>
      <w:lvlJc w:val="left"/>
      <w:pPr>
        <w:ind w:left="4680" w:hanging="360"/>
      </w:pPr>
    </w:lvl>
    <w:lvl w:ilvl="7" w:tplc="C84C9D64" w:tentative="1">
      <w:start w:val="1"/>
      <w:numFmt w:val="lowerLetter"/>
      <w:lvlText w:val="%8."/>
      <w:lvlJc w:val="left"/>
      <w:pPr>
        <w:ind w:left="5400" w:hanging="360"/>
      </w:pPr>
    </w:lvl>
    <w:lvl w:ilvl="8" w:tplc="80C22856" w:tentative="1">
      <w:start w:val="1"/>
      <w:numFmt w:val="lowerRoman"/>
      <w:lvlText w:val="%9."/>
      <w:lvlJc w:val="right"/>
      <w:pPr>
        <w:ind w:left="6120" w:hanging="180"/>
      </w:pPr>
    </w:lvl>
  </w:abstractNum>
  <w:abstractNum w:abstractNumId="2" w15:restartNumberingAfterBreak="0">
    <w:nsid w:val="20940EF1"/>
    <w:multiLevelType w:val="multilevel"/>
    <w:tmpl w:val="E79E5C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9D6C02"/>
    <w:multiLevelType w:val="multilevel"/>
    <w:tmpl w:val="8AE6424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E301BF7"/>
    <w:multiLevelType w:val="multilevel"/>
    <w:tmpl w:val="140A3E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3E6206"/>
    <w:multiLevelType w:val="multilevel"/>
    <w:tmpl w:val="A9F22BE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40F40C75"/>
    <w:multiLevelType w:val="multilevel"/>
    <w:tmpl w:val="1340C86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9563A84"/>
    <w:multiLevelType w:val="multilevel"/>
    <w:tmpl w:val="521A28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D1312D"/>
    <w:multiLevelType w:val="multilevel"/>
    <w:tmpl w:val="7F649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EB7796"/>
    <w:multiLevelType w:val="hybridMultilevel"/>
    <w:tmpl w:val="F2A2F07A"/>
    <w:lvl w:ilvl="0" w:tplc="BB1A6074">
      <w:start w:val="1"/>
      <w:numFmt w:val="bullet"/>
      <w:lvlText w:val=""/>
      <w:lvlJc w:val="left"/>
      <w:pPr>
        <w:ind w:left="720" w:hanging="360"/>
      </w:pPr>
      <w:rPr>
        <w:rFonts w:ascii="Symbol" w:hAnsi="Symbol" w:hint="default"/>
      </w:rPr>
    </w:lvl>
    <w:lvl w:ilvl="1" w:tplc="C50AB72C" w:tentative="1">
      <w:start w:val="1"/>
      <w:numFmt w:val="bullet"/>
      <w:lvlText w:val="o"/>
      <w:lvlJc w:val="left"/>
      <w:pPr>
        <w:ind w:left="1440" w:hanging="360"/>
      </w:pPr>
      <w:rPr>
        <w:rFonts w:ascii="Courier New" w:hAnsi="Courier New" w:cs="Courier New" w:hint="default"/>
      </w:rPr>
    </w:lvl>
    <w:lvl w:ilvl="2" w:tplc="ACC6BBAC" w:tentative="1">
      <w:start w:val="1"/>
      <w:numFmt w:val="bullet"/>
      <w:lvlText w:val=""/>
      <w:lvlJc w:val="left"/>
      <w:pPr>
        <w:ind w:left="2160" w:hanging="360"/>
      </w:pPr>
      <w:rPr>
        <w:rFonts w:ascii="Wingdings" w:hAnsi="Wingdings" w:hint="default"/>
      </w:rPr>
    </w:lvl>
    <w:lvl w:ilvl="3" w:tplc="4FC817C4" w:tentative="1">
      <w:start w:val="1"/>
      <w:numFmt w:val="bullet"/>
      <w:lvlText w:val=""/>
      <w:lvlJc w:val="left"/>
      <w:pPr>
        <w:ind w:left="2880" w:hanging="360"/>
      </w:pPr>
      <w:rPr>
        <w:rFonts w:ascii="Symbol" w:hAnsi="Symbol" w:hint="default"/>
      </w:rPr>
    </w:lvl>
    <w:lvl w:ilvl="4" w:tplc="2A74F6F0" w:tentative="1">
      <w:start w:val="1"/>
      <w:numFmt w:val="bullet"/>
      <w:lvlText w:val="o"/>
      <w:lvlJc w:val="left"/>
      <w:pPr>
        <w:ind w:left="3600" w:hanging="360"/>
      </w:pPr>
      <w:rPr>
        <w:rFonts w:ascii="Courier New" w:hAnsi="Courier New" w:cs="Courier New" w:hint="default"/>
      </w:rPr>
    </w:lvl>
    <w:lvl w:ilvl="5" w:tplc="F5789400" w:tentative="1">
      <w:start w:val="1"/>
      <w:numFmt w:val="bullet"/>
      <w:lvlText w:val=""/>
      <w:lvlJc w:val="left"/>
      <w:pPr>
        <w:ind w:left="4320" w:hanging="360"/>
      </w:pPr>
      <w:rPr>
        <w:rFonts w:ascii="Wingdings" w:hAnsi="Wingdings" w:hint="default"/>
      </w:rPr>
    </w:lvl>
    <w:lvl w:ilvl="6" w:tplc="5400E5C2" w:tentative="1">
      <w:start w:val="1"/>
      <w:numFmt w:val="bullet"/>
      <w:lvlText w:val=""/>
      <w:lvlJc w:val="left"/>
      <w:pPr>
        <w:ind w:left="5040" w:hanging="360"/>
      </w:pPr>
      <w:rPr>
        <w:rFonts w:ascii="Symbol" w:hAnsi="Symbol" w:hint="default"/>
      </w:rPr>
    </w:lvl>
    <w:lvl w:ilvl="7" w:tplc="E1565FCE" w:tentative="1">
      <w:start w:val="1"/>
      <w:numFmt w:val="bullet"/>
      <w:lvlText w:val="o"/>
      <w:lvlJc w:val="left"/>
      <w:pPr>
        <w:ind w:left="5760" w:hanging="360"/>
      </w:pPr>
      <w:rPr>
        <w:rFonts w:ascii="Courier New" w:hAnsi="Courier New" w:cs="Courier New" w:hint="default"/>
      </w:rPr>
    </w:lvl>
    <w:lvl w:ilvl="8" w:tplc="EA8E0EEA" w:tentative="1">
      <w:start w:val="1"/>
      <w:numFmt w:val="bullet"/>
      <w:lvlText w:val=""/>
      <w:lvlJc w:val="left"/>
      <w:pPr>
        <w:ind w:left="6480" w:hanging="360"/>
      </w:pPr>
      <w:rPr>
        <w:rFonts w:ascii="Wingdings" w:hAnsi="Wingdings" w:hint="default"/>
      </w:rPr>
    </w:lvl>
  </w:abstractNum>
  <w:abstractNum w:abstractNumId="10" w15:restartNumberingAfterBreak="0">
    <w:nsid w:val="52DD2F31"/>
    <w:multiLevelType w:val="multilevel"/>
    <w:tmpl w:val="319235E6"/>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91D029D"/>
    <w:multiLevelType w:val="multilevel"/>
    <w:tmpl w:val="F5E86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6CF40D7"/>
    <w:multiLevelType w:val="multilevel"/>
    <w:tmpl w:val="693ED0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5006323">
    <w:abstractNumId w:val="3"/>
  </w:num>
  <w:num w:numId="2" w16cid:durableId="842627044">
    <w:abstractNumId w:val="4"/>
  </w:num>
  <w:num w:numId="3" w16cid:durableId="1138064380">
    <w:abstractNumId w:val="6"/>
  </w:num>
  <w:num w:numId="4" w16cid:durableId="1903103177">
    <w:abstractNumId w:val="7"/>
  </w:num>
  <w:num w:numId="5" w16cid:durableId="1371151186">
    <w:abstractNumId w:val="2"/>
  </w:num>
  <w:num w:numId="6" w16cid:durableId="478347645">
    <w:abstractNumId w:val="11"/>
  </w:num>
  <w:num w:numId="7" w16cid:durableId="1271739568">
    <w:abstractNumId w:val="8"/>
  </w:num>
  <w:num w:numId="8" w16cid:durableId="317150276">
    <w:abstractNumId w:val="12"/>
  </w:num>
  <w:num w:numId="9" w16cid:durableId="1880119428">
    <w:abstractNumId w:val="1"/>
  </w:num>
  <w:num w:numId="10" w16cid:durableId="700856839">
    <w:abstractNumId w:val="9"/>
  </w:num>
  <w:num w:numId="11" w16cid:durableId="1474445990">
    <w:abstractNumId w:val="0"/>
  </w:num>
  <w:num w:numId="12" w16cid:durableId="1774591445">
    <w:abstractNumId w:val="5"/>
  </w:num>
  <w:num w:numId="13" w16cid:durableId="9544527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7C0"/>
    <w:rsid w:val="00065225"/>
    <w:rsid w:val="000D1E06"/>
    <w:rsid w:val="0011048A"/>
    <w:rsid w:val="001200C3"/>
    <w:rsid w:val="00183CCF"/>
    <w:rsid w:val="00185BB4"/>
    <w:rsid w:val="001C04E0"/>
    <w:rsid w:val="00203E97"/>
    <w:rsid w:val="00246D80"/>
    <w:rsid w:val="002703E5"/>
    <w:rsid w:val="002722B4"/>
    <w:rsid w:val="002917AB"/>
    <w:rsid w:val="002F4F3A"/>
    <w:rsid w:val="003A6434"/>
    <w:rsid w:val="003C4C30"/>
    <w:rsid w:val="003C528D"/>
    <w:rsid w:val="0046746A"/>
    <w:rsid w:val="00467A98"/>
    <w:rsid w:val="005523BA"/>
    <w:rsid w:val="00646239"/>
    <w:rsid w:val="006C2A92"/>
    <w:rsid w:val="00772430"/>
    <w:rsid w:val="007B6F5E"/>
    <w:rsid w:val="008077C0"/>
    <w:rsid w:val="00813AB3"/>
    <w:rsid w:val="008408EB"/>
    <w:rsid w:val="008A3256"/>
    <w:rsid w:val="00940C1C"/>
    <w:rsid w:val="00983AB8"/>
    <w:rsid w:val="00986A4D"/>
    <w:rsid w:val="009A4043"/>
    <w:rsid w:val="009C750D"/>
    <w:rsid w:val="00A76417"/>
    <w:rsid w:val="00B233FF"/>
    <w:rsid w:val="00B2525A"/>
    <w:rsid w:val="00B868ED"/>
    <w:rsid w:val="00C45155"/>
    <w:rsid w:val="00C47554"/>
    <w:rsid w:val="00C936B5"/>
    <w:rsid w:val="00D57C96"/>
    <w:rsid w:val="00D842BB"/>
    <w:rsid w:val="00DC3D9D"/>
    <w:rsid w:val="00E46548"/>
    <w:rsid w:val="00E7015B"/>
    <w:rsid w:val="00EB6076"/>
    <w:rsid w:val="00ED2ABE"/>
    <w:rsid w:val="00F61AAA"/>
    <w:rsid w:val="00FD2C01"/>
    <w:rsid w:val="00FE3904"/>
  </w:rsids>
  <m:mathPr>
    <m:mathFont m:val="Cambria Math"/>
    <m:brkBin m:val="before"/>
    <m:brkBinSub m:val="--"/>
    <m:smallFrac m:val="0"/>
    <m:dispDef/>
    <m:lMargin m:val="0"/>
    <m:rMargin m:val="0"/>
    <m:defJc m:val="centerGroup"/>
    <m:wrapIndent m:val="1440"/>
    <m:intLim m:val="subSup"/>
    <m:naryLim m:val="undOvr"/>
  </m:mathPr>
  <w:themeFontLang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97EB1"/>
  <w15:chartTrackingRefBased/>
  <w15:docId w15:val="{5F75020F-000D-B543-BF2A-09CF29191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 w:eastAsia="en-US" w:bidi="bn-IN"/>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2430"/>
    <w:rPr>
      <w:rFonts w:ascii="Times New Roman" w:hAnsi="Times New Roman" w:cs="Vrinda"/>
      <w:lang w:val="en-GB"/>
    </w:rPr>
  </w:style>
  <w:style w:type="paragraph" w:styleId="Heading1">
    <w:name w:val="heading 1"/>
    <w:basedOn w:val="Normal"/>
    <w:next w:val="Normal"/>
    <w:link w:val="Heading1Char"/>
    <w:autoRedefine/>
    <w:uiPriority w:val="9"/>
    <w:qFormat/>
    <w:rsid w:val="00185BB4"/>
    <w:pPr>
      <w:keepNext/>
      <w:keepLines/>
      <w:spacing w:before="24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autoRedefine/>
    <w:uiPriority w:val="9"/>
    <w:unhideWhenUsed/>
    <w:qFormat/>
    <w:rsid w:val="00EB6076"/>
    <w:pPr>
      <w:keepNext/>
      <w:keepLines/>
      <w:spacing w:before="40"/>
      <w:outlineLvl w:val="1"/>
    </w:pPr>
    <w:rPr>
      <w:rFonts w:eastAsiaTheme="majorEastAsia" w:cstheme="majorBidi"/>
      <w:b/>
      <w:sz w:val="30"/>
      <w:szCs w:val="33"/>
    </w:rPr>
  </w:style>
  <w:style w:type="paragraph" w:styleId="Heading3">
    <w:name w:val="heading 3"/>
    <w:basedOn w:val="Normal"/>
    <w:next w:val="Normal"/>
    <w:link w:val="Heading3Char"/>
    <w:autoRedefine/>
    <w:uiPriority w:val="9"/>
    <w:unhideWhenUsed/>
    <w:qFormat/>
    <w:rsid w:val="00B233FF"/>
    <w:pPr>
      <w:keepNext/>
      <w:keepLines/>
      <w:spacing w:before="40"/>
      <w:outlineLvl w:val="2"/>
    </w:pPr>
    <w:rPr>
      <w:rFonts w:eastAsiaTheme="majorEastAsia" w:cstheme="majorBidi"/>
      <w:b/>
      <w:sz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utoRedefine/>
    <w:uiPriority w:val="1"/>
    <w:qFormat/>
    <w:rsid w:val="00185BB4"/>
    <w:rPr>
      <w:rFonts w:ascii="Times New Roman" w:hAnsi="Times New Roman" w:cs="Vrinda"/>
      <w:color w:val="2F5496" w:themeColor="accent1" w:themeShade="BF"/>
      <w:sz w:val="32"/>
    </w:rPr>
  </w:style>
  <w:style w:type="character" w:customStyle="1" w:styleId="Heading1Char">
    <w:name w:val="Heading 1 Char"/>
    <w:basedOn w:val="DefaultParagraphFont"/>
    <w:link w:val="Heading1"/>
    <w:uiPriority w:val="9"/>
    <w:rsid w:val="00185BB4"/>
    <w:rPr>
      <w:rFonts w:ascii="Times New Roman" w:eastAsiaTheme="majorEastAsia" w:hAnsi="Times New Roman" w:cstheme="majorBidi"/>
      <w:b/>
      <w:color w:val="2F5496" w:themeColor="accent1" w:themeShade="BF"/>
      <w:sz w:val="32"/>
      <w:szCs w:val="40"/>
    </w:rPr>
  </w:style>
  <w:style w:type="character" w:customStyle="1" w:styleId="Heading2Char">
    <w:name w:val="Heading 2 Char"/>
    <w:basedOn w:val="DefaultParagraphFont"/>
    <w:link w:val="Heading2"/>
    <w:uiPriority w:val="9"/>
    <w:rsid w:val="00EB6076"/>
    <w:rPr>
      <w:rFonts w:ascii="Times New Roman" w:eastAsiaTheme="majorEastAsia" w:hAnsi="Times New Roman" w:cstheme="majorBidi"/>
      <w:b/>
      <w:sz w:val="30"/>
      <w:szCs w:val="33"/>
      <w:lang w:val="en-GB"/>
    </w:rPr>
  </w:style>
  <w:style w:type="paragraph" w:styleId="TOC1">
    <w:name w:val="toc 1"/>
    <w:basedOn w:val="Normal"/>
    <w:next w:val="Normal"/>
    <w:autoRedefine/>
    <w:uiPriority w:val="39"/>
    <w:unhideWhenUsed/>
    <w:rsid w:val="003A6434"/>
    <w:pPr>
      <w:spacing w:before="120" w:after="120"/>
      <w:jc w:val="left"/>
    </w:pPr>
    <w:rPr>
      <w:rFonts w:asciiTheme="minorHAnsi" w:hAnsiTheme="minorHAnsi"/>
      <w:b/>
      <w:bCs/>
      <w:caps/>
      <w:sz w:val="20"/>
      <w:szCs w:val="20"/>
    </w:rPr>
  </w:style>
  <w:style w:type="character" w:customStyle="1" w:styleId="Heading3Char">
    <w:name w:val="Heading 3 Char"/>
    <w:basedOn w:val="DefaultParagraphFont"/>
    <w:link w:val="Heading3"/>
    <w:uiPriority w:val="9"/>
    <w:rsid w:val="00B233FF"/>
    <w:rPr>
      <w:rFonts w:ascii="Times New Roman" w:eastAsiaTheme="majorEastAsia" w:hAnsi="Times New Roman" w:cstheme="majorBidi"/>
      <w:b/>
      <w:sz w:val="26"/>
      <w:lang w:val="en-GB"/>
    </w:rPr>
  </w:style>
  <w:style w:type="character" w:styleId="Hyperlink">
    <w:name w:val="Hyperlink"/>
    <w:basedOn w:val="DefaultParagraphFont"/>
    <w:uiPriority w:val="99"/>
    <w:unhideWhenUsed/>
    <w:rsid w:val="00986A4D"/>
    <w:rPr>
      <w:color w:val="0563C1" w:themeColor="hyperlink"/>
      <w:u w:val="single"/>
    </w:rPr>
  </w:style>
  <w:style w:type="character" w:styleId="UnresolvedMention">
    <w:name w:val="Unresolved Mention"/>
    <w:basedOn w:val="DefaultParagraphFont"/>
    <w:uiPriority w:val="99"/>
    <w:semiHidden/>
    <w:unhideWhenUsed/>
    <w:rsid w:val="00986A4D"/>
    <w:rPr>
      <w:color w:val="605E5C"/>
      <w:shd w:val="clear" w:color="auto" w:fill="E1DFDD"/>
    </w:rPr>
  </w:style>
  <w:style w:type="paragraph" w:styleId="ListParagraph">
    <w:name w:val="List Paragraph"/>
    <w:basedOn w:val="Normal"/>
    <w:uiPriority w:val="34"/>
    <w:qFormat/>
    <w:rsid w:val="00EB6076"/>
    <w:pPr>
      <w:ind w:left="720"/>
      <w:contextualSpacing/>
    </w:pPr>
  </w:style>
  <w:style w:type="table" w:styleId="TableGrid">
    <w:name w:val="Table Grid"/>
    <w:basedOn w:val="TableNormal"/>
    <w:uiPriority w:val="39"/>
    <w:rsid w:val="00EB607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Accent6">
    <w:name w:val="Grid Table 6 Colorful Accent 6"/>
    <w:basedOn w:val="TableNormal"/>
    <w:uiPriority w:val="51"/>
    <w:rsid w:val="00EB6076"/>
    <w:pPr>
      <w:spacing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customStyle="1" w:styleId="p1">
    <w:name w:val="p1"/>
    <w:basedOn w:val="Normal"/>
    <w:rsid w:val="00467A98"/>
    <w:pPr>
      <w:spacing w:line="240" w:lineRule="auto"/>
      <w:jc w:val="left"/>
    </w:pPr>
    <w:rPr>
      <w:rFonts w:ascii="Arial" w:eastAsia="Times New Roman" w:hAnsi="Arial" w:cs="Arial"/>
      <w:color w:val="000000"/>
      <w:kern w:val="0"/>
      <w:sz w:val="26"/>
      <w:szCs w:val="26"/>
      <w:lang w:val="" w:eastAsia="en-GB"/>
      <w14:ligatures w14:val="none"/>
    </w:rPr>
  </w:style>
  <w:style w:type="paragraph" w:customStyle="1" w:styleId="p2">
    <w:name w:val="p2"/>
    <w:basedOn w:val="Normal"/>
    <w:rsid w:val="00467A98"/>
    <w:pPr>
      <w:spacing w:line="240" w:lineRule="auto"/>
      <w:jc w:val="left"/>
    </w:pPr>
    <w:rPr>
      <w:rFonts w:ascii="Arial" w:eastAsia="Times New Roman" w:hAnsi="Arial" w:cs="Arial"/>
      <w:color w:val="000000"/>
      <w:kern w:val="0"/>
      <w:sz w:val="27"/>
      <w:szCs w:val="27"/>
      <w:lang w:val="" w:eastAsia="en-GB"/>
      <w14:ligatures w14:val="none"/>
    </w:rPr>
  </w:style>
  <w:style w:type="character" w:customStyle="1" w:styleId="s1">
    <w:name w:val="s1"/>
    <w:basedOn w:val="DefaultParagraphFont"/>
    <w:rsid w:val="00467A98"/>
    <w:rPr>
      <w:rFonts w:ascii="Arial" w:hAnsi="Arial" w:cs="Arial" w:hint="default"/>
      <w:sz w:val="34"/>
      <w:szCs w:val="34"/>
    </w:rPr>
  </w:style>
  <w:style w:type="paragraph" w:styleId="NormalWeb">
    <w:name w:val="Normal (Web)"/>
    <w:basedOn w:val="Normal"/>
    <w:uiPriority w:val="99"/>
    <w:semiHidden/>
    <w:unhideWhenUsed/>
    <w:rsid w:val="00467A98"/>
    <w:pPr>
      <w:spacing w:before="100" w:beforeAutospacing="1" w:after="100" w:afterAutospacing="1" w:line="240" w:lineRule="auto"/>
      <w:jc w:val="left"/>
    </w:pPr>
    <w:rPr>
      <w:rFonts w:eastAsia="Times New Roman" w:cs="Times New Roman"/>
      <w:kern w:val="0"/>
      <w:szCs w:val="24"/>
      <w:lang w:val="" w:eastAsia="en-GB"/>
      <w14:ligatures w14:val="none"/>
    </w:rPr>
  </w:style>
  <w:style w:type="character" w:styleId="Emphasis">
    <w:name w:val="Emphasis"/>
    <w:basedOn w:val="DefaultParagraphFont"/>
    <w:uiPriority w:val="20"/>
    <w:qFormat/>
    <w:rsid w:val="00467A98"/>
    <w:rPr>
      <w:i/>
      <w:iCs/>
    </w:rPr>
  </w:style>
  <w:style w:type="character" w:customStyle="1" w:styleId="ms-1">
    <w:name w:val="ms-1"/>
    <w:basedOn w:val="DefaultParagraphFont"/>
    <w:rsid w:val="00467A98"/>
  </w:style>
  <w:style w:type="character" w:customStyle="1" w:styleId="max-w-15ch">
    <w:name w:val="max-w-[15ch]"/>
    <w:basedOn w:val="DefaultParagraphFont"/>
    <w:rsid w:val="00467A98"/>
  </w:style>
  <w:style w:type="paragraph" w:styleId="Footer">
    <w:name w:val="footer"/>
    <w:basedOn w:val="Normal"/>
    <w:link w:val="FooterChar"/>
    <w:uiPriority w:val="99"/>
    <w:unhideWhenUsed/>
    <w:rsid w:val="00ED2ABE"/>
    <w:pPr>
      <w:tabs>
        <w:tab w:val="center" w:pos="4513"/>
        <w:tab w:val="right" w:pos="9026"/>
      </w:tabs>
      <w:spacing w:line="240" w:lineRule="auto"/>
    </w:pPr>
  </w:style>
  <w:style w:type="character" w:customStyle="1" w:styleId="FooterChar">
    <w:name w:val="Footer Char"/>
    <w:basedOn w:val="DefaultParagraphFont"/>
    <w:link w:val="Footer"/>
    <w:uiPriority w:val="99"/>
    <w:rsid w:val="00ED2ABE"/>
    <w:rPr>
      <w:rFonts w:ascii="Times New Roman" w:hAnsi="Times New Roman" w:cs="Vrinda"/>
      <w:lang w:val="en-GB"/>
    </w:rPr>
  </w:style>
  <w:style w:type="character" w:styleId="PageNumber">
    <w:name w:val="page number"/>
    <w:basedOn w:val="DefaultParagraphFont"/>
    <w:uiPriority w:val="99"/>
    <w:semiHidden/>
    <w:unhideWhenUsed/>
    <w:rsid w:val="00ED2ABE"/>
  </w:style>
  <w:style w:type="paragraph" w:styleId="TOCHeading">
    <w:name w:val="TOC Heading"/>
    <w:basedOn w:val="Heading1"/>
    <w:next w:val="Normal"/>
    <w:uiPriority w:val="39"/>
    <w:unhideWhenUsed/>
    <w:qFormat/>
    <w:rsid w:val="00ED2ABE"/>
    <w:pPr>
      <w:spacing w:before="480" w:line="276" w:lineRule="auto"/>
      <w:jc w:val="left"/>
      <w:outlineLvl w:val="9"/>
    </w:pPr>
    <w:rPr>
      <w:rFonts w:asciiTheme="majorHAnsi" w:hAnsiTheme="majorHAnsi"/>
      <w:bCs/>
      <w:kern w:val="0"/>
      <w:sz w:val="28"/>
      <w:szCs w:val="28"/>
      <w:lang w:val="en-US" w:bidi="ar-SA"/>
      <w14:ligatures w14:val="none"/>
    </w:rPr>
  </w:style>
  <w:style w:type="paragraph" w:styleId="TOC2">
    <w:name w:val="toc 2"/>
    <w:basedOn w:val="Normal"/>
    <w:next w:val="Normal"/>
    <w:autoRedefine/>
    <w:uiPriority w:val="39"/>
    <w:unhideWhenUsed/>
    <w:rsid w:val="00ED2ABE"/>
    <w:pPr>
      <w:ind w:left="240"/>
      <w:jc w:val="left"/>
    </w:pPr>
    <w:rPr>
      <w:rFonts w:asciiTheme="minorHAnsi" w:hAnsiTheme="minorHAnsi"/>
      <w:smallCaps/>
      <w:sz w:val="20"/>
      <w:szCs w:val="20"/>
    </w:rPr>
  </w:style>
  <w:style w:type="paragraph" w:styleId="TOC3">
    <w:name w:val="toc 3"/>
    <w:basedOn w:val="Normal"/>
    <w:next w:val="Normal"/>
    <w:autoRedefine/>
    <w:uiPriority w:val="39"/>
    <w:unhideWhenUsed/>
    <w:rsid w:val="00ED2ABE"/>
    <w:pPr>
      <w:ind w:left="480"/>
      <w:jc w:val="left"/>
    </w:pPr>
    <w:rPr>
      <w:rFonts w:asciiTheme="minorHAnsi" w:hAnsiTheme="minorHAnsi"/>
      <w:i/>
      <w:iCs/>
      <w:sz w:val="20"/>
      <w:szCs w:val="20"/>
    </w:rPr>
  </w:style>
  <w:style w:type="paragraph" w:styleId="TOC4">
    <w:name w:val="toc 4"/>
    <w:basedOn w:val="Normal"/>
    <w:next w:val="Normal"/>
    <w:autoRedefine/>
    <w:uiPriority w:val="39"/>
    <w:semiHidden/>
    <w:unhideWhenUsed/>
    <w:rsid w:val="00ED2ABE"/>
    <w:pPr>
      <w:ind w:left="720"/>
      <w:jc w:val="left"/>
    </w:pPr>
    <w:rPr>
      <w:rFonts w:asciiTheme="minorHAnsi" w:hAnsiTheme="minorHAnsi"/>
      <w:sz w:val="18"/>
      <w:szCs w:val="18"/>
    </w:rPr>
  </w:style>
  <w:style w:type="paragraph" w:styleId="TOC5">
    <w:name w:val="toc 5"/>
    <w:basedOn w:val="Normal"/>
    <w:next w:val="Normal"/>
    <w:autoRedefine/>
    <w:uiPriority w:val="39"/>
    <w:semiHidden/>
    <w:unhideWhenUsed/>
    <w:rsid w:val="00ED2ABE"/>
    <w:pPr>
      <w:ind w:left="960"/>
      <w:jc w:val="left"/>
    </w:pPr>
    <w:rPr>
      <w:rFonts w:asciiTheme="minorHAnsi" w:hAnsiTheme="minorHAnsi"/>
      <w:sz w:val="18"/>
      <w:szCs w:val="18"/>
    </w:rPr>
  </w:style>
  <w:style w:type="paragraph" w:styleId="TOC6">
    <w:name w:val="toc 6"/>
    <w:basedOn w:val="Normal"/>
    <w:next w:val="Normal"/>
    <w:autoRedefine/>
    <w:uiPriority w:val="39"/>
    <w:semiHidden/>
    <w:unhideWhenUsed/>
    <w:rsid w:val="00ED2ABE"/>
    <w:pPr>
      <w:ind w:left="1200"/>
      <w:jc w:val="left"/>
    </w:pPr>
    <w:rPr>
      <w:rFonts w:asciiTheme="minorHAnsi" w:hAnsiTheme="minorHAnsi"/>
      <w:sz w:val="18"/>
      <w:szCs w:val="18"/>
    </w:rPr>
  </w:style>
  <w:style w:type="paragraph" w:styleId="TOC7">
    <w:name w:val="toc 7"/>
    <w:basedOn w:val="Normal"/>
    <w:next w:val="Normal"/>
    <w:autoRedefine/>
    <w:uiPriority w:val="39"/>
    <w:semiHidden/>
    <w:unhideWhenUsed/>
    <w:rsid w:val="00ED2ABE"/>
    <w:pPr>
      <w:ind w:left="1440"/>
      <w:jc w:val="left"/>
    </w:pPr>
    <w:rPr>
      <w:rFonts w:asciiTheme="minorHAnsi" w:hAnsiTheme="minorHAnsi"/>
      <w:sz w:val="18"/>
      <w:szCs w:val="18"/>
    </w:rPr>
  </w:style>
  <w:style w:type="paragraph" w:styleId="TOC8">
    <w:name w:val="toc 8"/>
    <w:basedOn w:val="Normal"/>
    <w:next w:val="Normal"/>
    <w:autoRedefine/>
    <w:uiPriority w:val="39"/>
    <w:semiHidden/>
    <w:unhideWhenUsed/>
    <w:rsid w:val="00ED2ABE"/>
    <w:pPr>
      <w:ind w:left="1680"/>
      <w:jc w:val="left"/>
    </w:pPr>
    <w:rPr>
      <w:rFonts w:asciiTheme="minorHAnsi" w:hAnsiTheme="minorHAnsi"/>
      <w:sz w:val="18"/>
      <w:szCs w:val="18"/>
    </w:rPr>
  </w:style>
  <w:style w:type="paragraph" w:styleId="TOC9">
    <w:name w:val="toc 9"/>
    <w:basedOn w:val="Normal"/>
    <w:next w:val="Normal"/>
    <w:autoRedefine/>
    <w:uiPriority w:val="39"/>
    <w:semiHidden/>
    <w:unhideWhenUsed/>
    <w:rsid w:val="00ED2ABE"/>
    <w:pPr>
      <w:ind w:left="1920"/>
      <w:jc w:val="left"/>
    </w:pPr>
    <w:rPr>
      <w:rFonts w:asciiTheme="minorHAnsi" w:hAnsi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uk.sagepub.com/en-gb/eur/management-and-business-research/book250150" TargetMode="External"/><Relationship Id="rId21" Type="http://schemas.openxmlformats.org/officeDocument/2006/relationships/hyperlink" Target="https://us.sagepub.com/en-us/nam/research-design/book258450" TargetMode="External"/><Relationship Id="rId42" Type="http://schemas.openxmlformats.org/officeDocument/2006/relationships/hyperlink" Target="https://gtg.webhost.uoradea.ro/" TargetMode="External"/><Relationship Id="rId47" Type="http://schemas.openxmlformats.org/officeDocument/2006/relationships/hyperlink" Target="https://marketintelo.com/report/kitchen-display-systems-market?utm_source=chatgpt.com" TargetMode="External"/><Relationship Id="rId63" Type="http://schemas.openxmlformats.org/officeDocument/2006/relationships/hyperlink" Target="https://www.wiley.com/en-gb/Real+World+Research%2C+4th+Edition-p-9781118745233" TargetMode="External"/><Relationship Id="rId68" Type="http://schemas.openxmlformats.org/officeDocument/2006/relationships/hyperlink" Target="https://www.sciencedirect.com/science/article/pii/S1877705817337370" TargetMode="External"/><Relationship Id="rId84" Type="http://schemas.openxmlformats.org/officeDocument/2006/relationships/hyperlink" Target="https://www.simonsays.com/product/Lean-Thinking/" TargetMode="External"/><Relationship Id="rId89" Type="http://schemas.openxmlformats.org/officeDocument/2006/relationships/footer" Target="footer1.xml"/><Relationship Id="rId16" Type="http://schemas.openxmlformats.org/officeDocument/2006/relationships/hyperlink" Target="https://www.booking.com/articles/travelpredictions2023.html?utm_source=chatgpt.com" TargetMode="External"/><Relationship Id="rId11" Type="http://schemas.openxmlformats.org/officeDocument/2006/relationships/hyperlink" Target="https://www.accenture.com/content/dam/accenture/final/industry/travel/document/Travel-Technology-Vision-2022.pdf?utm_source=chatgpt.com" TargetMode="External"/><Relationship Id="rId32" Type="http://schemas.openxmlformats.org/officeDocument/2006/relationships/hyperlink" Target="https://go.harri.com/hubfs/CGA%20x%20Harri%20report%202023.pdf?utm_source=chatgpt.com" TargetMode="External"/><Relationship Id="rId37" Type="http://schemas.openxmlformats.org/officeDocument/2006/relationships/hyperlink" Target="https://www.ijstr.org/final-print/aug2019/Application-Of-Queuing-Theory-On-A-Food-Chain.pdf?utm_source=chatgpt.com" TargetMode="External"/><Relationship Id="rId53" Type="http://schemas.openxmlformats.org/officeDocument/2006/relationships/hyperlink" Target="https://onlinelibrary.wiley.com/doi/10.1111/1467-8616.00153" TargetMode="External"/><Relationship Id="rId58" Type="http://schemas.openxmlformats.org/officeDocument/2006/relationships/hyperlink" Target="https://cdn.whitbread.co.uk/media/2023/08/The-economic-and-social-impact-of-Premier-Inn-hotels.pdf?utm_source=chatgpt.com" TargetMode="External"/><Relationship Id="rId74" Type="http://schemas.openxmlformats.org/officeDocument/2006/relationships/hyperlink" Target="https://www.jstor.org/stable/1252167" TargetMode="External"/><Relationship Id="rId79" Type="http://schemas.openxmlformats.org/officeDocument/2006/relationships/hyperlink" Target="https://www.jstor.org/stable/30036540" TargetMode="External"/><Relationship Id="rId5" Type="http://schemas.openxmlformats.org/officeDocument/2006/relationships/webSettings" Target="webSettings.xml"/><Relationship Id="rId90" Type="http://schemas.openxmlformats.org/officeDocument/2006/relationships/footer" Target="footer2.xml"/><Relationship Id="rId14" Type="http://schemas.openxmlformats.org/officeDocument/2006/relationships/hyperlink" Target="https://www.jstor.org/stable/1252310" TargetMode="External"/><Relationship Id="rId22" Type="http://schemas.openxmlformats.org/officeDocument/2006/relationships/hyperlink" Target="https://dataintelo.com/report/kitchen-display-system-market?utm_source=chatgpt.com" TargetMode="External"/><Relationship Id="rId27" Type="http://schemas.openxmlformats.org/officeDocument/2006/relationships/hyperlink" Target="https://supports.failteireland.ie/wp-content/uploads/2021/02/SOPs-Training-Staff-Communication.pdf?utm_source=chatgpt.com" TargetMode="External"/><Relationship Id="rId30" Type="http://schemas.openxmlformats.org/officeDocument/2006/relationships/hyperlink" Target="https://link.springer.com/article/10.1007/s12525-015-0196-8" TargetMode="External"/><Relationship Id="rId35" Type="http://schemas.openxmlformats.org/officeDocument/2006/relationships/hyperlink" Target="https://commonslibrary.parliament.uk/research-briefings/cbp-9417/" TargetMode="External"/><Relationship Id="rId43" Type="http://schemas.openxmlformats.org/officeDocument/2006/relationships/hyperlink" Target="https://pubmed.ncbi.nlm.nih.gov/15465961/?utm_source=chatgpt.com" TargetMode="External"/><Relationship Id="rId48" Type="http://schemas.openxmlformats.org/officeDocument/2006/relationships/hyperlink" Target="https://www.mckinsey.com/industries/travel/our-insights/future-of-tourism-bridging-the-labor-gap-enhancing-customer-experience?utm_source=chatgpt.com" TargetMode="External"/><Relationship Id="rId56" Type="http://schemas.openxmlformats.org/officeDocument/2006/relationships/hyperlink" Target="https://www.theseus.fi/bitstream/handle/10024/892508/Ponteras_Danica.pdf" TargetMode="External"/><Relationship Id="rId64" Type="http://schemas.openxmlformats.org/officeDocument/2006/relationships/hyperlink" Target="https://journals.sagepub.com/doi/10.1177/19389655231223376?utm_source=chatgpt.com" TargetMode="External"/><Relationship Id="rId69" Type="http://schemas.openxmlformats.org/officeDocument/2006/relationships/hyperlink" Target="https://doi.org/10.1016/j.tourman.2010.11.011" TargetMode="External"/><Relationship Id="rId77" Type="http://schemas.openxmlformats.org/officeDocument/2006/relationships/hyperlink" Target="https://www.tripadvisor.com/Hotel_Review-g503771-d191909-Reviews-Ibis_London_Barking-Barking_Barking_and_Dagenham_Greater_London_England.html?utm_source=chatgpt.com" TargetMode="External"/><Relationship Id="rId8" Type="http://schemas.openxmlformats.org/officeDocument/2006/relationships/image" Target="media/image1.png"/><Relationship Id="rId51" Type="http://schemas.openxmlformats.org/officeDocument/2006/relationships/hyperlink" Target="https://www.oecd.org/content/dam/oecd/en/publications/reports/2024/07/oecd-tourism-trends-and-policies-2024_17ff33a3/80885d8b-en.pdf?utm_source=chatgpt.com" TargetMode="External"/><Relationship Id="rId72" Type="http://schemas.openxmlformats.org/officeDocument/2006/relationships/hyperlink" Target="https://www.tablein.com/blog/table-turnover-guide?utm_source=chatgpt.com" TargetMode="External"/><Relationship Id="rId80" Type="http://schemas.openxmlformats.org/officeDocument/2006/relationships/hyperlink" Target="https://www.waiterone.net/blog/2025/04/04/10-key-benefits-of-using-kitchen-display-systems-kds/?utm_source=chatgpt.com" TargetMode="External"/><Relationship Id="rId85" Type="http://schemas.openxmlformats.org/officeDocument/2006/relationships/hyperlink" Target="https://wttc.org/Research/Economic-Impact" TargetMode="External"/><Relationship Id="rId3" Type="http://schemas.openxmlformats.org/officeDocument/2006/relationships/styles" Target="styles.xml"/><Relationship Id="rId12" Type="http://schemas.openxmlformats.org/officeDocument/2006/relationships/hyperlink" Target="https://www.jiem.org/index.php/jiem/article/view/432" TargetMode="External"/><Relationship Id="rId17" Type="http://schemas.openxmlformats.org/officeDocument/2006/relationships/hyperlink" Target="https://wwnorton.com/books/9780393239355" TargetMode="External"/><Relationship Id="rId25" Type="http://schemas.openxmlformats.org/officeDocument/2006/relationships/hyperlink" Target="https://www.sciencedirect.com/science/article/pii/S0969698920304627" TargetMode="External"/><Relationship Id="rId33" Type="http://schemas.openxmlformats.org/officeDocument/2006/relationships/hyperlink" Target="https://www.winnowsolutions.com/hubfs/2024/Case%20Studies/Hilton%20Green%20Breakfast%20Case%20Study%20.pdf?hsLang=en&amp;utm_source=chatgpt.com" TargetMode="External"/><Relationship Id="rId38" Type="http://schemas.openxmlformats.org/officeDocument/2006/relationships/hyperlink" Target="https://www.iris.net/marriott-mobile-dining?utm_source=chatgpt.com" TargetMode="External"/><Relationship Id="rId46" Type="http://schemas.openxmlformats.org/officeDocument/2006/relationships/hyperlink" Target="https://www.hbs.edu/faculty/Publication%20Files/12-016_2f3f1d80-4e7f-4f26-883f-1f7a2d4b1d3e.pdf" TargetMode="External"/><Relationship Id="rId59" Type="http://schemas.openxmlformats.org/officeDocument/2006/relationships/hyperlink" Target="https://www.pwc.com/it/en/publications/assets/docs/pwc-hotel-market-snapshot-2023.pdf?utm_source=chatgpt.com" TargetMode="External"/><Relationship Id="rId67" Type="http://schemas.openxmlformats.org/officeDocument/2006/relationships/hyperlink" Target="https://www.pearson.com/en-gb/subject-catalogue/business-and-management/research-methods-for-business-students/" TargetMode="External"/><Relationship Id="rId20" Type="http://schemas.openxmlformats.org/officeDocument/2006/relationships/hyperlink" Target="https://cubettech.com/resources/case-studies/smart-pos-and-kds-system-streamlining-hospitality-operations/?utm_source=chatgpt.com" TargetMode="External"/><Relationship Id="rId41" Type="http://schemas.openxmlformats.org/officeDocument/2006/relationships/hyperlink" Target="https://www.hbs.edu/faculty/Pages/item.aspx?num=382" TargetMode="External"/><Relationship Id="rId54" Type="http://schemas.openxmlformats.org/officeDocument/2006/relationships/hyperlink" Target="https://www.sciencedirect.com/science/article/abs/pii/S0278431924000732?utm_source=chatgpt.com" TargetMode="External"/><Relationship Id="rId62" Type="http://schemas.openxmlformats.org/officeDocument/2006/relationships/hyperlink" Target="https://www.researchgate.net/publication/337573779_Service_Time_Performance_Analysis_of_Improved_Automated_Restaurant_by_Layout_Reconfiguration_and_Conveyor_System?utm_source=chatgpt.com" TargetMode="External"/><Relationship Id="rId70" Type="http://schemas.openxmlformats.org/officeDocument/2006/relationships/hyperlink" Target="https://www.statista.com/statistics/" TargetMode="External"/><Relationship Id="rId75" Type="http://schemas.openxmlformats.org/officeDocument/2006/relationships/hyperlink" Target="https://pos.toasttab.com/hardware/kitchen-display-system" TargetMode="External"/><Relationship Id="rId83" Type="http://schemas.openxmlformats.org/officeDocument/2006/relationships/hyperlink" Target="https://www.winnowsolutions.com/hubfs/2024/Case%20Studies/Hilton%20Green%20Breakfast%20Case%20Study%20.pdf?hsLang=en&amp;utm_source=chatgpt.com" TargetMode="External"/><Relationship Id="rId88" Type="http://schemas.openxmlformats.org/officeDocument/2006/relationships/hyperlink" Target="https://www.researchgate.net/publication/288987710_Developing_a_multi-criteria_decision_making_model_for_PESTEL_analysis" TargetMode="External"/><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journals.sagepub.com/doi/10.1177/014920639902500303" TargetMode="External"/><Relationship Id="rId23" Type="http://schemas.openxmlformats.org/officeDocument/2006/relationships/hyperlink" Target="https://www.digisystem.com/case-studies/20180718013814/?utm_source=chatgpt.com" TargetMode="External"/><Relationship Id="rId28" Type="http://schemas.openxmlformats.org/officeDocument/2006/relationships/hyperlink" Target="https://www.fourth.com/case-study/freerange-concepts-creates-success?utm_source=chatgpt.com" TargetMode="External"/><Relationship Id="rId36" Type="http://schemas.openxmlformats.org/officeDocument/2006/relationships/hyperlink" Target="https://hoteltechnologynews.com/2025/08/how-mobile-ordering-transforms-multi-generational-family-holidays-and-hotel-operations/?utm_source=chatgpt.com" TargetMode="External"/><Relationship Id="rId49" Type="http://schemas.openxmlformats.org/officeDocument/2006/relationships/hyperlink" Target="https://nextmeapp.com/?utm_source=chatgpt.com" TargetMode="External"/><Relationship Id="rId57" Type="http://schemas.openxmlformats.org/officeDocument/2006/relationships/hyperlink" Target="https://pos.toasttab.com/blog/on-the-line/how-to-run-a-pre-shift-meeting-with-restaurant-staff" TargetMode="External"/><Relationship Id="rId10" Type="http://schemas.openxmlformats.org/officeDocument/2006/relationships/hyperlink" Target="https://all.accor.com/hotel/2042/index.en.shtml?utm_source=chatgpt.com" TargetMode="External"/><Relationship Id="rId31" Type="http://schemas.openxmlformats.org/officeDocument/2006/relationships/hyperlink" Target="https://www.wiley.com/en-gb/Service+Management+and+Marketing%3A+Customer+Management+in+Service+Competition%2C+3rd+Edition-p-9780470025128" TargetMode="External"/><Relationship Id="rId44" Type="http://schemas.openxmlformats.org/officeDocument/2006/relationships/hyperlink" Target="https://journals.sagepub.com/doi/full/10.1177/2158244019857751" TargetMode="External"/><Relationship Id="rId52" Type="http://schemas.openxmlformats.org/officeDocument/2006/relationships/hyperlink" Target="https://www.routledge.com/Toyota-Production-System-Beyond-Large-Scale-Production/Ohno/p/book/9780429273018" TargetMode="External"/><Relationship Id="rId60" Type="http://schemas.openxmlformats.org/officeDocument/2006/relationships/hyperlink" Target="https://www.queuepad.com/?utm_source=chatgpt.com" TargetMode="External"/><Relationship Id="rId65" Type="http://schemas.openxmlformats.org/officeDocument/2006/relationships/hyperlink" Target="https://methods.sagepub.com/book/edvol/sage-secondary-data-analysis/chpt/secondary-data-analysis?utm_source=chatgpt.com" TargetMode="External"/><Relationship Id="rId73" Type="http://schemas.openxmlformats.org/officeDocument/2006/relationships/hyperlink" Target="https://www.tablesready.com/?utm_source=chatgpt.com" TargetMode="External"/><Relationship Id="rId78" Type="http://schemas.openxmlformats.org/officeDocument/2006/relationships/hyperlink" Target="https://www.ukhospitality.org.uk/campaign/workforce/?utm_source=chatgpt.com" TargetMode="External"/><Relationship Id="rId81" Type="http://schemas.openxmlformats.org/officeDocument/2006/relationships/hyperlink" Target="https://waitwhile.com/blog/queue-management-system-benefits/?utm_source=chatgpt.com" TargetMode="External"/><Relationship Id="rId86" Type="http://schemas.openxmlformats.org/officeDocument/2006/relationships/hyperlink" Target="https://doi.org/10.1016/j.ijhm.2016.12.001" TargetMode="External"/><Relationship Id="rId4" Type="http://schemas.openxmlformats.org/officeDocument/2006/relationships/settings" Target="settings.xml"/><Relationship Id="rId9" Type="http://schemas.openxmlformats.org/officeDocument/2006/relationships/hyperlink" Target="https://group.accor.com/en/finance/financial-results?utm_source=chatgpt.com" TargetMode="External"/><Relationship Id="rId13" Type="http://schemas.openxmlformats.org/officeDocument/2006/relationships/hyperlink" Target="https://www.tandfonline.com/doi/full/10.1080/15378020.2022.2044736?utm_source=chatgpt.com" TargetMode="External"/><Relationship Id="rId18" Type="http://schemas.openxmlformats.org/officeDocument/2006/relationships/hyperlink" Target="https://doi.org/10.1016/j.ijhm.2017.11.011" TargetMode="External"/><Relationship Id="rId39" Type="http://schemas.openxmlformats.org/officeDocument/2006/relationships/hyperlink" Target="https://www.e3s-conferences.org/articles/e3sconf/pdf/2022/15/e3sconf_icas2021_00007.pdf?utm_source=chatgpt.com" TargetMode="External"/><Relationship Id="rId34" Type="http://schemas.openxmlformats.org/officeDocument/2006/relationships/hyperlink" Target="https://hoteltechreport.com/news/hotschedules?utm_source=chatgpt.com" TargetMode="External"/><Relationship Id="rId50" Type="http://schemas.openxmlformats.org/officeDocument/2006/relationships/hyperlink" Target="https://www.oecd.org/en/publications/2024/07/oecd-tourism-trends-and-policies-2024_17ff33a3.html?utm_source=chatgpt.com" TargetMode="External"/><Relationship Id="rId55" Type="http://schemas.openxmlformats.org/officeDocument/2006/relationships/hyperlink" Target="https://www.sciencedirect.com/science/article/pii/S0278431922001128?utm_source=chatgpt.com" TargetMode="External"/><Relationship Id="rId76" Type="http://schemas.openxmlformats.org/officeDocument/2006/relationships/hyperlink" Target="https://www.trustyou.com/blog/insights/global-hospitality-statistics-2023/?utm_source=chatgpt.com" TargetMode="External"/><Relationship Id="rId7" Type="http://schemas.openxmlformats.org/officeDocument/2006/relationships/endnotes" Target="endnotes.xml"/><Relationship Id="rId71" Type="http://schemas.openxmlformats.org/officeDocument/2006/relationships/hyperlink" Target="https://str.com/data-insights-blog/global-hotel-industry-starts-2023-strong?utm_source=chatgpt.com" TargetMode="External"/><Relationship Id="rId92" Type="http://schemas.openxmlformats.org/officeDocument/2006/relationships/theme" Target="theme/theme1.xml"/><Relationship Id="rId2" Type="http://schemas.openxmlformats.org/officeDocument/2006/relationships/numbering" Target="numbering.xml"/><Relationship Id="rId29" Type="http://schemas.openxmlformats.org/officeDocument/2006/relationships/hyperlink" Target="https://uk.fourth.com/white-paper/the-hospitality-workforce-update?utm_source=chatgpt.com" TargetMode="External"/><Relationship Id="rId24" Type="http://schemas.openxmlformats.org/officeDocument/2006/relationships/hyperlink" Target="https://www2.deloitte.com/global/en/insights/industry/retail-distribution/future-of-hospitality.html" TargetMode="External"/><Relationship Id="rId40" Type="http://schemas.openxmlformats.org/officeDocument/2006/relationships/hyperlink" Target="https://ecommons.cornell.edu/bitstreams/56f1b36d-beb8-42fb-aeea-9fdb59be6c29/download?utm_source=chatgpt.com" TargetMode="External"/><Relationship Id="rId45" Type="http://schemas.openxmlformats.org/officeDocument/2006/relationships/hyperlink" Target="https://www.lsretail.com/resources/ways-maximize-table-turnover-restaurant?utm_source=chatgpt.com" TargetMode="External"/><Relationship Id="rId66" Type="http://schemas.openxmlformats.org/officeDocument/2006/relationships/hyperlink" Target="https://journals.sagepub.com/doi/10.1177/1529100612436661" TargetMode="External"/><Relationship Id="rId87" Type="http://schemas.openxmlformats.org/officeDocument/2006/relationships/hyperlink" Target="https://www.mdpi.com/2071-1050/14/17/10827?utm_source=chatgpt.com" TargetMode="External"/><Relationship Id="rId61" Type="http://schemas.openxmlformats.org/officeDocument/2006/relationships/hyperlink" Target="https://www.revinate.com/hospitality-benchmark-report/?utm_source=chatgpt.com" TargetMode="External"/><Relationship Id="rId82" Type="http://schemas.openxmlformats.org/officeDocument/2006/relationships/hyperlink" Target="https://www.ncbi.nlm.nih.gov/pmc/articles/PMC7520737/" TargetMode="External"/><Relationship Id="rId19" Type="http://schemas.openxmlformats.org/officeDocument/2006/relationships/hyperlink" Target="https://ibimapublishing.com/articles/IBIMABR/2020/301930/30193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7A4D67-E805-334E-BE90-E05B5BBD5C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13576</Words>
  <Characters>77389</Characters>
  <Application>Microsoft Office Word</Application>
  <DocSecurity>0</DocSecurity>
  <Lines>644</Lines>
  <Paragraphs>181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90784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buddhini hewa kanankege</cp:lastModifiedBy>
  <cp:revision>74</cp:revision>
  <dcterms:created xsi:type="dcterms:W3CDTF">2025-10-13T16:13:00Z</dcterms:created>
  <dcterms:modified xsi:type="dcterms:W3CDTF">2025-10-30T13:41:00Z</dcterms:modified>
  <cp:category/>
</cp:coreProperties>
</file>