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8C7" w:rsidRDefault="0068284B">
      <w:pPr>
        <w:spacing w:line="480" w:lineRule="auto"/>
        <w:jc w:val="both"/>
        <w:rPr>
          <w:rFonts w:ascii="Times New Roman" w:eastAsia="Times New Roman" w:hAnsi="Times New Roman" w:cs="Times New Roman"/>
          <w:b/>
          <w:sz w:val="26"/>
          <w:szCs w:val="26"/>
        </w:rPr>
      </w:pPr>
      <w:bookmarkStart w:id="0" w:name="_GoBack"/>
      <w:bookmarkEnd w:id="0"/>
      <w:r>
        <w:rPr>
          <w:rFonts w:ascii="Times New Roman" w:eastAsia="Times New Roman" w:hAnsi="Times New Roman" w:cs="Times New Roman"/>
          <w:b/>
          <w:sz w:val="26"/>
          <w:szCs w:val="26"/>
        </w:rPr>
        <w:t>Outline and assess the suggestion that it is memory that is crucial to being the same person over time.</w:t>
      </w:r>
    </w:p>
    <w:p w:rsidR="00FE68C7" w:rsidRDefault="00FE68C7">
      <w:pPr>
        <w:spacing w:line="480" w:lineRule="auto"/>
        <w:jc w:val="both"/>
        <w:rPr>
          <w:rFonts w:ascii="Times New Roman" w:eastAsia="Times New Roman" w:hAnsi="Times New Roman" w:cs="Times New Roman"/>
          <w:b/>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There is one particular view of how we may be able to perceive our own identity that it is our own memories that define us instead of it being an immaterial soul. This view is perpetuated by the British philosopher John Locke, whose case tells us how it is</w:t>
      </w:r>
      <w:r>
        <w:rPr>
          <w:rFonts w:ascii="Times New Roman" w:eastAsia="Times New Roman" w:hAnsi="Times New Roman" w:cs="Times New Roman"/>
          <w:sz w:val="26"/>
          <w:szCs w:val="26"/>
        </w:rPr>
        <w:t xml:space="preserve"> our memories by trying to prove that it is memories which make a person, and that other views are not sufficient to define a human being.</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To begin, we can look at Locke’s 1690 work </w:t>
      </w:r>
      <w:r>
        <w:rPr>
          <w:rFonts w:ascii="Times New Roman" w:eastAsia="Times New Roman" w:hAnsi="Times New Roman" w:cs="Times New Roman"/>
          <w:i/>
          <w:sz w:val="26"/>
          <w:szCs w:val="26"/>
        </w:rPr>
        <w:t>An Essay Concerning Human Understanding</w:t>
      </w:r>
      <w:r>
        <w:rPr>
          <w:rFonts w:ascii="Times New Roman" w:eastAsia="Times New Roman" w:hAnsi="Times New Roman" w:cs="Times New Roman"/>
          <w:sz w:val="26"/>
          <w:szCs w:val="26"/>
        </w:rPr>
        <w:t>, where he writes about bodies hav</w:t>
      </w:r>
      <w:r>
        <w:rPr>
          <w:rFonts w:ascii="Times New Roman" w:eastAsia="Times New Roman" w:hAnsi="Times New Roman" w:cs="Times New Roman"/>
          <w:sz w:val="26"/>
          <w:szCs w:val="26"/>
        </w:rPr>
        <w:t>ing a continuous flow:</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For, by the same reason that two particles of matter may be in one place, all bodies may be in one place: which, when it can be supposed takes away the distinction of identity and diversity of one and more, and renders it ridiculous</w:t>
      </w:r>
      <w:r>
        <w:rPr>
          <w:rFonts w:ascii="Times New Roman" w:eastAsia="Times New Roman" w:hAnsi="Times New Roman" w:cs="Times New Roman"/>
          <w:sz w:val="26"/>
          <w:szCs w:val="26"/>
        </w:rPr>
        <w:t>.</w:t>
      </w:r>
      <w:r>
        <w:rPr>
          <w:rFonts w:ascii="Times New Roman" w:eastAsia="Times New Roman" w:hAnsi="Times New Roman" w:cs="Times New Roman"/>
          <w:sz w:val="26"/>
          <w:szCs w:val="26"/>
          <w:vertAlign w:val="superscript"/>
        </w:rPr>
        <w:footnoteReference w:id="1"/>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He asserts here that is ridiculous to ever assume that one person could be in two places at the same time, in much the same way it is ridiculous to assume that two inanimate objects can be in the same place simultaneously and you be able to call it the</w:t>
      </w:r>
      <w:r>
        <w:rPr>
          <w:rFonts w:ascii="Times New Roman" w:eastAsia="Times New Roman" w:hAnsi="Times New Roman" w:cs="Times New Roman"/>
          <w:sz w:val="26"/>
          <w:szCs w:val="26"/>
        </w:rPr>
        <w:t xml:space="preserve"> same object. He asserts here that bodies have a continuous flow, and we maintain the same physical form as we did when we were younger, much like how the Ship of Theseus may have completely new parts with none of the original ship being there, since the </w:t>
      </w:r>
      <w:r>
        <w:rPr>
          <w:rFonts w:ascii="Times New Roman" w:eastAsia="Times New Roman" w:hAnsi="Times New Roman" w:cs="Times New Roman"/>
          <w:sz w:val="26"/>
          <w:szCs w:val="26"/>
        </w:rPr>
        <w:lastRenderedPageBreak/>
        <w:t>s</w:t>
      </w:r>
      <w:r>
        <w:rPr>
          <w:rFonts w:ascii="Times New Roman" w:eastAsia="Times New Roman" w:hAnsi="Times New Roman" w:cs="Times New Roman"/>
          <w:sz w:val="26"/>
          <w:szCs w:val="26"/>
        </w:rPr>
        <w:t xml:space="preserve">hip has a continuous flow of being a ship, it is suffice to say that it may be considered the same ship. However, Locke declares it is not sufficient to say that it defines our complete identity, so Locke writes more, in an attempt to find what identifies </w:t>
      </w:r>
      <w:r>
        <w:rPr>
          <w:rFonts w:ascii="Times New Roman" w:eastAsia="Times New Roman" w:hAnsi="Times New Roman" w:cs="Times New Roman"/>
          <w:sz w:val="26"/>
          <w:szCs w:val="26"/>
        </w:rPr>
        <w:t>us as people, instead of physical humans.</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Dualism is a common theme among philosophers trying to find what constitues personal identity. Rene Descartes is a key mind in understanding dualism, as he defines it as the body being a physical vessel, with the </w:t>
      </w:r>
      <w:r>
        <w:rPr>
          <w:rFonts w:ascii="Times New Roman" w:eastAsia="Times New Roman" w:hAnsi="Times New Roman" w:cs="Times New Roman"/>
          <w:sz w:val="26"/>
          <w:szCs w:val="26"/>
        </w:rPr>
        <w:t xml:space="preserve">mind (or soul, as he sees them as indistinguishable) working as the machinations behind it. He also says how the mind is indivisible and unchanging while the body is always changing throughout time: </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 first observation I make at this point is that ther</w:t>
      </w:r>
      <w:r>
        <w:rPr>
          <w:rFonts w:ascii="Times New Roman" w:eastAsia="Times New Roman" w:hAnsi="Times New Roman" w:cs="Times New Roman"/>
          <w:sz w:val="26"/>
          <w:szCs w:val="26"/>
        </w:rPr>
        <w:t>e is a great difference between the mind and the body, inasmuch as the body is by its very nature always divisible, while the mind is utterly indivisible.</w:t>
      </w:r>
      <w:r>
        <w:rPr>
          <w:rFonts w:ascii="Times New Roman" w:eastAsia="Times New Roman" w:hAnsi="Times New Roman" w:cs="Times New Roman"/>
          <w:sz w:val="26"/>
          <w:szCs w:val="26"/>
          <w:vertAlign w:val="superscript"/>
        </w:rPr>
        <w:footnoteReference w:id="2"/>
      </w:r>
    </w:p>
    <w:p w:rsidR="00FE68C7" w:rsidRDefault="00FE68C7">
      <w:pPr>
        <w:spacing w:line="480" w:lineRule="auto"/>
        <w:ind w:left="720"/>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Locke, again, agrees with Descartes’ view to an extent, in that he is willing to accept the existen</w:t>
      </w:r>
      <w:r>
        <w:rPr>
          <w:rFonts w:ascii="Times New Roman" w:eastAsia="Times New Roman" w:hAnsi="Times New Roman" w:cs="Times New Roman"/>
          <w:sz w:val="26"/>
          <w:szCs w:val="26"/>
        </w:rPr>
        <w:t>ce of souls, but refuses to say that it is the soul that defines a persson, as he considers it as insufficient to understanding personal identity. Instead, it is the fundamentals of our memory that he decides distinguishes people from each other. He writes</w:t>
      </w:r>
      <w:r>
        <w:rPr>
          <w:rFonts w:ascii="Times New Roman" w:eastAsia="Times New Roman" w:hAnsi="Times New Roman" w:cs="Times New Roman"/>
          <w:sz w:val="26"/>
          <w:szCs w:val="26"/>
        </w:rPr>
        <w:t xml:space="preserve"> again “ [...] it is by the same self with this present one that now reflects on it, that that action was done,”</w:t>
      </w:r>
      <w:r>
        <w:rPr>
          <w:rFonts w:ascii="Times New Roman" w:eastAsia="Times New Roman" w:hAnsi="Times New Roman" w:cs="Times New Roman"/>
          <w:sz w:val="26"/>
          <w:szCs w:val="26"/>
          <w:vertAlign w:val="superscript"/>
        </w:rPr>
        <w:footnoteReference w:id="3"/>
      </w:r>
      <w:r>
        <w:rPr>
          <w:rFonts w:ascii="Times New Roman" w:eastAsia="Times New Roman" w:hAnsi="Times New Roman" w:cs="Times New Roman"/>
          <w:sz w:val="26"/>
          <w:szCs w:val="26"/>
        </w:rPr>
        <w:t xml:space="preserve"> which reads how he believes it is the actions that decide a man’s personality, and how the memories of such actions are how we can distinguish</w:t>
      </w:r>
      <w:r>
        <w:rPr>
          <w:rFonts w:ascii="Times New Roman" w:eastAsia="Times New Roman" w:hAnsi="Times New Roman" w:cs="Times New Roman"/>
          <w:sz w:val="26"/>
          <w:szCs w:val="26"/>
        </w:rPr>
        <w:t xml:space="preserve"> ourselves. </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 problem with Locke’s view is that this kind of logic has many intrinsic flaws. Thomas Reid is among one of the more famous rebuttals, creating an allegory which summarised</w:t>
      </w:r>
      <w:r>
        <w:rPr>
          <w:rFonts w:ascii="Times New Roman" w:eastAsia="Times New Roman" w:hAnsi="Times New Roman" w:cs="Times New Roman"/>
          <w:sz w:val="26"/>
          <w:szCs w:val="26"/>
          <w:vertAlign w:val="superscript"/>
        </w:rPr>
        <w:footnoteReference w:id="4"/>
      </w:r>
      <w:r>
        <w:rPr>
          <w:rFonts w:ascii="Times New Roman" w:eastAsia="Times New Roman" w:hAnsi="Times New Roman" w:cs="Times New Roman"/>
          <w:sz w:val="26"/>
          <w:szCs w:val="26"/>
        </w:rPr>
        <w:t>, tells how a brave officer was punished for robbing from an apple</w:t>
      </w:r>
      <w:r>
        <w:rPr>
          <w:rFonts w:ascii="Times New Roman" w:eastAsia="Times New Roman" w:hAnsi="Times New Roman" w:cs="Times New Roman"/>
          <w:sz w:val="26"/>
          <w:szCs w:val="26"/>
        </w:rPr>
        <w:t xml:space="preserve"> orchard when they were a child, and how this event shaped him into a becoming an officer, which in turn shaped him to become a general in later life. The general remembers himself being a brave officer and how it shaped him to become who he is now, and th</w:t>
      </w:r>
      <w:r>
        <w:rPr>
          <w:rFonts w:ascii="Times New Roman" w:eastAsia="Times New Roman" w:hAnsi="Times New Roman" w:cs="Times New Roman"/>
          <w:sz w:val="26"/>
          <w:szCs w:val="26"/>
        </w:rPr>
        <w:t>e officer remembers being a small child being punished, and how it shaped him into becoming an officer. The problem lies with the fact that the general does not have any recollection of himself being a young boy. Using Locke’s theory of memory, we should s</w:t>
      </w:r>
      <w:r>
        <w:rPr>
          <w:rFonts w:ascii="Times New Roman" w:eastAsia="Times New Roman" w:hAnsi="Times New Roman" w:cs="Times New Roman"/>
          <w:sz w:val="26"/>
          <w:szCs w:val="26"/>
        </w:rPr>
        <w:t>ay the general is not the same person as the child, because he does not remember those actions, but if those actions did not happen on account that the general cannot remember the flogging, then the causal link between him being punished and becoming a gen</w:t>
      </w:r>
      <w:r>
        <w:rPr>
          <w:rFonts w:ascii="Times New Roman" w:eastAsia="Times New Roman" w:hAnsi="Times New Roman" w:cs="Times New Roman"/>
          <w:sz w:val="26"/>
          <w:szCs w:val="26"/>
        </w:rPr>
        <w:t xml:space="preserve">eral collapses, meaning that the general cannot exist as he is. Reid establishes a link between all three events and decidedly proves how Locke’s logic is flawed, and how memory alone can not be the identifier of people, as things that we may not remember </w:t>
      </w:r>
      <w:r>
        <w:rPr>
          <w:rFonts w:ascii="Times New Roman" w:eastAsia="Times New Roman" w:hAnsi="Times New Roman" w:cs="Times New Roman"/>
          <w:sz w:val="26"/>
          <w:szCs w:val="26"/>
        </w:rPr>
        <w:t>still may have played a decisive factor in who we are today.</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Other rebuttals include the idea of amnesia or Alzheimer’s Disease, and how memory loss caused by an accident or a debilitating genetic illness would, according to Locke’s view, mean that the pe</w:t>
      </w:r>
      <w:r>
        <w:rPr>
          <w:rFonts w:ascii="Times New Roman" w:eastAsia="Times New Roman" w:hAnsi="Times New Roman" w:cs="Times New Roman"/>
          <w:sz w:val="26"/>
          <w:szCs w:val="26"/>
        </w:rPr>
        <w:t>rson is fundamentally different simply for forgetting things they are no longer in control of. Is it not wrong to declare that someone is no longer who they once were because of factors beyond their control? Regarding the point about Alzheimer’s or somethi</w:t>
      </w:r>
      <w:r>
        <w:rPr>
          <w:rFonts w:ascii="Times New Roman" w:eastAsia="Times New Roman" w:hAnsi="Times New Roman" w:cs="Times New Roman"/>
          <w:sz w:val="26"/>
          <w:szCs w:val="26"/>
        </w:rPr>
        <w:t>ng similar, like dementia, would Locke not see them as something less than people, due to the fact they have no memories anymore? Seeing as they have no memories, Locke must surely therefore think that they are, at the least, they are now a different ‘pers</w:t>
      </w:r>
      <w:r>
        <w:rPr>
          <w:rFonts w:ascii="Times New Roman" w:eastAsia="Times New Roman" w:hAnsi="Times New Roman" w:cs="Times New Roman"/>
          <w:sz w:val="26"/>
          <w:szCs w:val="26"/>
        </w:rPr>
        <w:t>on’ from the person they used to ‘be’. Another ethical dilemma can come in the idea of criminals. If a criminal undoubtedly commits a heinous crime, but in the events of committing the crime, he loses all memory of said crime, Locke must therefore argue th</w:t>
      </w:r>
      <w:r>
        <w:rPr>
          <w:rFonts w:ascii="Times New Roman" w:eastAsia="Times New Roman" w:hAnsi="Times New Roman" w:cs="Times New Roman"/>
          <w:sz w:val="26"/>
          <w:szCs w:val="26"/>
        </w:rPr>
        <w:t xml:space="preserve">at the person is innocent, because they truly don’t remember the crime, meaning that on Locke’s account, the person now who has no memory of the earlier act cannot therefore be the same person as the one who committed the action. Locke’s view is therefore </w:t>
      </w:r>
      <w:r>
        <w:rPr>
          <w:rFonts w:ascii="Times New Roman" w:eastAsia="Times New Roman" w:hAnsi="Times New Roman" w:cs="Times New Roman"/>
          <w:sz w:val="26"/>
          <w:szCs w:val="26"/>
        </w:rPr>
        <w:t>short-sighted and flawed, to the point of ridicule.</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Derek Parfit added to Locke’s view to give the stance that it is memory that defines a person more credibility, as he writes how it is highly important to gaining our own identity, it is not all that we </w:t>
      </w:r>
      <w:r>
        <w:rPr>
          <w:rFonts w:ascii="Times New Roman" w:eastAsia="Times New Roman" w:hAnsi="Times New Roman" w:cs="Times New Roman"/>
          <w:sz w:val="26"/>
          <w:szCs w:val="26"/>
        </w:rPr>
        <w:t>need, as it is also our character and who we are as people and how we act that is important. Like Descartes before him, he places value on the mind, only this time distinguishes it from the soul and defines it as our thought process rather than a synonym f</w:t>
      </w:r>
      <w:r>
        <w:rPr>
          <w:rFonts w:ascii="Times New Roman" w:eastAsia="Times New Roman" w:hAnsi="Times New Roman" w:cs="Times New Roman"/>
          <w:sz w:val="26"/>
          <w:szCs w:val="26"/>
        </w:rPr>
        <w:t>or the term ‘soul’. Parfit then develops this further to argue that one person can live as two if you were to perfectly replicate the memories and characteristics into another body. Put simply, he believes that we as people are nothing more than memories a</w:t>
      </w:r>
      <w:r>
        <w:rPr>
          <w:rFonts w:ascii="Times New Roman" w:eastAsia="Times New Roman" w:hAnsi="Times New Roman" w:cs="Times New Roman"/>
          <w:sz w:val="26"/>
          <w:szCs w:val="26"/>
        </w:rPr>
        <w:t>nd personality, but our identities cannot be reduced to one or the other on their own merits. Therefore, according to Parfit, we can be identified by our memories, among other things, but that is all that we are, and it’s not particularly special, as he be</w:t>
      </w:r>
      <w:r>
        <w:rPr>
          <w:rFonts w:ascii="Times New Roman" w:eastAsia="Times New Roman" w:hAnsi="Times New Roman" w:cs="Times New Roman"/>
          <w:sz w:val="26"/>
          <w:szCs w:val="26"/>
        </w:rPr>
        <w:t>lieves they can be replicated so that one ‘person’ may be in two places at once.</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H.P. Grice also provides an amendment to Locke’s view, rebutting Reid’s paradox by introducing what he calls a “total temporary state”</w:t>
      </w:r>
      <w:r>
        <w:rPr>
          <w:rFonts w:ascii="Times New Roman" w:eastAsia="Times New Roman" w:hAnsi="Times New Roman" w:cs="Times New Roman"/>
          <w:sz w:val="26"/>
          <w:szCs w:val="26"/>
          <w:vertAlign w:val="superscript"/>
        </w:rPr>
        <w:footnoteReference w:id="5"/>
      </w:r>
      <w:r>
        <w:rPr>
          <w:rFonts w:ascii="Times New Roman" w:eastAsia="Times New Roman" w:hAnsi="Times New Roman" w:cs="Times New Roman"/>
          <w:sz w:val="26"/>
          <w:szCs w:val="26"/>
        </w:rPr>
        <w:t>, which eliminates the problem of trans</w:t>
      </w:r>
      <w:r>
        <w:rPr>
          <w:rFonts w:ascii="Times New Roman" w:eastAsia="Times New Roman" w:hAnsi="Times New Roman" w:cs="Times New Roman"/>
          <w:sz w:val="26"/>
          <w:szCs w:val="26"/>
        </w:rPr>
        <w:t xml:space="preserve">itivity that Reid rightfully brought up. Grice writes how each t.t.s is a point in which one event, or memory, can lead to another event. According to Grice, all of our lives are a summation of many different t.t.s’s, and they show a causal link of memory </w:t>
      </w:r>
      <w:r>
        <w:rPr>
          <w:rFonts w:ascii="Times New Roman" w:eastAsia="Times New Roman" w:hAnsi="Times New Roman" w:cs="Times New Roman"/>
          <w:sz w:val="26"/>
          <w:szCs w:val="26"/>
        </w:rPr>
        <w:t>from one to the other without you necessarily having to remember the event. If, for example, we take Reid’s analogy of the young boy, the brave officer and the general, Grice amends it by suggesting that there is a t.t.s between the general and the brave o</w:t>
      </w:r>
      <w:r>
        <w:rPr>
          <w:rFonts w:ascii="Times New Roman" w:eastAsia="Times New Roman" w:hAnsi="Times New Roman" w:cs="Times New Roman"/>
          <w:sz w:val="26"/>
          <w:szCs w:val="26"/>
        </w:rPr>
        <w:t>fficer, because his actions whilst being the officer lead to him to become the general, which the general remembers. This is a t.t.s. We can say the same for the officer and how the memories of him being a young boy dictated where he is. Using these two t.</w:t>
      </w:r>
      <w:r>
        <w:rPr>
          <w:rFonts w:ascii="Times New Roman" w:eastAsia="Times New Roman" w:hAnsi="Times New Roman" w:cs="Times New Roman"/>
          <w:sz w:val="26"/>
          <w:szCs w:val="26"/>
        </w:rPr>
        <w:t>t.s’s which Grice has defined, the general now has a link to the memory of when he was a young boy being punished for robbing an orchard. The general may not remember the event, but because the causal link has been established in Locke’s theory, Reid’s reb</w:t>
      </w:r>
      <w:r>
        <w:rPr>
          <w:rFonts w:ascii="Times New Roman" w:eastAsia="Times New Roman" w:hAnsi="Times New Roman" w:cs="Times New Roman"/>
          <w:sz w:val="26"/>
          <w:szCs w:val="26"/>
        </w:rPr>
        <w:t>uttal starts to falter.</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To conclude, looking at the idea of memory and how it may define a person, it is certainly an imperative discussion with many arguments to be made. Personally, after reading Locke’s assertion and the rebuttals that surfaced in the </w:t>
      </w:r>
      <w:r>
        <w:rPr>
          <w:rFonts w:ascii="Times New Roman" w:eastAsia="Times New Roman" w:hAnsi="Times New Roman" w:cs="Times New Roman"/>
          <w:sz w:val="26"/>
          <w:szCs w:val="26"/>
        </w:rPr>
        <w:t>many years since from scholars such as Reid and Grice, I view memory as important to being a person and understanding how you came to be the person you are today, but not with the importance that Locke attempts to attach to the ideology. Memory is indeed c</w:t>
      </w:r>
      <w:r>
        <w:rPr>
          <w:rFonts w:ascii="Times New Roman" w:eastAsia="Times New Roman" w:hAnsi="Times New Roman" w:cs="Times New Roman"/>
          <w:sz w:val="26"/>
          <w:szCs w:val="26"/>
        </w:rPr>
        <w:t>rucial to being the same person over time, but not to the extent where things such as amnesia can dictate who you are. Other people’s memories of you as a person still exist, and are just as valid as what yours used to be, and other people are just as impo</w:t>
      </w:r>
      <w:r>
        <w:rPr>
          <w:rFonts w:ascii="Times New Roman" w:eastAsia="Times New Roman" w:hAnsi="Times New Roman" w:cs="Times New Roman"/>
          <w:sz w:val="26"/>
          <w:szCs w:val="26"/>
        </w:rPr>
        <w:t>rtant in defining your own identity as you are unto yourself.</w:t>
      </w:r>
    </w:p>
    <w:p w:rsidR="00FE68C7" w:rsidRDefault="00FE68C7">
      <w:pPr>
        <w:spacing w:line="480" w:lineRule="auto"/>
        <w:jc w:val="both"/>
        <w:rPr>
          <w:rFonts w:ascii="Times New Roman" w:eastAsia="Times New Roman" w:hAnsi="Times New Roman" w:cs="Times New Roman"/>
          <w:sz w:val="26"/>
          <w:szCs w:val="26"/>
        </w:rPr>
      </w:pPr>
    </w:p>
    <w:p w:rsidR="00FE68C7" w:rsidRDefault="0068284B">
      <w:pPr>
        <w:spacing w:line="480" w:lineRule="auto"/>
        <w:jc w:val="both"/>
        <w:rPr>
          <w:rFonts w:ascii="Times New Roman" w:eastAsia="Times New Roman" w:hAnsi="Times New Roman" w:cs="Times New Roman"/>
          <w:sz w:val="26"/>
          <w:szCs w:val="26"/>
        </w:rPr>
      </w:pPr>
      <w:r>
        <w:br w:type="page"/>
      </w:r>
    </w:p>
    <w:p w:rsidR="00FE68C7" w:rsidRDefault="0068284B">
      <w:pPr>
        <w:spacing w:line="48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Bibliography</w:t>
      </w:r>
    </w:p>
    <w:p w:rsidR="00FE68C7" w:rsidRDefault="0068284B">
      <w:pPr>
        <w:jc w:val="both"/>
        <w:rPr>
          <w:rFonts w:ascii="Times New Roman" w:eastAsia="Times New Roman" w:hAnsi="Times New Roman" w:cs="Times New Roman"/>
        </w:rPr>
      </w:pPr>
      <w:r>
        <w:rPr>
          <w:rFonts w:ascii="Times New Roman" w:eastAsia="Times New Roman" w:hAnsi="Times New Roman" w:cs="Times New Roman"/>
        </w:rPr>
        <w:t xml:space="preserve">Descartes, R., Cottingham, J., Stoothoff, R. and Murdoch, D. (1984). </w:t>
      </w:r>
      <w:r>
        <w:rPr>
          <w:rFonts w:ascii="Times New Roman" w:eastAsia="Times New Roman" w:hAnsi="Times New Roman" w:cs="Times New Roman"/>
          <w:i/>
        </w:rPr>
        <w:t>The philosophical writings of Descartes</w:t>
      </w:r>
      <w:r>
        <w:rPr>
          <w:rFonts w:ascii="Times New Roman" w:eastAsia="Times New Roman" w:hAnsi="Times New Roman" w:cs="Times New Roman"/>
        </w:rPr>
        <w:t>. New York: Cambridge University Press, p.59.</w:t>
      </w:r>
    </w:p>
    <w:p w:rsidR="00FE68C7" w:rsidRDefault="00FE68C7">
      <w:pPr>
        <w:jc w:val="both"/>
        <w:rPr>
          <w:rFonts w:ascii="Times New Roman" w:eastAsia="Times New Roman" w:hAnsi="Times New Roman" w:cs="Times New Roman"/>
        </w:rPr>
      </w:pPr>
    </w:p>
    <w:p w:rsidR="00FE68C7" w:rsidRDefault="0068284B">
      <w:pPr>
        <w:jc w:val="both"/>
        <w:rPr>
          <w:rFonts w:ascii="Times New Roman" w:eastAsia="Times New Roman" w:hAnsi="Times New Roman" w:cs="Times New Roman"/>
        </w:rPr>
      </w:pPr>
      <w:r>
        <w:rPr>
          <w:rFonts w:ascii="Times New Roman" w:eastAsia="Times New Roman" w:hAnsi="Times New Roman" w:cs="Times New Roman"/>
        </w:rPr>
        <w:t xml:space="preserve">Perry, J. (2006). </w:t>
      </w:r>
      <w:r>
        <w:rPr>
          <w:rFonts w:ascii="Times New Roman" w:eastAsia="Times New Roman" w:hAnsi="Times New Roman" w:cs="Times New Roman"/>
          <w:i/>
        </w:rPr>
        <w:t>A dialogue on personal identity and immortality</w:t>
      </w:r>
      <w:r>
        <w:rPr>
          <w:rFonts w:ascii="Times New Roman" w:eastAsia="Times New Roman" w:hAnsi="Times New Roman" w:cs="Times New Roman"/>
        </w:rPr>
        <w:t>. Indianapolis: Hackett.</w:t>
      </w:r>
    </w:p>
    <w:p w:rsidR="00FE68C7" w:rsidRDefault="00FE68C7">
      <w:pPr>
        <w:jc w:val="both"/>
        <w:rPr>
          <w:rFonts w:ascii="Times New Roman" w:eastAsia="Times New Roman" w:hAnsi="Times New Roman" w:cs="Times New Roman"/>
        </w:rPr>
      </w:pPr>
    </w:p>
    <w:p w:rsidR="00FE68C7" w:rsidRDefault="0068284B">
      <w:pPr>
        <w:jc w:val="both"/>
      </w:pPr>
      <w:r>
        <w:rPr>
          <w:rFonts w:ascii="Times New Roman" w:eastAsia="Times New Roman" w:hAnsi="Times New Roman" w:cs="Times New Roman"/>
        </w:rPr>
        <w:t xml:space="preserve">Perry, J. (ed.) (1975) </w:t>
      </w:r>
      <w:r>
        <w:rPr>
          <w:rFonts w:ascii="Times New Roman" w:eastAsia="Times New Roman" w:hAnsi="Times New Roman" w:cs="Times New Roman"/>
          <w:i/>
        </w:rPr>
        <w:t xml:space="preserve">Personal Identity, </w:t>
      </w:r>
      <w:r>
        <w:rPr>
          <w:rFonts w:ascii="Times New Roman" w:eastAsia="Times New Roman" w:hAnsi="Times New Roman" w:cs="Times New Roman"/>
        </w:rPr>
        <w:t>University of California Press, Los Angeles</w:t>
      </w:r>
    </w:p>
    <w:p w:rsidR="00FE68C7" w:rsidRDefault="00FE68C7">
      <w:pPr>
        <w:jc w:val="both"/>
        <w:rPr>
          <w:rFonts w:ascii="Times New Roman" w:eastAsia="Times New Roman" w:hAnsi="Times New Roman" w:cs="Times New Roman"/>
        </w:rPr>
      </w:pPr>
    </w:p>
    <w:p w:rsidR="00FE68C7" w:rsidRDefault="0068284B">
      <w:pPr>
        <w:jc w:val="both"/>
        <w:rPr>
          <w:rFonts w:ascii="Times New Roman" w:eastAsia="Times New Roman" w:hAnsi="Times New Roman" w:cs="Times New Roman"/>
        </w:rPr>
      </w:pPr>
      <w:r>
        <w:rPr>
          <w:rFonts w:ascii="Times New Roman" w:eastAsia="Times New Roman" w:hAnsi="Times New Roman" w:cs="Times New Roman"/>
        </w:rPr>
        <w:t xml:space="preserve">Grice, H.P.  Personal Identity, </w:t>
      </w:r>
      <w:r>
        <w:rPr>
          <w:rFonts w:ascii="Times New Roman" w:eastAsia="Times New Roman" w:hAnsi="Times New Roman" w:cs="Times New Roman"/>
          <w:i/>
        </w:rPr>
        <w:t>Personal Identity</w:t>
      </w:r>
      <w:r>
        <w:rPr>
          <w:rFonts w:ascii="Times New Roman" w:eastAsia="Times New Roman" w:hAnsi="Times New Roman" w:cs="Times New Roman"/>
        </w:rPr>
        <w:t>, 1975, pg. 73-99</w:t>
      </w:r>
    </w:p>
    <w:p w:rsidR="00FE68C7" w:rsidRDefault="00FE68C7">
      <w:pPr>
        <w:jc w:val="both"/>
        <w:rPr>
          <w:rFonts w:ascii="Times New Roman" w:eastAsia="Times New Roman" w:hAnsi="Times New Roman" w:cs="Times New Roman"/>
        </w:rPr>
      </w:pPr>
    </w:p>
    <w:p w:rsidR="00FE68C7" w:rsidRDefault="0068284B">
      <w:pPr>
        <w:jc w:val="both"/>
        <w:rPr>
          <w:rFonts w:ascii="Times New Roman" w:eastAsia="Times New Roman" w:hAnsi="Times New Roman" w:cs="Times New Roman"/>
        </w:rPr>
      </w:pPr>
      <w:r>
        <w:rPr>
          <w:rFonts w:ascii="Times New Roman" w:eastAsia="Times New Roman" w:hAnsi="Times New Roman" w:cs="Times New Roman"/>
        </w:rPr>
        <w:t xml:space="preserve">Reid, T. Of Mr. Locke’s Account of Our Personal Identity, </w:t>
      </w:r>
      <w:r>
        <w:rPr>
          <w:rFonts w:ascii="Times New Roman" w:eastAsia="Times New Roman" w:hAnsi="Times New Roman" w:cs="Times New Roman"/>
          <w:i/>
        </w:rPr>
        <w:t>Personal Identity</w:t>
      </w:r>
      <w:r>
        <w:rPr>
          <w:rFonts w:ascii="Times New Roman" w:eastAsia="Times New Roman" w:hAnsi="Times New Roman" w:cs="Times New Roman"/>
        </w:rPr>
        <w:t>, 1975, pg. 113-118</w:t>
      </w:r>
    </w:p>
    <w:p w:rsidR="00FE68C7" w:rsidRDefault="00FE68C7">
      <w:pPr>
        <w:jc w:val="both"/>
        <w:rPr>
          <w:rFonts w:ascii="Times New Roman" w:eastAsia="Times New Roman" w:hAnsi="Times New Roman" w:cs="Times New Roman"/>
        </w:rPr>
      </w:pPr>
    </w:p>
    <w:p w:rsidR="00FE68C7" w:rsidRDefault="0068284B">
      <w:pPr>
        <w:jc w:val="both"/>
        <w:rPr>
          <w:rFonts w:ascii="Times New Roman" w:eastAsia="Times New Roman" w:hAnsi="Times New Roman" w:cs="Times New Roman"/>
        </w:rPr>
      </w:pPr>
      <w:r>
        <w:rPr>
          <w:rFonts w:ascii="Times New Roman" w:eastAsia="Times New Roman" w:hAnsi="Times New Roman" w:cs="Times New Roman"/>
        </w:rPr>
        <w:t xml:space="preserve">Parfit, D. Personal Identity, </w:t>
      </w:r>
      <w:r>
        <w:rPr>
          <w:rFonts w:ascii="Times New Roman" w:eastAsia="Times New Roman" w:hAnsi="Times New Roman" w:cs="Times New Roman"/>
          <w:i/>
        </w:rPr>
        <w:t>Personal Identity</w:t>
      </w:r>
      <w:r>
        <w:rPr>
          <w:rFonts w:ascii="Times New Roman" w:eastAsia="Times New Roman" w:hAnsi="Times New Roman" w:cs="Times New Roman"/>
        </w:rPr>
        <w:t>, 1975, pg. 199-223</w:t>
      </w:r>
    </w:p>
    <w:p w:rsidR="00FE68C7" w:rsidRDefault="00FE68C7">
      <w:pPr>
        <w:jc w:val="both"/>
        <w:rPr>
          <w:rFonts w:ascii="Times New Roman" w:eastAsia="Times New Roman" w:hAnsi="Times New Roman" w:cs="Times New Roman"/>
        </w:rPr>
      </w:pPr>
    </w:p>
    <w:p w:rsidR="00FE68C7" w:rsidRDefault="0068284B">
      <w:pPr>
        <w:jc w:val="both"/>
        <w:rPr>
          <w:rFonts w:ascii="Times New Roman" w:eastAsia="Times New Roman" w:hAnsi="Times New Roman" w:cs="Times New Roman"/>
        </w:rPr>
      </w:pPr>
      <w:r>
        <w:rPr>
          <w:rFonts w:ascii="Times New Roman" w:eastAsia="Times New Roman" w:hAnsi="Times New Roman" w:cs="Times New Roman"/>
        </w:rPr>
        <w:t xml:space="preserve">Locke, J. (n.d.). </w:t>
      </w:r>
      <w:r>
        <w:rPr>
          <w:rFonts w:ascii="Times New Roman" w:eastAsia="Times New Roman" w:hAnsi="Times New Roman" w:cs="Times New Roman"/>
          <w:i/>
        </w:rPr>
        <w:t>An essay concerning human understanding</w:t>
      </w:r>
      <w:r>
        <w:rPr>
          <w:rFonts w:ascii="Times New Roman" w:eastAsia="Times New Roman" w:hAnsi="Times New Roman" w:cs="Times New Roman"/>
        </w:rPr>
        <w:t>. Wordsworth Editions, p.317.</w:t>
      </w:r>
    </w:p>
    <w:p w:rsidR="00FE68C7" w:rsidRDefault="00FE68C7">
      <w:pPr>
        <w:jc w:val="both"/>
        <w:rPr>
          <w:rFonts w:ascii="Times New Roman" w:eastAsia="Times New Roman" w:hAnsi="Times New Roman" w:cs="Times New Roman"/>
        </w:rPr>
      </w:pPr>
    </w:p>
    <w:sectPr w:rsidR="00FE68C7">
      <w:footerReference w:type="default" r:id="rId6"/>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8284B">
      <w:pPr>
        <w:spacing w:line="240" w:lineRule="auto"/>
      </w:pPr>
      <w:r>
        <w:separator/>
      </w:r>
    </w:p>
  </w:endnote>
  <w:endnote w:type="continuationSeparator" w:id="0">
    <w:p w:rsidR="00000000" w:rsidRDefault="006828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68C7" w:rsidRDefault="0068284B">
    <w:pPr>
      <w:jc w:val="right"/>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sidR="00AB54E7">
      <w:rPr>
        <w:rFonts w:ascii="Times New Roman" w:eastAsia="Times New Roman" w:hAnsi="Times New Roman" w:cs="Times New Roman"/>
      </w:rPr>
      <w:fldChar w:fldCharType="separate"/>
    </w:r>
    <w:r>
      <w:rPr>
        <w:rFonts w:ascii="Times New Roman" w:eastAsia="Times New Roman" w:hAnsi="Times New Roman" w:cs="Times New Roman"/>
        <w:noProof/>
      </w:rPr>
      <w:t>7</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8284B">
      <w:pPr>
        <w:spacing w:line="240" w:lineRule="auto"/>
      </w:pPr>
      <w:r>
        <w:separator/>
      </w:r>
    </w:p>
  </w:footnote>
  <w:footnote w:type="continuationSeparator" w:id="0">
    <w:p w:rsidR="00000000" w:rsidRDefault="0068284B">
      <w:pPr>
        <w:spacing w:line="240" w:lineRule="auto"/>
      </w:pPr>
      <w:r>
        <w:continuationSeparator/>
      </w:r>
    </w:p>
  </w:footnote>
  <w:footnote w:id="1">
    <w:p w:rsidR="00FE68C7" w:rsidRDefault="0068284B">
      <w:pPr>
        <w:spacing w:line="240" w:lineRule="auto"/>
        <w:rPr>
          <w:sz w:val="20"/>
          <w:szCs w:val="20"/>
        </w:rPr>
      </w:pPr>
      <w:r>
        <w:rPr>
          <w:vertAlign w:val="superscript"/>
        </w:rPr>
        <w:footnoteRef/>
      </w:r>
      <w:r>
        <w:rPr>
          <w:sz w:val="20"/>
          <w:szCs w:val="20"/>
        </w:rPr>
        <w:t xml:space="preserve"> (Locke, 1690)</w:t>
      </w:r>
    </w:p>
  </w:footnote>
  <w:footnote w:id="2">
    <w:p w:rsidR="00FE68C7" w:rsidRDefault="0068284B">
      <w:pPr>
        <w:spacing w:line="240" w:lineRule="auto"/>
        <w:rPr>
          <w:sz w:val="20"/>
          <w:szCs w:val="20"/>
        </w:rPr>
      </w:pPr>
      <w:r>
        <w:rPr>
          <w:vertAlign w:val="superscript"/>
        </w:rPr>
        <w:footnoteRef/>
      </w:r>
      <w:r>
        <w:rPr>
          <w:sz w:val="20"/>
          <w:szCs w:val="20"/>
        </w:rPr>
        <w:t xml:space="preserve"> </w:t>
      </w:r>
      <w:r>
        <w:rPr>
          <w:sz w:val="20"/>
          <w:szCs w:val="20"/>
        </w:rPr>
        <w:t>(Descartes et. al., 1984)</w:t>
      </w:r>
    </w:p>
  </w:footnote>
  <w:footnote w:id="3">
    <w:p w:rsidR="00FE68C7" w:rsidRDefault="0068284B">
      <w:pPr>
        <w:spacing w:line="240" w:lineRule="auto"/>
        <w:rPr>
          <w:sz w:val="20"/>
          <w:szCs w:val="20"/>
        </w:rPr>
      </w:pPr>
      <w:r>
        <w:rPr>
          <w:vertAlign w:val="superscript"/>
        </w:rPr>
        <w:footnoteRef/>
      </w:r>
      <w:r>
        <w:rPr>
          <w:sz w:val="20"/>
          <w:szCs w:val="20"/>
        </w:rPr>
        <w:t xml:space="preserve"> </w:t>
      </w:r>
      <w:r>
        <w:rPr>
          <w:sz w:val="20"/>
          <w:szCs w:val="20"/>
        </w:rPr>
        <w:t>(Locke, 1690)</w:t>
      </w:r>
    </w:p>
  </w:footnote>
  <w:footnote w:id="4">
    <w:p w:rsidR="00FE68C7" w:rsidRDefault="0068284B">
      <w:pPr>
        <w:spacing w:line="240" w:lineRule="auto"/>
        <w:rPr>
          <w:sz w:val="20"/>
          <w:szCs w:val="20"/>
        </w:rPr>
      </w:pPr>
      <w:r>
        <w:rPr>
          <w:vertAlign w:val="superscript"/>
        </w:rPr>
        <w:footnoteRef/>
      </w:r>
      <w:r>
        <w:rPr>
          <w:sz w:val="20"/>
          <w:szCs w:val="20"/>
        </w:rPr>
        <w:t xml:space="preserve"> </w:t>
      </w:r>
      <w:r>
        <w:rPr>
          <w:sz w:val="20"/>
          <w:szCs w:val="20"/>
        </w:rPr>
        <w:t>(Reid, 1975)</w:t>
      </w:r>
    </w:p>
  </w:footnote>
  <w:footnote w:id="5">
    <w:p w:rsidR="00FE68C7" w:rsidRDefault="0068284B">
      <w:pPr>
        <w:spacing w:line="240" w:lineRule="auto"/>
        <w:rPr>
          <w:sz w:val="20"/>
          <w:szCs w:val="20"/>
        </w:rPr>
      </w:pPr>
      <w:r>
        <w:rPr>
          <w:vertAlign w:val="superscript"/>
        </w:rPr>
        <w:footnoteRef/>
      </w:r>
      <w:r>
        <w:rPr>
          <w:sz w:val="20"/>
          <w:szCs w:val="20"/>
        </w:rPr>
        <w:t xml:space="preserve"> </w:t>
      </w:r>
      <w:r>
        <w:rPr>
          <w:sz w:val="20"/>
          <w:szCs w:val="20"/>
        </w:rPr>
        <w:t>(Grice, 1975)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E68C7"/>
    <w:rsid w:val="0068284B"/>
    <w:rsid w:val="009E4287"/>
    <w:rsid w:val="00AB54E7"/>
    <w:rsid w:val="00CD333A"/>
    <w:rsid w:val="00FE6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D12639-8545-49CB-AD3A-F8107D5EF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1385</Words>
  <Characters>7899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PoliceAlarm</cp:lastModifiedBy>
  <cp:revision>2</cp:revision>
  <dcterms:created xsi:type="dcterms:W3CDTF">2017-11-21T15:13:00Z</dcterms:created>
  <dcterms:modified xsi:type="dcterms:W3CDTF">2017-11-21T15:13:00Z</dcterms:modified>
</cp:coreProperties>
</file>