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0FF0" w:rsidRDefault="00E10FF0" w:rsidP="00E10FF0">
      <w:pPr>
        <w:jc w:val="center"/>
        <w:rPr>
          <w:b/>
          <w:bCs/>
        </w:rPr>
      </w:pPr>
    </w:p>
    <w:p w:rsidR="00E10FF0" w:rsidRPr="00A31119" w:rsidRDefault="00E10FF0" w:rsidP="00E10FF0">
      <w:pPr>
        <w:jc w:val="center"/>
        <w:rPr>
          <w:b/>
          <w:bCs/>
        </w:rPr>
      </w:pPr>
      <w:r w:rsidRPr="00A31119">
        <w:rPr>
          <w:noProof/>
          <w:lang w:val="en-IN" w:eastAsia="en-IN"/>
        </w:rPr>
        <w:drawing>
          <wp:inline distT="0" distB="0" distL="0" distR="0" wp14:anchorId="2893B7B2" wp14:editId="45FAE5A1">
            <wp:extent cx="3355429" cy="1250062"/>
            <wp:effectExtent l="0" t="0" r="0" b="0"/>
            <wp:docPr id="2010088672" name="image1.png" descr="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pic:cNvPicPr preferRelativeResize="0"/>
                  </pic:nvPicPr>
                  <pic:blipFill>
                    <a:blip r:embed="rId5"/>
                    <a:srcRect/>
                    <a:stretch>
                      <a:fillRect/>
                    </a:stretch>
                  </pic:blipFill>
                  <pic:spPr>
                    <a:xfrm>
                      <a:off x="0" y="0"/>
                      <a:ext cx="3355429" cy="1250062"/>
                    </a:xfrm>
                    <a:prstGeom prst="rect">
                      <a:avLst/>
                    </a:prstGeom>
                    <a:ln/>
                  </pic:spPr>
                </pic:pic>
              </a:graphicData>
            </a:graphic>
          </wp:inline>
        </w:drawing>
      </w:r>
    </w:p>
    <w:p w:rsidR="00E10FF0" w:rsidRPr="00A31119" w:rsidRDefault="00E10FF0" w:rsidP="00E10FF0">
      <w:pPr>
        <w:jc w:val="center"/>
        <w:rPr>
          <w:b/>
          <w:bCs/>
          <w:sz w:val="32"/>
          <w:szCs w:val="32"/>
        </w:rPr>
      </w:pPr>
    </w:p>
    <w:p w:rsidR="00E10FF0" w:rsidRDefault="00E10FF0" w:rsidP="00E10FF0">
      <w:pPr>
        <w:jc w:val="center"/>
        <w:rPr>
          <w:b/>
          <w:bCs/>
          <w:sz w:val="32"/>
          <w:szCs w:val="32"/>
        </w:rPr>
      </w:pPr>
    </w:p>
    <w:p w:rsidR="00E10FF0" w:rsidRDefault="00E10FF0" w:rsidP="00E10FF0">
      <w:pPr>
        <w:jc w:val="center"/>
        <w:rPr>
          <w:b/>
          <w:bCs/>
          <w:sz w:val="32"/>
          <w:szCs w:val="32"/>
        </w:rPr>
      </w:pPr>
      <w:r w:rsidRPr="00B168E3">
        <w:rPr>
          <w:b/>
          <w:bCs/>
          <w:sz w:val="32"/>
          <w:szCs w:val="32"/>
        </w:rPr>
        <w:t>Programme: Master of Business Administration</w:t>
      </w:r>
    </w:p>
    <w:p w:rsidR="00E10FF0" w:rsidRPr="00B168E3" w:rsidRDefault="00E10FF0" w:rsidP="00E10FF0">
      <w:pPr>
        <w:jc w:val="center"/>
        <w:rPr>
          <w:b/>
          <w:bCs/>
          <w:sz w:val="32"/>
          <w:szCs w:val="32"/>
        </w:rPr>
      </w:pPr>
    </w:p>
    <w:p w:rsidR="00E10FF0" w:rsidRPr="00B168E3" w:rsidRDefault="00E10FF0" w:rsidP="00E10FF0">
      <w:pPr>
        <w:spacing w:line="480" w:lineRule="auto"/>
        <w:jc w:val="center"/>
        <w:rPr>
          <w:b/>
          <w:bCs/>
          <w:sz w:val="32"/>
          <w:szCs w:val="32"/>
        </w:rPr>
      </w:pPr>
      <w:r w:rsidRPr="00B168E3">
        <w:rPr>
          <w:b/>
          <w:bCs/>
          <w:sz w:val="32"/>
          <w:szCs w:val="32"/>
        </w:rPr>
        <w:t>Module</w:t>
      </w:r>
      <w:r>
        <w:rPr>
          <w:b/>
          <w:bCs/>
          <w:sz w:val="32"/>
          <w:szCs w:val="32"/>
        </w:rPr>
        <w:t xml:space="preserve"> Name </w:t>
      </w:r>
      <w:r w:rsidRPr="00B168E3">
        <w:rPr>
          <w:b/>
          <w:bCs/>
          <w:sz w:val="32"/>
          <w:szCs w:val="32"/>
        </w:rPr>
        <w:t>: Strategic Management</w:t>
      </w:r>
    </w:p>
    <w:p w:rsidR="00E10FF0" w:rsidRPr="00B168E3" w:rsidRDefault="00E10FF0" w:rsidP="00E10FF0">
      <w:pPr>
        <w:spacing w:line="480" w:lineRule="auto"/>
        <w:jc w:val="center"/>
        <w:rPr>
          <w:b/>
          <w:bCs/>
          <w:sz w:val="32"/>
          <w:szCs w:val="32"/>
        </w:rPr>
      </w:pPr>
      <w:r w:rsidRPr="00B168E3">
        <w:rPr>
          <w:b/>
          <w:bCs/>
          <w:sz w:val="32"/>
          <w:szCs w:val="32"/>
        </w:rPr>
        <w:t>Module Code: LCMB7003</w:t>
      </w:r>
    </w:p>
    <w:p w:rsidR="00E10FF0" w:rsidRPr="00B168E3" w:rsidRDefault="00E10FF0" w:rsidP="00E10FF0">
      <w:pPr>
        <w:spacing w:line="480" w:lineRule="auto"/>
        <w:jc w:val="center"/>
        <w:rPr>
          <w:b/>
          <w:bCs/>
          <w:sz w:val="32"/>
          <w:szCs w:val="32"/>
        </w:rPr>
      </w:pPr>
      <w:r w:rsidRPr="00B168E3">
        <w:rPr>
          <w:b/>
          <w:bCs/>
          <w:sz w:val="32"/>
          <w:szCs w:val="32"/>
        </w:rPr>
        <w:t xml:space="preserve">Assignment Title: Assessment: Individual Report- </w:t>
      </w:r>
      <w:r w:rsidRPr="00B168E3">
        <w:rPr>
          <w:b/>
          <w:bCs/>
          <w:sz w:val="32"/>
          <w:szCs w:val="32"/>
          <w:lang w:val="en-GB"/>
        </w:rPr>
        <w:t>Boat</w:t>
      </w:r>
    </w:p>
    <w:p w:rsidR="00E10FF0" w:rsidRPr="00B168E3" w:rsidRDefault="00E10FF0" w:rsidP="00E10FF0">
      <w:pPr>
        <w:spacing w:line="480" w:lineRule="auto"/>
        <w:jc w:val="center"/>
        <w:rPr>
          <w:b/>
          <w:bCs/>
          <w:sz w:val="32"/>
          <w:szCs w:val="32"/>
        </w:rPr>
      </w:pPr>
      <w:r w:rsidRPr="00B168E3">
        <w:rPr>
          <w:b/>
          <w:bCs/>
          <w:sz w:val="32"/>
          <w:szCs w:val="32"/>
        </w:rPr>
        <w:t xml:space="preserve">Lecturer’s Name: </w:t>
      </w:r>
      <w:r w:rsidRPr="00B168E3">
        <w:rPr>
          <w:b/>
          <w:sz w:val="32"/>
          <w:szCs w:val="32"/>
        </w:rPr>
        <w:t>Amare Desta</w:t>
      </w:r>
    </w:p>
    <w:p w:rsidR="00E10FF0" w:rsidRPr="00B168E3" w:rsidRDefault="00E10FF0" w:rsidP="00E10FF0">
      <w:pPr>
        <w:spacing w:line="480" w:lineRule="auto"/>
        <w:jc w:val="center"/>
        <w:rPr>
          <w:b/>
          <w:bCs/>
          <w:sz w:val="32"/>
          <w:szCs w:val="32"/>
        </w:rPr>
      </w:pPr>
      <w:r w:rsidRPr="00B168E3">
        <w:rPr>
          <w:b/>
          <w:bCs/>
          <w:sz w:val="32"/>
          <w:szCs w:val="32"/>
        </w:rPr>
        <w:t>Student Name : Trupil rajeshbhai kumbhani</w:t>
      </w:r>
    </w:p>
    <w:p w:rsidR="00E10FF0" w:rsidRPr="00B168E3" w:rsidRDefault="00E10FF0" w:rsidP="00E10FF0">
      <w:pPr>
        <w:spacing w:line="480" w:lineRule="auto"/>
        <w:jc w:val="center"/>
        <w:rPr>
          <w:b/>
          <w:bCs/>
          <w:sz w:val="32"/>
          <w:szCs w:val="32"/>
        </w:rPr>
      </w:pPr>
      <w:r w:rsidRPr="00B168E3">
        <w:rPr>
          <w:b/>
          <w:bCs/>
          <w:sz w:val="32"/>
          <w:szCs w:val="32"/>
        </w:rPr>
        <w:t>Student ID : 2431306</w:t>
      </w:r>
    </w:p>
    <w:p w:rsidR="00E10FF0" w:rsidRPr="00B168E3" w:rsidRDefault="00E10FF0" w:rsidP="00E10FF0">
      <w:pPr>
        <w:spacing w:line="480" w:lineRule="auto"/>
        <w:jc w:val="center"/>
        <w:rPr>
          <w:b/>
          <w:bCs/>
          <w:sz w:val="32"/>
          <w:szCs w:val="32"/>
        </w:rPr>
      </w:pPr>
      <w:r w:rsidRPr="00B168E3">
        <w:rPr>
          <w:b/>
          <w:bCs/>
          <w:sz w:val="32"/>
          <w:szCs w:val="32"/>
        </w:rPr>
        <w:t>Term 2</w:t>
      </w:r>
    </w:p>
    <w:p w:rsidR="00E10FF0" w:rsidRPr="00B168E3" w:rsidRDefault="00E10FF0" w:rsidP="00E10FF0">
      <w:pPr>
        <w:spacing w:line="480" w:lineRule="auto"/>
        <w:jc w:val="center"/>
        <w:rPr>
          <w:b/>
          <w:bCs/>
          <w:sz w:val="32"/>
          <w:szCs w:val="32"/>
        </w:rPr>
      </w:pPr>
      <w:r w:rsidRPr="00B168E3">
        <w:rPr>
          <w:b/>
          <w:bCs/>
          <w:sz w:val="32"/>
          <w:szCs w:val="32"/>
        </w:rPr>
        <w:t>Submission Date:</w:t>
      </w:r>
      <w:r w:rsidR="007E5008">
        <w:rPr>
          <w:b/>
          <w:bCs/>
          <w:sz w:val="32"/>
          <w:szCs w:val="32"/>
        </w:rPr>
        <w:t xml:space="preserve"> 22</w:t>
      </w:r>
      <w:r w:rsidR="007E5008" w:rsidRPr="007E5008">
        <w:rPr>
          <w:b/>
          <w:bCs/>
          <w:sz w:val="32"/>
          <w:szCs w:val="32"/>
          <w:vertAlign w:val="superscript"/>
        </w:rPr>
        <w:t>nd</w:t>
      </w:r>
      <w:r w:rsidRPr="00B168E3">
        <w:rPr>
          <w:b/>
          <w:bCs/>
          <w:sz w:val="32"/>
          <w:szCs w:val="32"/>
        </w:rPr>
        <w:t xml:space="preserve"> December 2025</w:t>
      </w:r>
    </w:p>
    <w:p w:rsidR="00E10FF0" w:rsidRPr="00005374" w:rsidRDefault="00E10FF0" w:rsidP="00E10FF0">
      <w:pPr>
        <w:spacing w:after="160" w:line="259" w:lineRule="auto"/>
        <w:jc w:val="center"/>
        <w:rPr>
          <w:b/>
          <w:bCs/>
          <w:sz w:val="24"/>
          <w:szCs w:val="24"/>
          <w:lang w:val="en-GB"/>
        </w:rPr>
      </w:pPr>
    </w:p>
    <w:p w:rsidR="00E10FF0" w:rsidRPr="00005374" w:rsidRDefault="00E10FF0" w:rsidP="00E10FF0">
      <w:pPr>
        <w:spacing w:after="160" w:line="259" w:lineRule="auto"/>
        <w:jc w:val="center"/>
        <w:rPr>
          <w:b/>
          <w:bCs/>
          <w:sz w:val="24"/>
          <w:szCs w:val="24"/>
          <w:lang w:val="en-GB"/>
        </w:rPr>
      </w:pPr>
    </w:p>
    <w:p w:rsidR="00E10FF0" w:rsidRPr="00005374" w:rsidRDefault="00E10FF0" w:rsidP="00E10FF0">
      <w:pPr>
        <w:spacing w:after="160" w:line="259" w:lineRule="auto"/>
        <w:jc w:val="center"/>
        <w:rPr>
          <w:b/>
          <w:bCs/>
          <w:sz w:val="24"/>
          <w:szCs w:val="24"/>
          <w:lang w:val="en-GB"/>
        </w:rPr>
      </w:pPr>
    </w:p>
    <w:p w:rsidR="00E10FF0" w:rsidRPr="00005374" w:rsidRDefault="00E10FF0" w:rsidP="00E10FF0">
      <w:pPr>
        <w:spacing w:after="160" w:line="259" w:lineRule="auto"/>
        <w:jc w:val="center"/>
        <w:rPr>
          <w:b/>
          <w:bCs/>
          <w:sz w:val="24"/>
          <w:szCs w:val="24"/>
          <w:lang w:val="en-GB"/>
        </w:rPr>
      </w:pPr>
      <w:r w:rsidRPr="00005374">
        <w:rPr>
          <w:lang w:val="en-GB"/>
        </w:rPr>
        <w:br w:type="page"/>
      </w:r>
    </w:p>
    <w:p w:rsidR="00E10FF0" w:rsidRPr="00005374" w:rsidRDefault="00E10FF0" w:rsidP="00E10FF0">
      <w:pPr>
        <w:spacing w:after="160" w:line="259" w:lineRule="auto"/>
        <w:jc w:val="center"/>
        <w:rPr>
          <w:rFonts w:eastAsia="Times New Roman"/>
          <w:b/>
          <w:bCs/>
          <w:sz w:val="28"/>
          <w:szCs w:val="24"/>
          <w:lang w:val="en-GB"/>
        </w:rPr>
      </w:pPr>
      <w:r w:rsidRPr="00005374">
        <w:rPr>
          <w:rFonts w:eastAsia="Times New Roman"/>
          <w:b/>
          <w:bCs/>
          <w:sz w:val="28"/>
          <w:szCs w:val="24"/>
          <w:lang w:val="en-GB"/>
        </w:rPr>
        <w:lastRenderedPageBreak/>
        <w:t>Executive summary</w:t>
      </w:r>
    </w:p>
    <w:p w:rsidR="00E10FF0" w:rsidRPr="00005374" w:rsidRDefault="00E10FF0" w:rsidP="00E10FF0">
      <w:pPr>
        <w:spacing w:after="160" w:line="360" w:lineRule="auto"/>
        <w:jc w:val="both"/>
        <w:rPr>
          <w:rFonts w:eastAsia="Times New Roman"/>
          <w:sz w:val="24"/>
          <w:szCs w:val="24"/>
          <w:lang w:val="en-GB"/>
        </w:rPr>
      </w:pPr>
      <w:r w:rsidRPr="00005374">
        <w:rPr>
          <w:rFonts w:eastAsia="Times New Roman"/>
          <w:sz w:val="24"/>
          <w:szCs w:val="24"/>
          <w:lang w:val="en-GB"/>
        </w:rPr>
        <w:t>The report is based on finding the market expansion strategy of a company named Boat. The chosen market is chosen as Australia. The rationale has mentioned that a strong economic environment widely supports the demand for premium quality and affordable lifestyle products. Analysis of macro environmental factors and the competitive landscape have been developed by considering the PESTLE and Porter’s five forces framework. The framework is effective in clarifying the degree of price sensitivity, innovation pressure and quality expectations within the Australian audio market. At the same time, both of the tools are reliant on guidance on strategic actions and identification of external conditions. boAt should adopt a hybrid strategy through the integration of direct exporting via e-commerce distribution channels and developing strategic allyship with JB Hi Fi will be more insightful to deal with competitive differentiation. Balanced scorecard has been incorporated with KPIs and success criteria to measure the level of success of Boat in Australia.</w:t>
      </w:r>
    </w:p>
    <w:p w:rsidR="00E10FF0" w:rsidRPr="00005374" w:rsidRDefault="00E10FF0" w:rsidP="00E10FF0">
      <w:pPr>
        <w:spacing w:after="160" w:line="259" w:lineRule="auto"/>
        <w:jc w:val="center"/>
        <w:rPr>
          <w:rFonts w:ascii="Times New Roman" w:eastAsia="Times New Roman" w:hAnsi="Times New Roman" w:cs="Times New Roman"/>
          <w:sz w:val="24"/>
          <w:szCs w:val="24"/>
          <w:lang w:val="en-GB"/>
        </w:rPr>
      </w:pPr>
    </w:p>
    <w:p w:rsidR="00E10FF0" w:rsidRPr="00005374" w:rsidRDefault="00E10FF0" w:rsidP="00E10FF0">
      <w:pPr>
        <w:rPr>
          <w:b/>
          <w:bCs/>
          <w:sz w:val="24"/>
          <w:szCs w:val="24"/>
          <w:lang w:val="en-GB"/>
        </w:rPr>
      </w:pPr>
      <w:r w:rsidRPr="00005374">
        <w:rPr>
          <w:lang w:val="en-GB"/>
        </w:rPr>
        <w:br w:type="page"/>
      </w:r>
    </w:p>
    <w:p w:rsidR="00E10FF0" w:rsidRPr="00005374" w:rsidRDefault="00E10FF0" w:rsidP="00E10FF0">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sz w:val="28"/>
          <w:szCs w:val="28"/>
          <w:lang w:val="en-GB"/>
        </w:rPr>
      </w:pPr>
      <w:r w:rsidRPr="00005374">
        <w:rPr>
          <w:rFonts w:ascii="Times New Roman" w:eastAsia="Times New Roman" w:hAnsi="Times New Roman" w:cs="Times New Roman"/>
          <w:b/>
          <w:bCs/>
          <w:sz w:val="28"/>
          <w:szCs w:val="28"/>
          <w:lang w:val="en-GB"/>
        </w:rPr>
        <w:lastRenderedPageBreak/>
        <w:t>Table of Contents</w:t>
      </w:r>
    </w:p>
    <w:sdt>
      <w:sdtPr>
        <w:rPr>
          <w:lang w:val="en-GB"/>
        </w:rPr>
        <w:id w:val="-222486659"/>
        <w:docPartObj>
          <w:docPartGallery w:val="Table of Contents"/>
          <w:docPartUnique/>
        </w:docPartObj>
      </w:sdtPr>
      <w:sdtContent>
        <w:p w:rsidR="00E10FF0" w:rsidRPr="00005374" w:rsidRDefault="00E10FF0" w:rsidP="00E10FF0">
          <w:pPr>
            <w:pStyle w:val="TOC1"/>
            <w:tabs>
              <w:tab w:val="right" w:leader="dot" w:pos="9350"/>
            </w:tabs>
            <w:jc w:val="both"/>
            <w:rPr>
              <w:rFonts w:asciiTheme="minorHAnsi" w:eastAsiaTheme="minorEastAsia" w:hAnsiTheme="minorHAnsi" w:cstheme="minorBidi"/>
              <w:noProof/>
              <w:sz w:val="24"/>
              <w:lang w:val="en-GB" w:eastAsia="en-GB"/>
            </w:rPr>
          </w:pPr>
          <w:r w:rsidRPr="00005374">
            <w:rPr>
              <w:lang w:val="en-GB"/>
            </w:rPr>
            <w:fldChar w:fldCharType="begin"/>
          </w:r>
          <w:r w:rsidRPr="00005374">
            <w:rPr>
              <w:lang w:val="en-GB"/>
            </w:rPr>
            <w:instrText xml:space="preserve"> TOC \h \u \z \t "Heading 1,1,Heading 2,2,Heading 3,3,"</w:instrText>
          </w:r>
          <w:r w:rsidRPr="00005374">
            <w:rPr>
              <w:lang w:val="en-GB"/>
            </w:rPr>
            <w:fldChar w:fldCharType="separate"/>
          </w:r>
          <w:hyperlink w:anchor="_Toc216128155" w:history="1">
            <w:r w:rsidRPr="00005374">
              <w:rPr>
                <w:rStyle w:val="Hyperlink"/>
                <w:noProof/>
                <w:sz w:val="24"/>
                <w:lang w:val="en-GB"/>
              </w:rPr>
              <w:t>Introduction</w:t>
            </w:r>
            <w:r w:rsidRPr="00005374">
              <w:rPr>
                <w:noProof/>
                <w:webHidden/>
                <w:sz w:val="24"/>
              </w:rPr>
              <w:tab/>
            </w:r>
            <w:r w:rsidRPr="00005374">
              <w:rPr>
                <w:noProof/>
                <w:webHidden/>
                <w:sz w:val="24"/>
              </w:rPr>
              <w:fldChar w:fldCharType="begin"/>
            </w:r>
            <w:r w:rsidRPr="00005374">
              <w:rPr>
                <w:noProof/>
                <w:webHidden/>
                <w:sz w:val="24"/>
              </w:rPr>
              <w:instrText xml:space="preserve"> PAGEREF _Toc216128155 \h </w:instrText>
            </w:r>
            <w:r w:rsidRPr="00005374">
              <w:rPr>
                <w:noProof/>
                <w:webHidden/>
                <w:sz w:val="24"/>
              </w:rPr>
            </w:r>
            <w:r w:rsidRPr="00005374">
              <w:rPr>
                <w:noProof/>
                <w:webHidden/>
                <w:sz w:val="24"/>
              </w:rPr>
              <w:fldChar w:fldCharType="separate"/>
            </w:r>
            <w:r>
              <w:rPr>
                <w:noProof/>
                <w:webHidden/>
                <w:sz w:val="24"/>
              </w:rPr>
              <w:t>4</w:t>
            </w:r>
            <w:r w:rsidRPr="00005374">
              <w:rPr>
                <w:noProof/>
                <w:webHidden/>
                <w:sz w:val="24"/>
              </w:rPr>
              <w:fldChar w:fldCharType="end"/>
            </w:r>
          </w:hyperlink>
        </w:p>
        <w:p w:rsidR="00E10FF0" w:rsidRPr="00005374" w:rsidRDefault="00E10FF0" w:rsidP="00E10FF0">
          <w:pPr>
            <w:pStyle w:val="TOC1"/>
            <w:tabs>
              <w:tab w:val="right" w:leader="dot" w:pos="9350"/>
            </w:tabs>
            <w:jc w:val="both"/>
            <w:rPr>
              <w:rFonts w:asciiTheme="minorHAnsi" w:eastAsiaTheme="minorEastAsia" w:hAnsiTheme="minorHAnsi" w:cstheme="minorBidi"/>
              <w:noProof/>
              <w:sz w:val="24"/>
              <w:lang w:val="en-GB" w:eastAsia="en-GB"/>
            </w:rPr>
          </w:pPr>
          <w:hyperlink w:anchor="_Toc216128156" w:history="1">
            <w:r w:rsidRPr="00005374">
              <w:rPr>
                <w:rStyle w:val="Hyperlink"/>
                <w:noProof/>
                <w:sz w:val="24"/>
                <w:lang w:val="en-GB"/>
              </w:rPr>
              <w:t>Section 1: Selection of Organisation and Target Market</w:t>
            </w:r>
            <w:r w:rsidRPr="00005374">
              <w:rPr>
                <w:noProof/>
                <w:webHidden/>
                <w:sz w:val="24"/>
              </w:rPr>
              <w:tab/>
            </w:r>
            <w:r w:rsidRPr="00005374">
              <w:rPr>
                <w:noProof/>
                <w:webHidden/>
                <w:sz w:val="24"/>
              </w:rPr>
              <w:fldChar w:fldCharType="begin"/>
            </w:r>
            <w:r w:rsidRPr="00005374">
              <w:rPr>
                <w:noProof/>
                <w:webHidden/>
                <w:sz w:val="24"/>
              </w:rPr>
              <w:instrText xml:space="preserve"> PAGEREF _Toc216128156 \h </w:instrText>
            </w:r>
            <w:r w:rsidRPr="00005374">
              <w:rPr>
                <w:noProof/>
                <w:webHidden/>
                <w:sz w:val="24"/>
              </w:rPr>
            </w:r>
            <w:r w:rsidRPr="00005374">
              <w:rPr>
                <w:noProof/>
                <w:webHidden/>
                <w:sz w:val="24"/>
              </w:rPr>
              <w:fldChar w:fldCharType="separate"/>
            </w:r>
            <w:r>
              <w:rPr>
                <w:noProof/>
                <w:webHidden/>
                <w:sz w:val="24"/>
              </w:rPr>
              <w:t>4</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57" w:history="1">
            <w:r w:rsidRPr="00005374">
              <w:rPr>
                <w:rStyle w:val="Hyperlink"/>
                <w:noProof/>
                <w:sz w:val="24"/>
                <w:lang w:val="en-GB"/>
              </w:rPr>
              <w:t>1.1 The chosen organization</w:t>
            </w:r>
            <w:r w:rsidRPr="00005374">
              <w:rPr>
                <w:noProof/>
                <w:webHidden/>
                <w:sz w:val="24"/>
              </w:rPr>
              <w:tab/>
            </w:r>
            <w:r w:rsidRPr="00005374">
              <w:rPr>
                <w:noProof/>
                <w:webHidden/>
                <w:sz w:val="24"/>
              </w:rPr>
              <w:fldChar w:fldCharType="begin"/>
            </w:r>
            <w:r w:rsidRPr="00005374">
              <w:rPr>
                <w:noProof/>
                <w:webHidden/>
                <w:sz w:val="24"/>
              </w:rPr>
              <w:instrText xml:space="preserve"> PAGEREF _Toc216128157 \h </w:instrText>
            </w:r>
            <w:r w:rsidRPr="00005374">
              <w:rPr>
                <w:noProof/>
                <w:webHidden/>
                <w:sz w:val="24"/>
              </w:rPr>
            </w:r>
            <w:r w:rsidRPr="00005374">
              <w:rPr>
                <w:noProof/>
                <w:webHidden/>
                <w:sz w:val="24"/>
              </w:rPr>
              <w:fldChar w:fldCharType="separate"/>
            </w:r>
            <w:r>
              <w:rPr>
                <w:noProof/>
                <w:webHidden/>
                <w:sz w:val="24"/>
              </w:rPr>
              <w:t>4</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58" w:history="1">
            <w:r w:rsidRPr="00005374">
              <w:rPr>
                <w:rStyle w:val="Hyperlink"/>
                <w:noProof/>
                <w:sz w:val="24"/>
                <w:lang w:val="en-GB"/>
              </w:rPr>
              <w:t>Target Market</w:t>
            </w:r>
            <w:r w:rsidRPr="00005374">
              <w:rPr>
                <w:noProof/>
                <w:webHidden/>
                <w:sz w:val="24"/>
              </w:rPr>
              <w:tab/>
            </w:r>
            <w:r w:rsidRPr="00005374">
              <w:rPr>
                <w:noProof/>
                <w:webHidden/>
                <w:sz w:val="24"/>
              </w:rPr>
              <w:fldChar w:fldCharType="begin"/>
            </w:r>
            <w:r w:rsidRPr="00005374">
              <w:rPr>
                <w:noProof/>
                <w:webHidden/>
                <w:sz w:val="24"/>
              </w:rPr>
              <w:instrText xml:space="preserve"> PAGEREF _Toc216128158 \h </w:instrText>
            </w:r>
            <w:r w:rsidRPr="00005374">
              <w:rPr>
                <w:noProof/>
                <w:webHidden/>
                <w:sz w:val="24"/>
              </w:rPr>
            </w:r>
            <w:r w:rsidRPr="00005374">
              <w:rPr>
                <w:noProof/>
                <w:webHidden/>
                <w:sz w:val="24"/>
              </w:rPr>
              <w:fldChar w:fldCharType="separate"/>
            </w:r>
            <w:r>
              <w:rPr>
                <w:noProof/>
                <w:webHidden/>
                <w:sz w:val="24"/>
              </w:rPr>
              <w:t>5</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59" w:history="1">
            <w:r w:rsidRPr="00005374">
              <w:rPr>
                <w:rStyle w:val="Hyperlink"/>
                <w:noProof/>
                <w:sz w:val="24"/>
                <w:lang w:val="en-GB"/>
              </w:rPr>
              <w:t>1.2 Rational for the Decision</w:t>
            </w:r>
            <w:r w:rsidRPr="00005374">
              <w:rPr>
                <w:noProof/>
                <w:webHidden/>
                <w:sz w:val="24"/>
              </w:rPr>
              <w:tab/>
            </w:r>
            <w:r w:rsidRPr="00005374">
              <w:rPr>
                <w:noProof/>
                <w:webHidden/>
                <w:sz w:val="24"/>
              </w:rPr>
              <w:fldChar w:fldCharType="begin"/>
            </w:r>
            <w:r w:rsidRPr="00005374">
              <w:rPr>
                <w:noProof/>
                <w:webHidden/>
                <w:sz w:val="24"/>
              </w:rPr>
              <w:instrText xml:space="preserve"> PAGEREF _Toc216128159 \h </w:instrText>
            </w:r>
            <w:r w:rsidRPr="00005374">
              <w:rPr>
                <w:noProof/>
                <w:webHidden/>
                <w:sz w:val="24"/>
              </w:rPr>
            </w:r>
            <w:r w:rsidRPr="00005374">
              <w:rPr>
                <w:noProof/>
                <w:webHidden/>
                <w:sz w:val="24"/>
              </w:rPr>
              <w:fldChar w:fldCharType="separate"/>
            </w:r>
            <w:r>
              <w:rPr>
                <w:noProof/>
                <w:webHidden/>
                <w:sz w:val="24"/>
              </w:rPr>
              <w:t>6</w:t>
            </w:r>
            <w:r w:rsidRPr="00005374">
              <w:rPr>
                <w:noProof/>
                <w:webHidden/>
                <w:sz w:val="24"/>
              </w:rPr>
              <w:fldChar w:fldCharType="end"/>
            </w:r>
          </w:hyperlink>
        </w:p>
        <w:p w:rsidR="00E10FF0" w:rsidRPr="00005374" w:rsidRDefault="00E10FF0" w:rsidP="00E10FF0">
          <w:pPr>
            <w:pStyle w:val="TOC1"/>
            <w:tabs>
              <w:tab w:val="right" w:leader="dot" w:pos="9350"/>
            </w:tabs>
            <w:jc w:val="both"/>
            <w:rPr>
              <w:rFonts w:asciiTheme="minorHAnsi" w:eastAsiaTheme="minorEastAsia" w:hAnsiTheme="minorHAnsi" w:cstheme="minorBidi"/>
              <w:noProof/>
              <w:sz w:val="24"/>
              <w:lang w:val="en-GB" w:eastAsia="en-GB"/>
            </w:rPr>
          </w:pPr>
          <w:hyperlink w:anchor="_Toc216128160" w:history="1">
            <w:r w:rsidRPr="00005374">
              <w:rPr>
                <w:rStyle w:val="Hyperlink"/>
                <w:noProof/>
                <w:sz w:val="24"/>
                <w:lang w:val="en-GB"/>
              </w:rPr>
              <w:t>Section 2: Comprehensive Strategic Analysis</w:t>
            </w:r>
            <w:r w:rsidRPr="00005374">
              <w:rPr>
                <w:noProof/>
                <w:webHidden/>
                <w:sz w:val="24"/>
              </w:rPr>
              <w:tab/>
            </w:r>
            <w:r w:rsidRPr="00005374">
              <w:rPr>
                <w:noProof/>
                <w:webHidden/>
                <w:sz w:val="24"/>
              </w:rPr>
              <w:fldChar w:fldCharType="begin"/>
            </w:r>
            <w:r w:rsidRPr="00005374">
              <w:rPr>
                <w:noProof/>
                <w:webHidden/>
                <w:sz w:val="24"/>
              </w:rPr>
              <w:instrText xml:space="preserve"> PAGEREF _Toc216128160 \h </w:instrText>
            </w:r>
            <w:r w:rsidRPr="00005374">
              <w:rPr>
                <w:noProof/>
                <w:webHidden/>
                <w:sz w:val="24"/>
              </w:rPr>
            </w:r>
            <w:r w:rsidRPr="00005374">
              <w:rPr>
                <w:noProof/>
                <w:webHidden/>
                <w:sz w:val="24"/>
              </w:rPr>
              <w:fldChar w:fldCharType="separate"/>
            </w:r>
            <w:r>
              <w:rPr>
                <w:noProof/>
                <w:webHidden/>
                <w:sz w:val="24"/>
              </w:rPr>
              <w:t>7</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61" w:history="1">
            <w:r w:rsidRPr="00005374">
              <w:rPr>
                <w:rStyle w:val="Hyperlink"/>
                <w:noProof/>
                <w:sz w:val="24"/>
                <w:lang w:val="en-GB"/>
              </w:rPr>
              <w:t>2.1 Analysis of the selected market's macro-environmental factors and competitive landscape</w:t>
            </w:r>
            <w:r w:rsidRPr="00005374">
              <w:rPr>
                <w:noProof/>
                <w:webHidden/>
                <w:sz w:val="24"/>
              </w:rPr>
              <w:tab/>
            </w:r>
            <w:r w:rsidRPr="00005374">
              <w:rPr>
                <w:noProof/>
                <w:webHidden/>
                <w:sz w:val="24"/>
              </w:rPr>
              <w:fldChar w:fldCharType="begin"/>
            </w:r>
            <w:r w:rsidRPr="00005374">
              <w:rPr>
                <w:noProof/>
                <w:webHidden/>
                <w:sz w:val="24"/>
              </w:rPr>
              <w:instrText xml:space="preserve"> PAGEREF _Toc216128161 \h </w:instrText>
            </w:r>
            <w:r w:rsidRPr="00005374">
              <w:rPr>
                <w:noProof/>
                <w:webHidden/>
                <w:sz w:val="24"/>
              </w:rPr>
            </w:r>
            <w:r w:rsidRPr="00005374">
              <w:rPr>
                <w:noProof/>
                <w:webHidden/>
                <w:sz w:val="24"/>
              </w:rPr>
              <w:fldChar w:fldCharType="separate"/>
            </w:r>
            <w:r>
              <w:rPr>
                <w:noProof/>
                <w:webHidden/>
                <w:sz w:val="24"/>
              </w:rPr>
              <w:t>7</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62" w:history="1">
            <w:r w:rsidRPr="00005374">
              <w:rPr>
                <w:rStyle w:val="Hyperlink"/>
                <w:noProof/>
                <w:sz w:val="24"/>
                <w:lang w:val="en-GB"/>
              </w:rPr>
              <w:t>2.2 Industry/ Competitive Analysis</w:t>
            </w:r>
            <w:r w:rsidRPr="00005374">
              <w:rPr>
                <w:noProof/>
                <w:webHidden/>
                <w:sz w:val="24"/>
              </w:rPr>
              <w:tab/>
            </w:r>
            <w:r w:rsidRPr="00005374">
              <w:rPr>
                <w:noProof/>
                <w:webHidden/>
                <w:sz w:val="24"/>
              </w:rPr>
              <w:fldChar w:fldCharType="begin"/>
            </w:r>
            <w:r w:rsidRPr="00005374">
              <w:rPr>
                <w:noProof/>
                <w:webHidden/>
                <w:sz w:val="24"/>
              </w:rPr>
              <w:instrText xml:space="preserve"> PAGEREF _Toc216128162 \h </w:instrText>
            </w:r>
            <w:r w:rsidRPr="00005374">
              <w:rPr>
                <w:noProof/>
                <w:webHidden/>
                <w:sz w:val="24"/>
              </w:rPr>
            </w:r>
            <w:r w:rsidRPr="00005374">
              <w:rPr>
                <w:noProof/>
                <w:webHidden/>
                <w:sz w:val="24"/>
              </w:rPr>
              <w:fldChar w:fldCharType="separate"/>
            </w:r>
            <w:r>
              <w:rPr>
                <w:noProof/>
                <w:webHidden/>
                <w:sz w:val="24"/>
              </w:rPr>
              <w:t>11</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63" w:history="1">
            <w:r w:rsidRPr="00005374">
              <w:rPr>
                <w:rStyle w:val="Hyperlink"/>
                <w:noProof/>
                <w:sz w:val="24"/>
                <w:lang w:val="en-GB"/>
              </w:rPr>
              <w:t>2.3 Performance analysis</w:t>
            </w:r>
            <w:r w:rsidRPr="00005374">
              <w:rPr>
                <w:noProof/>
                <w:webHidden/>
                <w:sz w:val="24"/>
              </w:rPr>
              <w:tab/>
            </w:r>
            <w:r w:rsidRPr="00005374">
              <w:rPr>
                <w:noProof/>
                <w:webHidden/>
                <w:sz w:val="24"/>
              </w:rPr>
              <w:fldChar w:fldCharType="begin"/>
            </w:r>
            <w:r w:rsidRPr="00005374">
              <w:rPr>
                <w:noProof/>
                <w:webHidden/>
                <w:sz w:val="24"/>
              </w:rPr>
              <w:instrText xml:space="preserve"> PAGEREF _Toc216128163 \h </w:instrText>
            </w:r>
            <w:r w:rsidRPr="00005374">
              <w:rPr>
                <w:noProof/>
                <w:webHidden/>
                <w:sz w:val="24"/>
              </w:rPr>
            </w:r>
            <w:r w:rsidRPr="00005374">
              <w:rPr>
                <w:noProof/>
                <w:webHidden/>
                <w:sz w:val="24"/>
              </w:rPr>
              <w:fldChar w:fldCharType="separate"/>
            </w:r>
            <w:r>
              <w:rPr>
                <w:noProof/>
                <w:webHidden/>
                <w:sz w:val="24"/>
              </w:rPr>
              <w:t>13</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64" w:history="1">
            <w:r w:rsidRPr="00005374">
              <w:rPr>
                <w:rStyle w:val="Hyperlink"/>
                <w:noProof/>
                <w:sz w:val="24"/>
                <w:lang w:val="en-GB"/>
              </w:rPr>
              <w:t>Insights and Strategic Implications</w:t>
            </w:r>
            <w:r w:rsidRPr="00005374">
              <w:rPr>
                <w:noProof/>
                <w:webHidden/>
                <w:sz w:val="24"/>
              </w:rPr>
              <w:tab/>
            </w:r>
            <w:r w:rsidRPr="00005374">
              <w:rPr>
                <w:noProof/>
                <w:webHidden/>
                <w:sz w:val="24"/>
              </w:rPr>
              <w:fldChar w:fldCharType="begin"/>
            </w:r>
            <w:r w:rsidRPr="00005374">
              <w:rPr>
                <w:noProof/>
                <w:webHidden/>
                <w:sz w:val="24"/>
              </w:rPr>
              <w:instrText xml:space="preserve"> PAGEREF _Toc216128164 \h </w:instrText>
            </w:r>
            <w:r w:rsidRPr="00005374">
              <w:rPr>
                <w:noProof/>
                <w:webHidden/>
                <w:sz w:val="24"/>
              </w:rPr>
            </w:r>
            <w:r w:rsidRPr="00005374">
              <w:rPr>
                <w:noProof/>
                <w:webHidden/>
                <w:sz w:val="24"/>
              </w:rPr>
              <w:fldChar w:fldCharType="separate"/>
            </w:r>
            <w:r>
              <w:rPr>
                <w:noProof/>
                <w:webHidden/>
                <w:sz w:val="24"/>
              </w:rPr>
              <w:t>14</w:t>
            </w:r>
            <w:r w:rsidRPr="00005374">
              <w:rPr>
                <w:noProof/>
                <w:webHidden/>
                <w:sz w:val="24"/>
              </w:rPr>
              <w:fldChar w:fldCharType="end"/>
            </w:r>
          </w:hyperlink>
        </w:p>
        <w:p w:rsidR="00E10FF0" w:rsidRPr="00005374" w:rsidRDefault="00E10FF0" w:rsidP="00E10FF0">
          <w:pPr>
            <w:pStyle w:val="TOC1"/>
            <w:tabs>
              <w:tab w:val="right" w:leader="dot" w:pos="9350"/>
            </w:tabs>
            <w:jc w:val="both"/>
            <w:rPr>
              <w:rFonts w:asciiTheme="minorHAnsi" w:eastAsiaTheme="minorEastAsia" w:hAnsiTheme="minorHAnsi" w:cstheme="minorBidi"/>
              <w:noProof/>
              <w:sz w:val="24"/>
              <w:lang w:val="en-GB" w:eastAsia="en-GB"/>
            </w:rPr>
          </w:pPr>
          <w:hyperlink w:anchor="_Toc216128165" w:history="1">
            <w:r w:rsidRPr="00005374">
              <w:rPr>
                <w:rStyle w:val="Hyperlink"/>
                <w:noProof/>
                <w:sz w:val="24"/>
                <w:lang w:val="en-GB"/>
              </w:rPr>
              <w:t>Section 3: Strategy Development and Formulation</w:t>
            </w:r>
            <w:r w:rsidRPr="00005374">
              <w:rPr>
                <w:noProof/>
                <w:webHidden/>
                <w:sz w:val="24"/>
              </w:rPr>
              <w:tab/>
            </w:r>
            <w:r w:rsidRPr="00005374">
              <w:rPr>
                <w:noProof/>
                <w:webHidden/>
                <w:sz w:val="24"/>
              </w:rPr>
              <w:fldChar w:fldCharType="begin"/>
            </w:r>
            <w:r w:rsidRPr="00005374">
              <w:rPr>
                <w:noProof/>
                <w:webHidden/>
                <w:sz w:val="24"/>
              </w:rPr>
              <w:instrText xml:space="preserve"> PAGEREF _Toc216128165 \h </w:instrText>
            </w:r>
            <w:r w:rsidRPr="00005374">
              <w:rPr>
                <w:noProof/>
                <w:webHidden/>
                <w:sz w:val="24"/>
              </w:rPr>
            </w:r>
            <w:r w:rsidRPr="00005374">
              <w:rPr>
                <w:noProof/>
                <w:webHidden/>
                <w:sz w:val="24"/>
              </w:rPr>
              <w:fldChar w:fldCharType="separate"/>
            </w:r>
            <w:r>
              <w:rPr>
                <w:noProof/>
                <w:webHidden/>
                <w:sz w:val="24"/>
              </w:rPr>
              <w:t>14</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66" w:history="1">
            <w:r w:rsidRPr="00005374">
              <w:rPr>
                <w:rStyle w:val="Hyperlink"/>
                <w:noProof/>
                <w:sz w:val="24"/>
                <w:lang w:val="en-GB"/>
              </w:rPr>
              <w:t>3.1 Strategic Direction and Rationale</w:t>
            </w:r>
            <w:r w:rsidRPr="00005374">
              <w:rPr>
                <w:noProof/>
                <w:webHidden/>
                <w:sz w:val="24"/>
              </w:rPr>
              <w:tab/>
            </w:r>
            <w:r w:rsidRPr="00005374">
              <w:rPr>
                <w:noProof/>
                <w:webHidden/>
                <w:sz w:val="24"/>
              </w:rPr>
              <w:fldChar w:fldCharType="begin"/>
            </w:r>
            <w:r w:rsidRPr="00005374">
              <w:rPr>
                <w:noProof/>
                <w:webHidden/>
                <w:sz w:val="24"/>
              </w:rPr>
              <w:instrText xml:space="preserve"> PAGEREF _Toc216128166 \h </w:instrText>
            </w:r>
            <w:r w:rsidRPr="00005374">
              <w:rPr>
                <w:noProof/>
                <w:webHidden/>
                <w:sz w:val="24"/>
              </w:rPr>
            </w:r>
            <w:r w:rsidRPr="00005374">
              <w:rPr>
                <w:noProof/>
                <w:webHidden/>
                <w:sz w:val="24"/>
              </w:rPr>
              <w:fldChar w:fldCharType="separate"/>
            </w:r>
            <w:r>
              <w:rPr>
                <w:noProof/>
                <w:webHidden/>
                <w:sz w:val="24"/>
              </w:rPr>
              <w:t>15</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67" w:history="1">
            <w:r w:rsidRPr="00005374">
              <w:rPr>
                <w:rStyle w:val="Hyperlink"/>
                <w:noProof/>
                <w:sz w:val="24"/>
                <w:lang w:val="en-GB"/>
              </w:rPr>
              <w:t>3.2 Strategic Model application</w:t>
            </w:r>
            <w:r w:rsidRPr="00005374">
              <w:rPr>
                <w:noProof/>
                <w:webHidden/>
                <w:sz w:val="24"/>
              </w:rPr>
              <w:tab/>
            </w:r>
            <w:r w:rsidRPr="00005374">
              <w:rPr>
                <w:noProof/>
                <w:webHidden/>
                <w:sz w:val="24"/>
              </w:rPr>
              <w:fldChar w:fldCharType="begin"/>
            </w:r>
            <w:r w:rsidRPr="00005374">
              <w:rPr>
                <w:noProof/>
                <w:webHidden/>
                <w:sz w:val="24"/>
              </w:rPr>
              <w:instrText xml:space="preserve"> PAGEREF _Toc216128167 \h </w:instrText>
            </w:r>
            <w:r w:rsidRPr="00005374">
              <w:rPr>
                <w:noProof/>
                <w:webHidden/>
                <w:sz w:val="24"/>
              </w:rPr>
            </w:r>
            <w:r w:rsidRPr="00005374">
              <w:rPr>
                <w:noProof/>
                <w:webHidden/>
                <w:sz w:val="24"/>
              </w:rPr>
              <w:fldChar w:fldCharType="separate"/>
            </w:r>
            <w:r>
              <w:rPr>
                <w:noProof/>
                <w:webHidden/>
                <w:sz w:val="24"/>
              </w:rPr>
              <w:t>15</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68" w:history="1">
            <w:r w:rsidRPr="00005374">
              <w:rPr>
                <w:rStyle w:val="Hyperlink"/>
                <w:noProof/>
                <w:sz w:val="24"/>
                <w:lang w:val="en-GB"/>
              </w:rPr>
              <w:t>3.3 Market Entry Mode</w:t>
            </w:r>
            <w:r w:rsidRPr="00005374">
              <w:rPr>
                <w:noProof/>
                <w:webHidden/>
                <w:sz w:val="24"/>
              </w:rPr>
              <w:tab/>
            </w:r>
            <w:r w:rsidRPr="00005374">
              <w:rPr>
                <w:noProof/>
                <w:webHidden/>
                <w:sz w:val="24"/>
              </w:rPr>
              <w:fldChar w:fldCharType="begin"/>
            </w:r>
            <w:r w:rsidRPr="00005374">
              <w:rPr>
                <w:noProof/>
                <w:webHidden/>
                <w:sz w:val="24"/>
              </w:rPr>
              <w:instrText xml:space="preserve"> PAGEREF _Toc216128168 \h </w:instrText>
            </w:r>
            <w:r w:rsidRPr="00005374">
              <w:rPr>
                <w:noProof/>
                <w:webHidden/>
                <w:sz w:val="24"/>
              </w:rPr>
            </w:r>
            <w:r w:rsidRPr="00005374">
              <w:rPr>
                <w:noProof/>
                <w:webHidden/>
                <w:sz w:val="24"/>
              </w:rPr>
              <w:fldChar w:fldCharType="separate"/>
            </w:r>
            <w:r>
              <w:rPr>
                <w:noProof/>
                <w:webHidden/>
                <w:sz w:val="24"/>
              </w:rPr>
              <w:t>16</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69" w:history="1">
            <w:r w:rsidRPr="00005374">
              <w:rPr>
                <w:rStyle w:val="Hyperlink"/>
                <w:noProof/>
                <w:sz w:val="24"/>
                <w:lang w:val="en-GB"/>
              </w:rPr>
              <w:t>3.4 Competitive positioning</w:t>
            </w:r>
            <w:r w:rsidRPr="00005374">
              <w:rPr>
                <w:noProof/>
                <w:webHidden/>
                <w:sz w:val="24"/>
              </w:rPr>
              <w:tab/>
            </w:r>
            <w:r w:rsidRPr="00005374">
              <w:rPr>
                <w:noProof/>
                <w:webHidden/>
                <w:sz w:val="24"/>
              </w:rPr>
              <w:fldChar w:fldCharType="begin"/>
            </w:r>
            <w:r w:rsidRPr="00005374">
              <w:rPr>
                <w:noProof/>
                <w:webHidden/>
                <w:sz w:val="24"/>
              </w:rPr>
              <w:instrText xml:space="preserve"> PAGEREF _Toc216128169 \h </w:instrText>
            </w:r>
            <w:r w:rsidRPr="00005374">
              <w:rPr>
                <w:noProof/>
                <w:webHidden/>
                <w:sz w:val="24"/>
              </w:rPr>
            </w:r>
            <w:r w:rsidRPr="00005374">
              <w:rPr>
                <w:noProof/>
                <w:webHidden/>
                <w:sz w:val="24"/>
              </w:rPr>
              <w:fldChar w:fldCharType="separate"/>
            </w:r>
            <w:r>
              <w:rPr>
                <w:noProof/>
                <w:webHidden/>
                <w:sz w:val="24"/>
              </w:rPr>
              <w:t>18</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70" w:history="1">
            <w:r w:rsidRPr="00005374">
              <w:rPr>
                <w:rStyle w:val="Hyperlink"/>
                <w:noProof/>
                <w:sz w:val="24"/>
                <w:lang w:val="en-GB"/>
              </w:rPr>
              <w:t>3.5 Strategic Fit and Capability Assessment</w:t>
            </w:r>
            <w:r w:rsidRPr="00005374">
              <w:rPr>
                <w:noProof/>
                <w:webHidden/>
                <w:sz w:val="24"/>
              </w:rPr>
              <w:tab/>
            </w:r>
            <w:r w:rsidRPr="00005374">
              <w:rPr>
                <w:noProof/>
                <w:webHidden/>
                <w:sz w:val="24"/>
              </w:rPr>
              <w:fldChar w:fldCharType="begin"/>
            </w:r>
            <w:r w:rsidRPr="00005374">
              <w:rPr>
                <w:noProof/>
                <w:webHidden/>
                <w:sz w:val="24"/>
              </w:rPr>
              <w:instrText xml:space="preserve"> PAGEREF _Toc216128170 \h </w:instrText>
            </w:r>
            <w:r w:rsidRPr="00005374">
              <w:rPr>
                <w:noProof/>
                <w:webHidden/>
                <w:sz w:val="24"/>
              </w:rPr>
            </w:r>
            <w:r w:rsidRPr="00005374">
              <w:rPr>
                <w:noProof/>
                <w:webHidden/>
                <w:sz w:val="24"/>
              </w:rPr>
              <w:fldChar w:fldCharType="separate"/>
            </w:r>
            <w:r>
              <w:rPr>
                <w:noProof/>
                <w:webHidden/>
                <w:sz w:val="24"/>
              </w:rPr>
              <w:t>19</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71" w:history="1">
            <w:r w:rsidRPr="00005374">
              <w:rPr>
                <w:rStyle w:val="Hyperlink"/>
                <w:noProof/>
                <w:sz w:val="24"/>
                <w:lang w:val="en-GB"/>
              </w:rPr>
              <w:t>3.6 Strategy Implementation Components</w:t>
            </w:r>
            <w:r w:rsidRPr="00005374">
              <w:rPr>
                <w:noProof/>
                <w:webHidden/>
                <w:sz w:val="24"/>
              </w:rPr>
              <w:tab/>
            </w:r>
            <w:r w:rsidRPr="00005374">
              <w:rPr>
                <w:noProof/>
                <w:webHidden/>
                <w:sz w:val="24"/>
              </w:rPr>
              <w:fldChar w:fldCharType="begin"/>
            </w:r>
            <w:r w:rsidRPr="00005374">
              <w:rPr>
                <w:noProof/>
                <w:webHidden/>
                <w:sz w:val="24"/>
              </w:rPr>
              <w:instrText xml:space="preserve"> PAGEREF _Toc216128171 \h </w:instrText>
            </w:r>
            <w:r w:rsidRPr="00005374">
              <w:rPr>
                <w:noProof/>
                <w:webHidden/>
                <w:sz w:val="24"/>
              </w:rPr>
            </w:r>
            <w:r w:rsidRPr="00005374">
              <w:rPr>
                <w:noProof/>
                <w:webHidden/>
                <w:sz w:val="24"/>
              </w:rPr>
              <w:fldChar w:fldCharType="separate"/>
            </w:r>
            <w:r>
              <w:rPr>
                <w:noProof/>
                <w:webHidden/>
                <w:sz w:val="24"/>
              </w:rPr>
              <w:t>20</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72" w:history="1">
            <w:r w:rsidRPr="00005374">
              <w:rPr>
                <w:rStyle w:val="Hyperlink"/>
                <w:noProof/>
                <w:sz w:val="24"/>
                <w:lang w:val="en-GB"/>
              </w:rPr>
              <w:t>3.7 Risk analysis and mitigation</w:t>
            </w:r>
            <w:r w:rsidRPr="00005374">
              <w:rPr>
                <w:noProof/>
                <w:webHidden/>
                <w:sz w:val="24"/>
              </w:rPr>
              <w:tab/>
            </w:r>
            <w:r w:rsidRPr="00005374">
              <w:rPr>
                <w:noProof/>
                <w:webHidden/>
                <w:sz w:val="24"/>
              </w:rPr>
              <w:fldChar w:fldCharType="begin"/>
            </w:r>
            <w:r w:rsidRPr="00005374">
              <w:rPr>
                <w:noProof/>
                <w:webHidden/>
                <w:sz w:val="24"/>
              </w:rPr>
              <w:instrText xml:space="preserve"> PAGEREF _Toc216128172 \h </w:instrText>
            </w:r>
            <w:r w:rsidRPr="00005374">
              <w:rPr>
                <w:noProof/>
                <w:webHidden/>
                <w:sz w:val="24"/>
              </w:rPr>
            </w:r>
            <w:r w:rsidRPr="00005374">
              <w:rPr>
                <w:noProof/>
                <w:webHidden/>
                <w:sz w:val="24"/>
              </w:rPr>
              <w:fldChar w:fldCharType="separate"/>
            </w:r>
            <w:r>
              <w:rPr>
                <w:noProof/>
                <w:webHidden/>
                <w:sz w:val="24"/>
              </w:rPr>
              <w:t>20</w:t>
            </w:r>
            <w:r w:rsidRPr="00005374">
              <w:rPr>
                <w:noProof/>
                <w:webHidden/>
                <w:sz w:val="24"/>
              </w:rPr>
              <w:fldChar w:fldCharType="end"/>
            </w:r>
          </w:hyperlink>
        </w:p>
        <w:p w:rsidR="00E10FF0" w:rsidRPr="00005374" w:rsidRDefault="00E10FF0" w:rsidP="00E10FF0">
          <w:pPr>
            <w:pStyle w:val="TOC1"/>
            <w:tabs>
              <w:tab w:val="right" w:leader="dot" w:pos="9350"/>
            </w:tabs>
            <w:jc w:val="both"/>
            <w:rPr>
              <w:rFonts w:asciiTheme="minorHAnsi" w:eastAsiaTheme="minorEastAsia" w:hAnsiTheme="minorHAnsi" w:cstheme="minorBidi"/>
              <w:noProof/>
              <w:sz w:val="24"/>
              <w:lang w:val="en-GB" w:eastAsia="en-GB"/>
            </w:rPr>
          </w:pPr>
          <w:hyperlink w:anchor="_Toc216128173" w:history="1">
            <w:r w:rsidRPr="00005374">
              <w:rPr>
                <w:rStyle w:val="Hyperlink"/>
                <w:noProof/>
                <w:sz w:val="24"/>
                <w:lang w:val="en-GB"/>
              </w:rPr>
              <w:t>Section 4: Performance Evaluation Framework</w:t>
            </w:r>
            <w:r w:rsidRPr="00005374">
              <w:rPr>
                <w:noProof/>
                <w:webHidden/>
                <w:sz w:val="24"/>
              </w:rPr>
              <w:tab/>
            </w:r>
            <w:r w:rsidRPr="00005374">
              <w:rPr>
                <w:noProof/>
                <w:webHidden/>
                <w:sz w:val="24"/>
              </w:rPr>
              <w:fldChar w:fldCharType="begin"/>
            </w:r>
            <w:r w:rsidRPr="00005374">
              <w:rPr>
                <w:noProof/>
                <w:webHidden/>
                <w:sz w:val="24"/>
              </w:rPr>
              <w:instrText xml:space="preserve"> PAGEREF _Toc216128173 \h </w:instrText>
            </w:r>
            <w:r w:rsidRPr="00005374">
              <w:rPr>
                <w:noProof/>
                <w:webHidden/>
                <w:sz w:val="24"/>
              </w:rPr>
            </w:r>
            <w:r w:rsidRPr="00005374">
              <w:rPr>
                <w:noProof/>
                <w:webHidden/>
                <w:sz w:val="24"/>
              </w:rPr>
              <w:fldChar w:fldCharType="separate"/>
            </w:r>
            <w:r>
              <w:rPr>
                <w:noProof/>
                <w:webHidden/>
                <w:sz w:val="24"/>
              </w:rPr>
              <w:t>21</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74" w:history="1">
            <w:r w:rsidRPr="00005374">
              <w:rPr>
                <w:rStyle w:val="Hyperlink"/>
                <w:noProof/>
                <w:sz w:val="24"/>
                <w:lang w:val="en-GB"/>
              </w:rPr>
              <w:t>4.1 The Balanced Scorecard Framework</w:t>
            </w:r>
            <w:r w:rsidRPr="00005374">
              <w:rPr>
                <w:noProof/>
                <w:webHidden/>
                <w:sz w:val="24"/>
              </w:rPr>
              <w:tab/>
            </w:r>
            <w:r w:rsidRPr="00005374">
              <w:rPr>
                <w:noProof/>
                <w:webHidden/>
                <w:sz w:val="24"/>
              </w:rPr>
              <w:fldChar w:fldCharType="begin"/>
            </w:r>
            <w:r w:rsidRPr="00005374">
              <w:rPr>
                <w:noProof/>
                <w:webHidden/>
                <w:sz w:val="24"/>
              </w:rPr>
              <w:instrText xml:space="preserve"> PAGEREF _Toc216128174 \h </w:instrText>
            </w:r>
            <w:r w:rsidRPr="00005374">
              <w:rPr>
                <w:noProof/>
                <w:webHidden/>
                <w:sz w:val="24"/>
              </w:rPr>
            </w:r>
            <w:r w:rsidRPr="00005374">
              <w:rPr>
                <w:noProof/>
                <w:webHidden/>
                <w:sz w:val="24"/>
              </w:rPr>
              <w:fldChar w:fldCharType="separate"/>
            </w:r>
            <w:r>
              <w:rPr>
                <w:noProof/>
                <w:webHidden/>
                <w:sz w:val="24"/>
              </w:rPr>
              <w:t>21</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75" w:history="1">
            <w:r w:rsidRPr="00005374">
              <w:rPr>
                <w:rStyle w:val="Hyperlink"/>
                <w:noProof/>
                <w:sz w:val="24"/>
                <w:lang w:val="en-GB"/>
              </w:rPr>
              <w:t>Table 1: Balanced Scorecard for boAt</w:t>
            </w:r>
            <w:r w:rsidRPr="00005374">
              <w:rPr>
                <w:noProof/>
                <w:webHidden/>
                <w:sz w:val="24"/>
              </w:rPr>
              <w:tab/>
            </w:r>
            <w:r w:rsidRPr="00005374">
              <w:rPr>
                <w:noProof/>
                <w:webHidden/>
                <w:sz w:val="24"/>
              </w:rPr>
              <w:fldChar w:fldCharType="begin"/>
            </w:r>
            <w:r w:rsidRPr="00005374">
              <w:rPr>
                <w:noProof/>
                <w:webHidden/>
                <w:sz w:val="24"/>
              </w:rPr>
              <w:instrText xml:space="preserve"> PAGEREF _Toc216128175 \h </w:instrText>
            </w:r>
            <w:r w:rsidRPr="00005374">
              <w:rPr>
                <w:noProof/>
                <w:webHidden/>
                <w:sz w:val="24"/>
              </w:rPr>
            </w:r>
            <w:r w:rsidRPr="00005374">
              <w:rPr>
                <w:noProof/>
                <w:webHidden/>
                <w:sz w:val="24"/>
              </w:rPr>
              <w:fldChar w:fldCharType="separate"/>
            </w:r>
            <w:r>
              <w:rPr>
                <w:noProof/>
                <w:webHidden/>
                <w:sz w:val="24"/>
              </w:rPr>
              <w:t>24</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76" w:history="1">
            <w:r w:rsidRPr="00005374">
              <w:rPr>
                <w:rStyle w:val="Hyperlink"/>
                <w:noProof/>
                <w:sz w:val="24"/>
                <w:lang w:val="en-GB"/>
              </w:rPr>
              <w:t>4.2 Triple Bottom Line (TBL) Integration</w:t>
            </w:r>
            <w:r w:rsidRPr="00005374">
              <w:rPr>
                <w:noProof/>
                <w:webHidden/>
                <w:sz w:val="24"/>
              </w:rPr>
              <w:tab/>
            </w:r>
            <w:r w:rsidRPr="00005374">
              <w:rPr>
                <w:noProof/>
                <w:webHidden/>
                <w:sz w:val="24"/>
              </w:rPr>
              <w:fldChar w:fldCharType="begin"/>
            </w:r>
            <w:r w:rsidRPr="00005374">
              <w:rPr>
                <w:noProof/>
                <w:webHidden/>
                <w:sz w:val="24"/>
              </w:rPr>
              <w:instrText xml:space="preserve"> PAGEREF _Toc216128176 \h </w:instrText>
            </w:r>
            <w:r w:rsidRPr="00005374">
              <w:rPr>
                <w:noProof/>
                <w:webHidden/>
                <w:sz w:val="24"/>
              </w:rPr>
            </w:r>
            <w:r w:rsidRPr="00005374">
              <w:rPr>
                <w:noProof/>
                <w:webHidden/>
                <w:sz w:val="24"/>
              </w:rPr>
              <w:fldChar w:fldCharType="separate"/>
            </w:r>
            <w:r>
              <w:rPr>
                <w:noProof/>
                <w:webHidden/>
                <w:sz w:val="24"/>
              </w:rPr>
              <w:t>24</w:t>
            </w:r>
            <w:r w:rsidRPr="00005374">
              <w:rPr>
                <w:noProof/>
                <w:webHidden/>
                <w:sz w:val="24"/>
              </w:rPr>
              <w:fldChar w:fldCharType="end"/>
            </w:r>
          </w:hyperlink>
        </w:p>
        <w:p w:rsidR="00E10FF0" w:rsidRPr="00005374" w:rsidRDefault="00E10FF0" w:rsidP="00E10FF0">
          <w:pPr>
            <w:pStyle w:val="TOC2"/>
            <w:tabs>
              <w:tab w:val="right" w:leader="dot" w:pos="9350"/>
            </w:tabs>
            <w:jc w:val="both"/>
            <w:rPr>
              <w:rFonts w:asciiTheme="minorHAnsi" w:eastAsiaTheme="minorEastAsia" w:hAnsiTheme="minorHAnsi" w:cstheme="minorBidi"/>
              <w:noProof/>
              <w:sz w:val="24"/>
              <w:lang w:val="en-GB" w:eastAsia="en-GB"/>
            </w:rPr>
          </w:pPr>
          <w:hyperlink w:anchor="_Toc216128177" w:history="1">
            <w:r w:rsidRPr="00005374">
              <w:rPr>
                <w:rStyle w:val="Hyperlink"/>
                <w:noProof/>
                <w:sz w:val="24"/>
                <w:lang w:val="en-GB"/>
              </w:rPr>
              <w:t>4.3 Monitoring and Mechanisms of Governance</w:t>
            </w:r>
            <w:r w:rsidRPr="00005374">
              <w:rPr>
                <w:noProof/>
                <w:webHidden/>
                <w:sz w:val="24"/>
              </w:rPr>
              <w:tab/>
            </w:r>
            <w:r w:rsidRPr="00005374">
              <w:rPr>
                <w:noProof/>
                <w:webHidden/>
                <w:sz w:val="24"/>
              </w:rPr>
              <w:fldChar w:fldCharType="begin"/>
            </w:r>
            <w:r w:rsidRPr="00005374">
              <w:rPr>
                <w:noProof/>
                <w:webHidden/>
                <w:sz w:val="24"/>
              </w:rPr>
              <w:instrText xml:space="preserve"> PAGEREF _Toc216128177 \h </w:instrText>
            </w:r>
            <w:r w:rsidRPr="00005374">
              <w:rPr>
                <w:noProof/>
                <w:webHidden/>
                <w:sz w:val="24"/>
              </w:rPr>
            </w:r>
            <w:r w:rsidRPr="00005374">
              <w:rPr>
                <w:noProof/>
                <w:webHidden/>
                <w:sz w:val="24"/>
              </w:rPr>
              <w:fldChar w:fldCharType="separate"/>
            </w:r>
            <w:r>
              <w:rPr>
                <w:noProof/>
                <w:webHidden/>
                <w:sz w:val="24"/>
              </w:rPr>
              <w:t>25</w:t>
            </w:r>
            <w:r w:rsidRPr="00005374">
              <w:rPr>
                <w:noProof/>
                <w:webHidden/>
                <w:sz w:val="24"/>
              </w:rPr>
              <w:fldChar w:fldCharType="end"/>
            </w:r>
          </w:hyperlink>
        </w:p>
        <w:p w:rsidR="00E10FF0" w:rsidRPr="00005374" w:rsidRDefault="00E10FF0" w:rsidP="00E10FF0">
          <w:pPr>
            <w:pStyle w:val="TOC1"/>
            <w:tabs>
              <w:tab w:val="right" w:leader="dot" w:pos="9350"/>
            </w:tabs>
            <w:jc w:val="both"/>
            <w:rPr>
              <w:rFonts w:asciiTheme="minorHAnsi" w:eastAsiaTheme="minorEastAsia" w:hAnsiTheme="minorHAnsi" w:cstheme="minorBidi"/>
              <w:noProof/>
              <w:sz w:val="24"/>
              <w:lang w:val="en-GB" w:eastAsia="en-GB"/>
            </w:rPr>
          </w:pPr>
          <w:hyperlink w:anchor="_Toc216128178" w:history="1">
            <w:r w:rsidRPr="00005374">
              <w:rPr>
                <w:rStyle w:val="Hyperlink"/>
                <w:noProof/>
                <w:sz w:val="24"/>
                <w:lang w:val="en-GB"/>
              </w:rPr>
              <w:t>Conclusion</w:t>
            </w:r>
            <w:r w:rsidRPr="00005374">
              <w:rPr>
                <w:noProof/>
                <w:webHidden/>
                <w:sz w:val="24"/>
              </w:rPr>
              <w:tab/>
            </w:r>
            <w:r w:rsidRPr="00005374">
              <w:rPr>
                <w:noProof/>
                <w:webHidden/>
                <w:sz w:val="24"/>
              </w:rPr>
              <w:fldChar w:fldCharType="begin"/>
            </w:r>
            <w:r w:rsidRPr="00005374">
              <w:rPr>
                <w:noProof/>
                <w:webHidden/>
                <w:sz w:val="24"/>
              </w:rPr>
              <w:instrText xml:space="preserve"> PAGEREF _Toc216128178 \h </w:instrText>
            </w:r>
            <w:r w:rsidRPr="00005374">
              <w:rPr>
                <w:noProof/>
                <w:webHidden/>
                <w:sz w:val="24"/>
              </w:rPr>
            </w:r>
            <w:r w:rsidRPr="00005374">
              <w:rPr>
                <w:noProof/>
                <w:webHidden/>
                <w:sz w:val="24"/>
              </w:rPr>
              <w:fldChar w:fldCharType="separate"/>
            </w:r>
            <w:r>
              <w:rPr>
                <w:noProof/>
                <w:webHidden/>
                <w:sz w:val="24"/>
              </w:rPr>
              <w:t>26</w:t>
            </w:r>
            <w:r w:rsidRPr="00005374">
              <w:rPr>
                <w:noProof/>
                <w:webHidden/>
                <w:sz w:val="24"/>
              </w:rPr>
              <w:fldChar w:fldCharType="end"/>
            </w:r>
          </w:hyperlink>
        </w:p>
        <w:p w:rsidR="00E10FF0" w:rsidRPr="00005374" w:rsidRDefault="00E10FF0" w:rsidP="00E10FF0">
          <w:pPr>
            <w:pStyle w:val="TOC1"/>
            <w:tabs>
              <w:tab w:val="right" w:leader="dot" w:pos="9350"/>
            </w:tabs>
            <w:jc w:val="both"/>
            <w:rPr>
              <w:rFonts w:asciiTheme="minorHAnsi" w:eastAsiaTheme="minorEastAsia" w:hAnsiTheme="minorHAnsi" w:cstheme="minorBidi"/>
              <w:noProof/>
              <w:lang w:val="en-GB" w:eastAsia="en-GB"/>
            </w:rPr>
          </w:pPr>
          <w:hyperlink w:anchor="_Toc216128179" w:history="1">
            <w:r w:rsidRPr="00005374">
              <w:rPr>
                <w:rStyle w:val="Hyperlink"/>
                <w:noProof/>
                <w:sz w:val="24"/>
                <w:lang w:val="en-GB"/>
              </w:rPr>
              <w:t>References</w:t>
            </w:r>
            <w:r w:rsidRPr="00005374">
              <w:rPr>
                <w:noProof/>
                <w:webHidden/>
                <w:sz w:val="24"/>
              </w:rPr>
              <w:tab/>
            </w:r>
            <w:r w:rsidRPr="00005374">
              <w:rPr>
                <w:noProof/>
                <w:webHidden/>
                <w:sz w:val="24"/>
              </w:rPr>
              <w:fldChar w:fldCharType="begin"/>
            </w:r>
            <w:r w:rsidRPr="00005374">
              <w:rPr>
                <w:noProof/>
                <w:webHidden/>
                <w:sz w:val="24"/>
              </w:rPr>
              <w:instrText xml:space="preserve"> PAGEREF _Toc216128179 \h </w:instrText>
            </w:r>
            <w:r w:rsidRPr="00005374">
              <w:rPr>
                <w:noProof/>
                <w:webHidden/>
                <w:sz w:val="24"/>
              </w:rPr>
            </w:r>
            <w:r w:rsidRPr="00005374">
              <w:rPr>
                <w:noProof/>
                <w:webHidden/>
                <w:sz w:val="24"/>
              </w:rPr>
              <w:fldChar w:fldCharType="separate"/>
            </w:r>
            <w:r>
              <w:rPr>
                <w:noProof/>
                <w:webHidden/>
                <w:sz w:val="24"/>
              </w:rPr>
              <w:t>27</w:t>
            </w:r>
            <w:r w:rsidRPr="00005374">
              <w:rPr>
                <w:noProof/>
                <w:webHidden/>
                <w:sz w:val="24"/>
              </w:rPr>
              <w:fldChar w:fldCharType="end"/>
            </w:r>
          </w:hyperlink>
        </w:p>
        <w:p w:rsidR="00E10FF0" w:rsidRPr="00005374" w:rsidRDefault="00E10FF0" w:rsidP="00E10FF0">
          <w:pPr>
            <w:rPr>
              <w:rFonts w:ascii="Times New Roman" w:eastAsia="Times New Roman" w:hAnsi="Times New Roman" w:cs="Times New Roman"/>
              <w:sz w:val="24"/>
              <w:szCs w:val="24"/>
              <w:lang w:val="en-GB"/>
            </w:rPr>
          </w:pPr>
          <w:r w:rsidRPr="00005374">
            <w:rPr>
              <w:lang w:val="en-GB"/>
            </w:rPr>
            <w:fldChar w:fldCharType="end"/>
          </w:r>
        </w:p>
      </w:sdtContent>
    </w:sdt>
    <w:p w:rsidR="00E10FF0" w:rsidRPr="00005374" w:rsidRDefault="00E10FF0" w:rsidP="00E10FF0">
      <w:pPr>
        <w:spacing w:after="160" w:line="259" w:lineRule="auto"/>
        <w:jc w:val="center"/>
        <w:rPr>
          <w:rFonts w:ascii="Times New Roman" w:eastAsia="Times New Roman" w:hAnsi="Times New Roman" w:cs="Times New Roman"/>
          <w:b/>
          <w:bCs/>
          <w:sz w:val="24"/>
          <w:szCs w:val="24"/>
          <w:lang w:val="en-GB"/>
        </w:rPr>
      </w:pPr>
    </w:p>
    <w:p w:rsidR="00E10FF0" w:rsidRPr="00005374" w:rsidRDefault="00E10FF0" w:rsidP="00E10FF0">
      <w:pPr>
        <w:spacing w:line="360" w:lineRule="auto"/>
        <w:jc w:val="both"/>
        <w:rPr>
          <w:rFonts w:ascii="Times New Roman" w:eastAsia="Times New Roman" w:hAnsi="Times New Roman" w:cs="Times New Roman"/>
          <w:b/>
          <w:bCs/>
          <w:sz w:val="24"/>
          <w:szCs w:val="24"/>
          <w:lang w:val="en-GB"/>
        </w:rPr>
      </w:pPr>
      <w:r w:rsidRPr="00005374">
        <w:rPr>
          <w:lang w:val="en-GB"/>
        </w:rPr>
        <w:br w:type="page"/>
      </w:r>
    </w:p>
    <w:p w:rsidR="00E10FF0" w:rsidRPr="00005374" w:rsidRDefault="00E10FF0" w:rsidP="00E10FF0">
      <w:pPr>
        <w:pStyle w:val="Heading1"/>
        <w:rPr>
          <w:rFonts w:cs="Arial"/>
          <w:lang w:val="en-GB"/>
        </w:rPr>
      </w:pPr>
      <w:bookmarkStart w:id="0" w:name="_Toc216128155"/>
      <w:r w:rsidRPr="00005374">
        <w:rPr>
          <w:rFonts w:cs="Arial"/>
          <w:lang w:val="en-GB"/>
        </w:rPr>
        <w:lastRenderedPageBreak/>
        <w:t>Introduction</w:t>
      </w:r>
      <w:bookmarkEnd w:id="0"/>
    </w:p>
    <w:p w:rsidR="00E10FF0" w:rsidRPr="00005374" w:rsidRDefault="00E10FF0" w:rsidP="00E10FF0">
      <w:pPr>
        <w:spacing w:after="160" w:line="360" w:lineRule="auto"/>
        <w:jc w:val="both"/>
        <w:rPr>
          <w:rFonts w:eastAsia="Times New Roman"/>
          <w:sz w:val="24"/>
          <w:szCs w:val="24"/>
          <w:lang w:val="en-GB"/>
        </w:rPr>
      </w:pPr>
      <w:r w:rsidRPr="00005374">
        <w:rPr>
          <w:rFonts w:eastAsia="Times New Roman"/>
          <w:sz w:val="24"/>
          <w:szCs w:val="24"/>
          <w:lang w:val="en-GB"/>
        </w:rPr>
        <w:t>Strategic business management is a wide field of management in which a business maintains its entire service under a single roof of excellence. It is true that when strategic management is developed and appropriate for the concerned organisation, it becomes a strength for them to attain a strong competitive base and satisfied customers. In the same way, the internationalisation process of a company is based on how effectively it can formulate strategies and apply them for the sake of expansion. When the company becomes able to be unique in developing and applying expansion strategies, it may face fewer risks and challenges in comparison with others.</w:t>
      </w:r>
    </w:p>
    <w:p w:rsidR="00E10FF0" w:rsidRDefault="00E10FF0" w:rsidP="00E10FF0">
      <w:pPr>
        <w:spacing w:after="160" w:line="360" w:lineRule="auto"/>
        <w:jc w:val="both"/>
        <w:rPr>
          <w:rFonts w:eastAsia="Times New Roman"/>
          <w:sz w:val="24"/>
          <w:szCs w:val="24"/>
          <w:lang w:val="en-GB"/>
        </w:rPr>
      </w:pPr>
      <w:r w:rsidRPr="00005374">
        <w:rPr>
          <w:rFonts w:eastAsia="Times New Roman"/>
          <w:sz w:val="24"/>
          <w:szCs w:val="24"/>
          <w:lang w:val="en-GB"/>
        </w:rPr>
        <w:t>In this report, Boat is chosen as the company and the country is chosen as Australia, where the company is planning to expand. In order to develop the analysis, the company’s macro environmental factors as well as the competitive landscape are analysed. Additionally, their most effective entry strategy links the strategy to how the organisation can establish a competitive advantage in the chosen market by leveraging identified opportunities and addressing potential risks. The balanced scorecard model is used to shed light on the KPIs and the success metrics upon establishing the business in Australia successfully.</w:t>
      </w:r>
    </w:p>
    <w:p w:rsidR="00E10FF0" w:rsidRPr="00005374" w:rsidRDefault="00E10FF0" w:rsidP="00E10FF0">
      <w:pPr>
        <w:spacing w:after="160" w:line="360" w:lineRule="auto"/>
        <w:jc w:val="both"/>
        <w:rPr>
          <w:rFonts w:eastAsia="Times New Roman"/>
          <w:sz w:val="24"/>
          <w:szCs w:val="24"/>
          <w:lang w:val="en-GB"/>
        </w:rPr>
      </w:pPr>
    </w:p>
    <w:p w:rsidR="00E10FF0" w:rsidRPr="00005374" w:rsidRDefault="00E10FF0" w:rsidP="00E10FF0">
      <w:pPr>
        <w:pStyle w:val="Heading1"/>
        <w:rPr>
          <w:rFonts w:cs="Arial"/>
          <w:lang w:val="en-GB"/>
        </w:rPr>
      </w:pPr>
      <w:bookmarkStart w:id="1" w:name="_Toc216128156"/>
      <w:r w:rsidRPr="00005374">
        <w:rPr>
          <w:rFonts w:cs="Arial"/>
          <w:lang w:val="en-GB"/>
        </w:rPr>
        <w:t>Section 1: Selection of Organisation and Target Market</w:t>
      </w:r>
      <w:bookmarkEnd w:id="1"/>
    </w:p>
    <w:p w:rsidR="00E10FF0" w:rsidRPr="00005374" w:rsidRDefault="00E10FF0" w:rsidP="00E10FF0">
      <w:pPr>
        <w:pStyle w:val="Heading2"/>
        <w:rPr>
          <w:rFonts w:cs="Arial"/>
          <w:lang w:val="en-GB"/>
        </w:rPr>
      </w:pPr>
      <w:bookmarkStart w:id="2" w:name="_Toc216128157"/>
      <w:r w:rsidRPr="00005374">
        <w:rPr>
          <w:rFonts w:cs="Arial"/>
          <w:lang w:val="en-GB"/>
        </w:rPr>
        <w:t>1.1 The chosen organization</w:t>
      </w:r>
      <w:bookmarkEnd w:id="2"/>
    </w:p>
    <w:p w:rsidR="00E10FF0" w:rsidRDefault="00E10FF0" w:rsidP="00E10FF0">
      <w:pPr>
        <w:spacing w:after="160" w:line="360" w:lineRule="auto"/>
        <w:jc w:val="both"/>
        <w:rPr>
          <w:rFonts w:eastAsia="Times New Roman"/>
          <w:sz w:val="24"/>
          <w:szCs w:val="24"/>
          <w:lang w:val="en-GB"/>
        </w:rPr>
      </w:pPr>
      <w:r w:rsidRPr="00005374">
        <w:rPr>
          <w:rFonts w:eastAsia="Times New Roman"/>
          <w:sz w:val="24"/>
          <w:szCs w:val="24"/>
          <w:lang w:val="en-GB"/>
        </w:rPr>
        <w:t>Boat is chosen as the concerned company. The Indian company was founded by Aman Gupta. The company is mainly focused on meeting the needs of customers by providing affordable, durable and ultra-fashionable audio products to groove to (BoAt Lifestyle, 2025). The vision of the company is “</w:t>
      </w:r>
      <w:r w:rsidRPr="00005374">
        <w:rPr>
          <w:rFonts w:eastAsia="Times New Roman"/>
          <w:i/>
          <w:iCs/>
          <w:sz w:val="24"/>
          <w:szCs w:val="24"/>
          <w:lang w:val="en-GB"/>
        </w:rPr>
        <w:t>to be the leading lifestyle brand in sound and audio, by providing innovative, high-quality and stylish products that address the needs of the modern Indian consumer</w:t>
      </w:r>
      <w:r w:rsidRPr="00005374">
        <w:rPr>
          <w:rFonts w:eastAsia="Times New Roman"/>
          <w:sz w:val="24"/>
          <w:szCs w:val="24"/>
          <w:lang w:val="en-GB"/>
        </w:rPr>
        <w:t>” (BoAt Lifestyle, 2025). The mission is “</w:t>
      </w:r>
      <w:r w:rsidRPr="00005374">
        <w:rPr>
          <w:rFonts w:eastAsia="Times New Roman"/>
          <w:i/>
          <w:iCs/>
          <w:sz w:val="24"/>
          <w:szCs w:val="24"/>
          <w:lang w:val="en-GB"/>
        </w:rPr>
        <w:t>to bring affordable, durable, and fashionable audio and wearable products to millennials, making consumer electronics a lifestyle statement</w:t>
      </w:r>
      <w:r w:rsidRPr="00005374">
        <w:rPr>
          <w:rFonts w:eastAsia="Times New Roman"/>
          <w:sz w:val="24"/>
          <w:szCs w:val="24"/>
          <w:lang w:val="en-GB"/>
        </w:rPr>
        <w:t xml:space="preserve">” (BoAt Lifestyle, 2025). It is recorded that around 1,500 to 1,800 people are working in this company as of late 2025 and the company gained a </w:t>
      </w:r>
      <w:r w:rsidRPr="00005374">
        <w:rPr>
          <w:rFonts w:eastAsia="Times New Roman"/>
          <w:sz w:val="24"/>
          <w:szCs w:val="24"/>
          <w:lang w:val="en-GB"/>
        </w:rPr>
        <w:lastRenderedPageBreak/>
        <w:t>profit of over ₹60 crore for the financial year 2025 (FY25) (Business Standard, 2025). Homegrown audio and wearable major boAt has made a return to profitability in FY25 after two consecutive years of losses. A wider range of audio products are included in the list of their products. Sameer Mehta, Co-founder and Executive Director of boAt, said that their ability to innovate, scale new categories, along with adapt to evolving consumer preferences has kept the company ahead in a dynamic market (ENS Economic Bureau, 2025). As per the views of Guido et al. (2022), growth of the young adult population and leading adoption of active lifestyle products have also reflected subsequent benefits for international marketers to expand in the Australian market. It is seen that the competitors of boAt in Australia are JB Hi-Fi, Harvey Norman and various local manufacturers and startups such as Spacetalk and Nuheara. In such a tough market, the company can implement a value-based pricing strategy and affordable products for drawing the attention of customers.</w:t>
      </w:r>
    </w:p>
    <w:p w:rsidR="00E10FF0" w:rsidRPr="00005374" w:rsidRDefault="00E10FF0" w:rsidP="00E10FF0">
      <w:pPr>
        <w:spacing w:after="160" w:line="360" w:lineRule="auto"/>
        <w:jc w:val="both"/>
        <w:rPr>
          <w:rFonts w:eastAsia="Times New Roman"/>
          <w:sz w:val="24"/>
          <w:szCs w:val="24"/>
          <w:lang w:val="en-GB"/>
        </w:rPr>
      </w:pPr>
    </w:p>
    <w:p w:rsidR="00E10FF0" w:rsidRPr="00005374" w:rsidRDefault="00E10FF0" w:rsidP="00E10FF0">
      <w:pPr>
        <w:pStyle w:val="Heading2"/>
        <w:rPr>
          <w:rFonts w:cs="Arial"/>
          <w:lang w:val="en-GB"/>
        </w:rPr>
      </w:pPr>
      <w:bookmarkStart w:id="3" w:name="_Toc216128158"/>
      <w:r w:rsidRPr="00005374">
        <w:rPr>
          <w:rFonts w:cs="Arial"/>
          <w:lang w:val="en-GB"/>
        </w:rPr>
        <w:t>Target Market</w:t>
      </w:r>
      <w:bookmarkEnd w:id="3"/>
      <w:r w:rsidRPr="00005374">
        <w:rPr>
          <w:rFonts w:cs="Arial"/>
          <w:lang w:val="en-GB"/>
        </w:rPr>
        <w:t xml:space="preserve"> </w:t>
      </w:r>
    </w:p>
    <w:p w:rsidR="00E10FF0" w:rsidRPr="00005374" w:rsidRDefault="00E10FF0" w:rsidP="00E10FF0">
      <w:pPr>
        <w:spacing w:after="160" w:line="360" w:lineRule="auto"/>
        <w:jc w:val="both"/>
        <w:rPr>
          <w:rFonts w:eastAsia="Times New Roman"/>
          <w:sz w:val="24"/>
          <w:szCs w:val="24"/>
          <w:lang w:val="en-GB"/>
        </w:rPr>
      </w:pPr>
      <w:r w:rsidRPr="00005374">
        <w:rPr>
          <w:rFonts w:eastAsia="Times New Roman"/>
          <w:sz w:val="24"/>
          <w:szCs w:val="24"/>
          <w:lang w:val="en-GB"/>
        </w:rPr>
        <w:t xml:space="preserve">Australia is selected as the target market as it offers a favourable economic, technological and consumer base for international marketers. GDP per capita in Australia has increased to 61.2k USD in 2024 (Tradingeconomics, 2025), which presents a high-income population with strong purchasing capacity. In this aspect, a strong economic environment widely supports the demand for premium quality and affordable lifestyle products. While, smartphone penetration rate in Australia has increased to 86.8% and it is estimated to increase to 87% by 2026 (Hughes, 2023). This insight demonstrates growing needs for wireless earbuds, smart watches and other accessories. </w:t>
      </w:r>
    </w:p>
    <w:p w:rsidR="00E10FF0" w:rsidRPr="00005374" w:rsidRDefault="00E10FF0" w:rsidP="00E10FF0">
      <w:pPr>
        <w:spacing w:after="160" w:line="360" w:lineRule="auto"/>
        <w:jc w:val="center"/>
        <w:rPr>
          <w:rFonts w:eastAsia="Times New Roman"/>
          <w:sz w:val="24"/>
          <w:szCs w:val="24"/>
          <w:lang w:val="en-GB"/>
        </w:rPr>
      </w:pPr>
      <w:r w:rsidRPr="00005374">
        <w:rPr>
          <w:rFonts w:eastAsia="Times New Roman"/>
          <w:noProof/>
          <w:sz w:val="24"/>
          <w:szCs w:val="24"/>
          <w:lang w:val="en-IN" w:eastAsia="en-IN"/>
        </w:rPr>
        <w:lastRenderedPageBreak/>
        <w:drawing>
          <wp:inline distT="114300" distB="114300" distL="114300" distR="114300" wp14:anchorId="454833A5" wp14:editId="7DF218D4">
            <wp:extent cx="4529138" cy="1933575"/>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529138" cy="1933575"/>
                    </a:xfrm>
                    <a:prstGeom prst="rect">
                      <a:avLst/>
                    </a:prstGeom>
                    <a:ln/>
                  </pic:spPr>
                </pic:pic>
              </a:graphicData>
            </a:graphic>
          </wp:inline>
        </w:drawing>
      </w:r>
    </w:p>
    <w:p w:rsidR="00E10FF0" w:rsidRPr="00005374" w:rsidRDefault="00E10FF0" w:rsidP="00E10FF0">
      <w:pPr>
        <w:spacing w:after="160" w:line="360" w:lineRule="auto"/>
        <w:jc w:val="center"/>
        <w:rPr>
          <w:rFonts w:eastAsia="Times New Roman"/>
          <w:b/>
          <w:bCs/>
          <w:sz w:val="24"/>
          <w:szCs w:val="24"/>
          <w:lang w:val="en-GB"/>
        </w:rPr>
      </w:pPr>
      <w:r w:rsidRPr="00005374">
        <w:rPr>
          <w:rFonts w:eastAsia="Times New Roman"/>
          <w:b/>
          <w:bCs/>
          <w:sz w:val="24"/>
          <w:szCs w:val="24"/>
          <w:lang w:val="en-GB"/>
        </w:rPr>
        <w:t>Figure 1: Per Capita GDP in Australia</w:t>
      </w:r>
    </w:p>
    <w:p w:rsidR="00E10FF0" w:rsidRDefault="00E10FF0" w:rsidP="00E10FF0">
      <w:pPr>
        <w:spacing w:after="160" w:line="360" w:lineRule="auto"/>
        <w:jc w:val="center"/>
        <w:rPr>
          <w:rFonts w:eastAsia="Times New Roman"/>
          <w:sz w:val="24"/>
          <w:szCs w:val="24"/>
          <w:lang w:val="en-GB"/>
        </w:rPr>
      </w:pPr>
      <w:r w:rsidRPr="00005374">
        <w:rPr>
          <w:rFonts w:eastAsia="Times New Roman"/>
          <w:sz w:val="24"/>
          <w:szCs w:val="24"/>
          <w:lang w:val="en-GB"/>
        </w:rPr>
        <w:t>(Source: Tradingeconomics, 2025)</w:t>
      </w:r>
    </w:p>
    <w:p w:rsidR="007E5008" w:rsidRPr="00005374" w:rsidRDefault="007E5008" w:rsidP="00E10FF0">
      <w:pPr>
        <w:spacing w:after="160" w:line="360" w:lineRule="auto"/>
        <w:jc w:val="center"/>
        <w:rPr>
          <w:rFonts w:eastAsia="Times New Roman"/>
          <w:sz w:val="24"/>
          <w:szCs w:val="24"/>
          <w:lang w:val="en-GB"/>
        </w:rPr>
      </w:pPr>
    </w:p>
    <w:p w:rsidR="00E10FF0" w:rsidRPr="00005374" w:rsidRDefault="00E10FF0" w:rsidP="00E10FF0">
      <w:pPr>
        <w:pStyle w:val="Heading2"/>
        <w:rPr>
          <w:rFonts w:cs="Arial"/>
          <w:lang w:val="en-GB"/>
        </w:rPr>
      </w:pPr>
      <w:bookmarkStart w:id="4" w:name="_Toc216128159"/>
      <w:r w:rsidRPr="00005374">
        <w:rPr>
          <w:rFonts w:cs="Arial"/>
          <w:lang w:val="en-GB"/>
        </w:rPr>
        <w:t>1.2 Rational for the Decision</w:t>
      </w:r>
      <w:bookmarkEnd w:id="4"/>
    </w:p>
    <w:p w:rsidR="00E10FF0" w:rsidRPr="00005374" w:rsidRDefault="00E10FF0" w:rsidP="00E10FF0">
      <w:pPr>
        <w:spacing w:after="160" w:line="360" w:lineRule="auto"/>
        <w:jc w:val="both"/>
        <w:rPr>
          <w:rFonts w:eastAsia="Times New Roman"/>
          <w:sz w:val="24"/>
          <w:szCs w:val="24"/>
          <w:lang w:val="en-GB"/>
        </w:rPr>
      </w:pPr>
      <w:r w:rsidRPr="00005374">
        <w:rPr>
          <w:rFonts w:eastAsia="Times New Roman"/>
          <w:sz w:val="24"/>
          <w:szCs w:val="24"/>
          <w:lang w:val="en-GB"/>
        </w:rPr>
        <w:t xml:space="preserve">boAt is selected due to its strong position as one of the fastest-growing consumer electronics brands in India and it signifies its capability to scale with competitive markets. Strong revenue performance, brand visibility and rapid product diversification and innovation signify boAt’s strengths and capabilities in dealing with internationalisation. As per the report by Livemint, (2025), as of 2025, boAt returned to profitability, reporting around ₹64.2 crore in profit after two years of losses. I believe that this growth is driven by its newly launched wireless earphones, smart watches as well as gaming tools and accessories. The Wearables market in Australia has been uplifted to USD 3.99 billion in 2025 and it will be increased to USD 7.31 billion in 2030 (Mordor Intelligence, 2025). Moreover, a multicultural customer base in Australia has created strong market development opportunities for international marketers like boAt, which reinforced research on this for international expansion. </w:t>
      </w:r>
    </w:p>
    <w:p w:rsidR="00E10FF0" w:rsidRPr="00005374" w:rsidRDefault="00E10FF0" w:rsidP="00E10FF0">
      <w:pPr>
        <w:spacing w:after="160" w:line="360" w:lineRule="auto"/>
        <w:jc w:val="center"/>
        <w:rPr>
          <w:rFonts w:eastAsia="Times New Roman"/>
          <w:sz w:val="24"/>
          <w:szCs w:val="24"/>
          <w:lang w:val="en-GB"/>
        </w:rPr>
      </w:pPr>
      <w:r w:rsidRPr="00005374">
        <w:rPr>
          <w:rFonts w:eastAsia="Times New Roman"/>
          <w:noProof/>
          <w:sz w:val="24"/>
          <w:szCs w:val="24"/>
          <w:lang w:val="en-IN" w:eastAsia="en-IN"/>
        </w:rPr>
        <w:lastRenderedPageBreak/>
        <w:drawing>
          <wp:inline distT="114300" distB="114300" distL="114300" distR="114300" wp14:anchorId="4BAF7FB1" wp14:editId="26C27AC0">
            <wp:extent cx="4667250" cy="2309813"/>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667250" cy="2309813"/>
                    </a:xfrm>
                    <a:prstGeom prst="rect">
                      <a:avLst/>
                    </a:prstGeom>
                    <a:ln/>
                  </pic:spPr>
                </pic:pic>
              </a:graphicData>
            </a:graphic>
          </wp:inline>
        </w:drawing>
      </w:r>
    </w:p>
    <w:p w:rsidR="00E10FF0" w:rsidRPr="00005374" w:rsidRDefault="00E10FF0" w:rsidP="00E10FF0">
      <w:pPr>
        <w:spacing w:after="160" w:line="360" w:lineRule="auto"/>
        <w:jc w:val="center"/>
        <w:rPr>
          <w:rFonts w:eastAsia="Times New Roman"/>
          <w:b/>
          <w:bCs/>
          <w:sz w:val="24"/>
          <w:szCs w:val="24"/>
          <w:lang w:val="en-GB"/>
        </w:rPr>
      </w:pPr>
      <w:r w:rsidRPr="00005374">
        <w:rPr>
          <w:rFonts w:eastAsia="Times New Roman"/>
          <w:b/>
          <w:bCs/>
          <w:sz w:val="24"/>
          <w:szCs w:val="24"/>
          <w:lang w:val="en-GB"/>
        </w:rPr>
        <w:t xml:space="preserve">Figure 2: Wearables market in Australia </w:t>
      </w:r>
    </w:p>
    <w:p w:rsidR="00E10FF0" w:rsidRPr="00005374" w:rsidRDefault="00E10FF0" w:rsidP="00E10FF0">
      <w:pPr>
        <w:spacing w:after="160" w:line="360" w:lineRule="auto"/>
        <w:jc w:val="center"/>
        <w:rPr>
          <w:rFonts w:eastAsia="Times New Roman"/>
          <w:sz w:val="24"/>
          <w:szCs w:val="24"/>
          <w:lang w:val="en-GB"/>
        </w:rPr>
      </w:pPr>
      <w:r w:rsidRPr="00005374">
        <w:rPr>
          <w:rFonts w:eastAsia="Times New Roman"/>
          <w:sz w:val="24"/>
          <w:szCs w:val="24"/>
          <w:lang w:val="en-GB"/>
        </w:rPr>
        <w:t xml:space="preserve">(Source: Mordor Intelligence, 2025) </w:t>
      </w:r>
    </w:p>
    <w:p w:rsidR="00E10FF0" w:rsidRDefault="00E10FF0" w:rsidP="00E10FF0">
      <w:pPr>
        <w:spacing w:after="160" w:line="360" w:lineRule="auto"/>
        <w:jc w:val="both"/>
        <w:rPr>
          <w:rFonts w:eastAsia="Times New Roman"/>
          <w:sz w:val="24"/>
          <w:szCs w:val="24"/>
          <w:lang w:val="en-GB"/>
        </w:rPr>
      </w:pPr>
      <w:r w:rsidRPr="00005374">
        <w:rPr>
          <w:rFonts w:eastAsia="Times New Roman"/>
          <w:sz w:val="24"/>
          <w:szCs w:val="24"/>
          <w:lang w:val="en-GB"/>
        </w:rPr>
        <w:t>I have observed that in Australia, the growth of the e-commerce market has made a significant impact on driving online shopping experience, which also expels scope for international marketers to reach target audiences easily. On the other hand, I can say that consumer behaviours in Australia have changed as they widely prefer fitness-oriented and on-the-go technology that reflects directly matching with the wireless audio product lines of boAt. The Wearables market in Australia has been uplifted to USD 3.99 billion in 2025 and it will be increased to USD 7.31 billion in 2030 (Mordor Intelligence, 2025). Moreover, a multicultural customer base in Australia has created strong market development opportunities for international marketers like boAt, which reinforced research on this for international expansion.</w:t>
      </w:r>
    </w:p>
    <w:p w:rsidR="007E5008" w:rsidRPr="00005374" w:rsidRDefault="007E5008" w:rsidP="00E10FF0">
      <w:pPr>
        <w:spacing w:after="160" w:line="360" w:lineRule="auto"/>
        <w:jc w:val="both"/>
        <w:rPr>
          <w:rFonts w:eastAsia="Times New Roman"/>
          <w:sz w:val="24"/>
          <w:szCs w:val="24"/>
          <w:lang w:val="en-GB"/>
        </w:rPr>
      </w:pPr>
    </w:p>
    <w:p w:rsidR="00E10FF0" w:rsidRPr="00005374" w:rsidRDefault="00E10FF0" w:rsidP="00E10FF0">
      <w:pPr>
        <w:pStyle w:val="Heading1"/>
        <w:rPr>
          <w:rFonts w:cs="Arial"/>
          <w:lang w:val="en-GB"/>
        </w:rPr>
      </w:pPr>
      <w:bookmarkStart w:id="5" w:name="_Toc216128160"/>
      <w:r w:rsidRPr="00005374">
        <w:rPr>
          <w:rFonts w:cs="Arial"/>
          <w:lang w:val="en-GB"/>
        </w:rPr>
        <w:t>Section 2: Comprehensive Strategic Analysis</w:t>
      </w:r>
      <w:bookmarkEnd w:id="5"/>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In order to discuss the topic of international market expansion by Boat, a succinct strategic analysis is needed. For this purpose, an analysis of macro-environmental factors and the competitive landscape is developed below.</w:t>
      </w:r>
    </w:p>
    <w:p w:rsidR="00E10FF0" w:rsidRPr="00005374" w:rsidRDefault="00E10FF0" w:rsidP="00E10FF0">
      <w:pPr>
        <w:pStyle w:val="Heading2"/>
        <w:spacing w:before="40"/>
        <w:rPr>
          <w:rFonts w:cs="Arial"/>
          <w:lang w:val="en-GB"/>
        </w:rPr>
      </w:pPr>
      <w:bookmarkStart w:id="6" w:name="_heading=h.kkpeeiojy97l" w:colFirst="0" w:colLast="0"/>
      <w:bookmarkStart w:id="7" w:name="_Toc216128161"/>
      <w:bookmarkEnd w:id="6"/>
      <w:r w:rsidRPr="00005374">
        <w:rPr>
          <w:rFonts w:cs="Arial"/>
          <w:lang w:val="en-GB"/>
        </w:rPr>
        <w:lastRenderedPageBreak/>
        <w:t>2.1 Analysis of the selected market's macro-environmental factors and competitive landscape</w:t>
      </w:r>
      <w:bookmarkEnd w:id="7"/>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The Australian consumer electronics market will be a strategically effective market to boat, the brand of audio and wearables in India. According to me, this expansion analysis reviews the macro-environments of Australia using a framework of the PESTEL technique and the competitive forces that will determine the market entry strategy of the boat. </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PESTEL Analysis: </w:t>
      </w:r>
    </w:p>
    <w:p w:rsidR="00E10FF0" w:rsidRPr="00005374" w:rsidRDefault="00E10FF0" w:rsidP="00E10FF0">
      <w:pPr>
        <w:spacing w:line="360" w:lineRule="auto"/>
        <w:jc w:val="both"/>
        <w:rPr>
          <w:rFonts w:eastAsia="Times New Roman"/>
          <w:b/>
          <w:bCs/>
          <w:sz w:val="24"/>
          <w:szCs w:val="24"/>
          <w:u w:val="single"/>
          <w:lang w:val="en-GB"/>
        </w:rPr>
      </w:pPr>
      <w:r w:rsidRPr="00005374">
        <w:rPr>
          <w:rFonts w:eastAsia="Times New Roman"/>
          <w:b/>
          <w:bCs/>
          <w:sz w:val="24"/>
          <w:szCs w:val="24"/>
          <w:u w:val="single"/>
          <w:lang w:val="en-GB"/>
        </w:rPr>
        <w:t>Political Factors</w:t>
      </w:r>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Strengths/Opportunities</w:t>
      </w:r>
    </w:p>
    <w:p w:rsidR="00E10FF0" w:rsidRPr="00005374" w:rsidRDefault="00E10FF0" w:rsidP="00E10FF0">
      <w:pPr>
        <w:numPr>
          <w:ilvl w:val="0"/>
          <w:numId w:val="16"/>
        </w:numPr>
        <w:spacing w:line="360" w:lineRule="auto"/>
        <w:jc w:val="both"/>
        <w:rPr>
          <w:rFonts w:eastAsia="Times New Roman"/>
          <w:sz w:val="24"/>
          <w:szCs w:val="24"/>
          <w:lang w:val="en-GB"/>
        </w:rPr>
      </w:pPr>
      <w:r w:rsidRPr="00005374">
        <w:rPr>
          <w:rFonts w:eastAsia="Times New Roman"/>
          <w:sz w:val="24"/>
          <w:szCs w:val="24"/>
          <w:lang w:val="en-GB"/>
        </w:rPr>
        <w:t xml:space="preserve">The political stability rank of 6 of the country has always been one of the highest in the world, which offers MNCs with predictable regulatory conditions that are vital in long-term strategic planning (Lowyinstitute.org, 2025). This stability minimises sovereign risk and provides stability in policy during electoral periods that is highly beneficial to the foreign entrants, such as boats who need long-term market development investments. </w:t>
      </w: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Weaknesses/Threats</w:t>
      </w:r>
    </w:p>
    <w:p w:rsidR="00E10FF0" w:rsidRDefault="00E10FF0" w:rsidP="00E10FF0">
      <w:pPr>
        <w:numPr>
          <w:ilvl w:val="0"/>
          <w:numId w:val="1"/>
        </w:numPr>
        <w:spacing w:line="360" w:lineRule="auto"/>
        <w:jc w:val="both"/>
        <w:rPr>
          <w:rFonts w:eastAsia="Times New Roman"/>
          <w:sz w:val="24"/>
          <w:szCs w:val="24"/>
          <w:lang w:val="en-GB"/>
        </w:rPr>
      </w:pPr>
      <w:r w:rsidRPr="00005374">
        <w:rPr>
          <w:rFonts w:eastAsia="Times New Roman"/>
          <w:sz w:val="24"/>
          <w:szCs w:val="24"/>
          <w:lang w:val="en-GB"/>
        </w:rPr>
        <w:t>Australia still has rather strict consumer protection laws and the directive that serves is known as the Australian Consumer Law (ACL). In the case of electronics manufacturers complying with the mandatory safety standards within the Electrical Equipment Safety System the mandatory certification of the product and registration of the suppliers are implemented.</w:t>
      </w:r>
    </w:p>
    <w:p w:rsidR="007E5008" w:rsidRPr="00005374" w:rsidRDefault="007E5008" w:rsidP="007E5008">
      <w:pPr>
        <w:spacing w:line="360" w:lineRule="auto"/>
        <w:ind w:left="720"/>
        <w:jc w:val="both"/>
        <w:rPr>
          <w:rFonts w:eastAsia="Times New Roman"/>
          <w:sz w:val="24"/>
          <w:szCs w:val="24"/>
          <w:lang w:val="en-GB"/>
        </w:rPr>
      </w:pPr>
    </w:p>
    <w:p w:rsidR="00E10FF0" w:rsidRPr="00005374" w:rsidRDefault="00E10FF0" w:rsidP="00E10FF0">
      <w:pPr>
        <w:spacing w:line="360" w:lineRule="auto"/>
        <w:jc w:val="both"/>
        <w:rPr>
          <w:rFonts w:eastAsia="Times New Roman"/>
          <w:b/>
          <w:bCs/>
          <w:sz w:val="24"/>
          <w:szCs w:val="24"/>
          <w:u w:val="single"/>
          <w:lang w:val="en-GB"/>
        </w:rPr>
      </w:pPr>
      <w:r w:rsidRPr="00005374">
        <w:rPr>
          <w:rFonts w:eastAsia="Times New Roman"/>
          <w:b/>
          <w:bCs/>
          <w:sz w:val="24"/>
          <w:szCs w:val="24"/>
          <w:u w:val="single"/>
          <w:lang w:val="en-GB"/>
        </w:rPr>
        <w:t>Economic Factors</w:t>
      </w: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Strengths/Opportunities</w:t>
      </w:r>
    </w:p>
    <w:p w:rsidR="00E10FF0" w:rsidRPr="00005374" w:rsidRDefault="00E10FF0" w:rsidP="00E10FF0">
      <w:pPr>
        <w:numPr>
          <w:ilvl w:val="0"/>
          <w:numId w:val="13"/>
        </w:numPr>
        <w:spacing w:line="360" w:lineRule="auto"/>
        <w:jc w:val="both"/>
        <w:rPr>
          <w:rFonts w:eastAsia="Times New Roman"/>
          <w:sz w:val="24"/>
          <w:szCs w:val="24"/>
          <w:lang w:val="en-GB"/>
        </w:rPr>
      </w:pPr>
      <w:r w:rsidRPr="00005374">
        <w:rPr>
          <w:rFonts w:eastAsia="Times New Roman"/>
          <w:sz w:val="24"/>
          <w:szCs w:val="24"/>
          <w:lang w:val="en-GB"/>
        </w:rPr>
        <w:t>Australia has one of the highest GDP per capita rates in the world, with almost USD 64,547 in 2023, which is a significant amount of consumer purchasing power (‌Statista, 2025).</w:t>
      </w:r>
    </w:p>
    <w:p w:rsidR="00E10FF0" w:rsidRPr="00005374" w:rsidRDefault="00E10FF0" w:rsidP="00E10FF0">
      <w:pPr>
        <w:spacing w:line="360" w:lineRule="auto"/>
        <w:jc w:val="center"/>
        <w:rPr>
          <w:rFonts w:eastAsia="Times New Roman"/>
          <w:sz w:val="24"/>
          <w:szCs w:val="24"/>
          <w:lang w:val="en-GB"/>
        </w:rPr>
      </w:pPr>
      <w:r w:rsidRPr="00005374">
        <w:rPr>
          <w:rFonts w:eastAsia="Times New Roman"/>
          <w:noProof/>
          <w:sz w:val="24"/>
          <w:szCs w:val="24"/>
          <w:lang w:val="en-IN" w:eastAsia="en-IN"/>
        </w:rPr>
        <w:lastRenderedPageBreak/>
        <w:drawing>
          <wp:inline distT="114300" distB="114300" distL="114300" distR="114300" wp14:anchorId="0DEBDC3D" wp14:editId="2C6CC463">
            <wp:extent cx="4518660" cy="2156460"/>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518660" cy="2156460"/>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 xml:space="preserve">Figure 3: GDP rate </w:t>
      </w:r>
    </w:p>
    <w:p w:rsidR="00E10FF0" w:rsidRPr="00005374"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‌Statista, 2025)</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It has a willingness to pay high prices for quality products as on average, its consumers invest in electronics.</w:t>
      </w:r>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Weaknesses/Threats</w:t>
      </w:r>
    </w:p>
    <w:p w:rsidR="00E10FF0" w:rsidRDefault="00E10FF0" w:rsidP="00E10FF0">
      <w:pPr>
        <w:numPr>
          <w:ilvl w:val="0"/>
          <w:numId w:val="15"/>
        </w:numPr>
        <w:spacing w:line="360" w:lineRule="auto"/>
        <w:jc w:val="both"/>
        <w:rPr>
          <w:rFonts w:eastAsia="Times New Roman"/>
          <w:sz w:val="24"/>
          <w:szCs w:val="24"/>
          <w:lang w:val="en-GB"/>
        </w:rPr>
      </w:pPr>
      <w:r w:rsidRPr="00005374">
        <w:rPr>
          <w:rFonts w:eastAsia="Times New Roman"/>
          <w:sz w:val="24"/>
          <w:szCs w:val="24"/>
          <w:lang w:val="en-GB"/>
        </w:rPr>
        <w:t>The cost of business operations in Australia is among the highest in the world, and commercial real estate rates in such big cities as Sydney or Melbourne in Australia are the most expensive in the world.</w:t>
      </w:r>
    </w:p>
    <w:p w:rsidR="007E5008" w:rsidRPr="00005374" w:rsidRDefault="007E5008" w:rsidP="007E5008">
      <w:pPr>
        <w:spacing w:line="360" w:lineRule="auto"/>
        <w:ind w:left="720"/>
        <w:jc w:val="both"/>
        <w:rPr>
          <w:rFonts w:eastAsia="Times New Roman"/>
          <w:sz w:val="24"/>
          <w:szCs w:val="24"/>
          <w:lang w:val="en-GB"/>
        </w:rPr>
      </w:pPr>
    </w:p>
    <w:p w:rsidR="00E10FF0" w:rsidRPr="00005374" w:rsidRDefault="00E10FF0" w:rsidP="00E10FF0">
      <w:pPr>
        <w:spacing w:line="360" w:lineRule="auto"/>
        <w:jc w:val="both"/>
        <w:rPr>
          <w:rFonts w:eastAsia="Times New Roman"/>
          <w:b/>
          <w:bCs/>
          <w:sz w:val="24"/>
          <w:szCs w:val="24"/>
          <w:u w:val="single"/>
          <w:lang w:val="en-GB"/>
        </w:rPr>
      </w:pPr>
      <w:r w:rsidRPr="00005374">
        <w:rPr>
          <w:rFonts w:eastAsia="Times New Roman"/>
          <w:b/>
          <w:bCs/>
          <w:sz w:val="24"/>
          <w:szCs w:val="24"/>
          <w:u w:val="single"/>
          <w:lang w:val="en-GB"/>
        </w:rPr>
        <w:t>Social Factors</w:t>
      </w:r>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Strengths/Opportunities</w:t>
      </w:r>
    </w:p>
    <w:p w:rsidR="00E10FF0" w:rsidRPr="00005374" w:rsidRDefault="00E10FF0" w:rsidP="00E10FF0">
      <w:pPr>
        <w:numPr>
          <w:ilvl w:val="0"/>
          <w:numId w:val="11"/>
        </w:numPr>
        <w:spacing w:line="360" w:lineRule="auto"/>
        <w:jc w:val="both"/>
        <w:rPr>
          <w:rFonts w:eastAsia="Times New Roman"/>
          <w:sz w:val="24"/>
          <w:szCs w:val="24"/>
          <w:lang w:val="en-GB"/>
        </w:rPr>
      </w:pPr>
      <w:r w:rsidRPr="00005374">
        <w:rPr>
          <w:rFonts w:eastAsia="Times New Roman"/>
          <w:sz w:val="24"/>
          <w:szCs w:val="24"/>
          <w:lang w:val="en-GB"/>
        </w:rPr>
        <w:t>There are some of the highest levels of technology adoption in Australia, with 86.8 % of the population owning smartphones and people show a high level of affinity to new consumer electronics and the adoption of the technologies of wireless audio is significantly larger than the world averages (Statista, 2023).</w:t>
      </w:r>
    </w:p>
    <w:p w:rsidR="00E10FF0" w:rsidRPr="00005374" w:rsidRDefault="00E10FF0" w:rsidP="00E10FF0">
      <w:pPr>
        <w:spacing w:line="360" w:lineRule="auto"/>
        <w:jc w:val="center"/>
        <w:rPr>
          <w:rFonts w:eastAsia="Times New Roman"/>
          <w:sz w:val="24"/>
          <w:szCs w:val="24"/>
          <w:lang w:val="en-GB"/>
        </w:rPr>
      </w:pPr>
      <w:r w:rsidRPr="00005374">
        <w:rPr>
          <w:rFonts w:eastAsia="Times New Roman"/>
          <w:noProof/>
          <w:sz w:val="24"/>
          <w:szCs w:val="24"/>
          <w:lang w:val="en-IN" w:eastAsia="en-IN"/>
        </w:rPr>
        <w:lastRenderedPageBreak/>
        <w:drawing>
          <wp:inline distT="114300" distB="114300" distL="114300" distR="114300" wp14:anchorId="63B6D497" wp14:editId="7806A1C2">
            <wp:extent cx="5082540" cy="2400300"/>
            <wp:effectExtent l="0" t="0" r="0" b="0"/>
            <wp:docPr id="1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082540" cy="2400300"/>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Figure 4: Population owning a smartphone</w:t>
      </w:r>
    </w:p>
    <w:p w:rsidR="00E10FF0" w:rsidRPr="00005374"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Statista, 2023)</w:t>
      </w: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Weaknesses/Threats</w:t>
      </w:r>
    </w:p>
    <w:p w:rsidR="00E10FF0" w:rsidRDefault="00E10FF0" w:rsidP="00E10FF0">
      <w:pPr>
        <w:numPr>
          <w:ilvl w:val="0"/>
          <w:numId w:val="14"/>
        </w:numPr>
        <w:spacing w:line="360" w:lineRule="auto"/>
        <w:jc w:val="both"/>
        <w:rPr>
          <w:rFonts w:eastAsia="Times New Roman"/>
          <w:sz w:val="24"/>
          <w:szCs w:val="24"/>
          <w:lang w:val="en-GB"/>
        </w:rPr>
      </w:pPr>
      <w:r w:rsidRPr="00005374">
        <w:rPr>
          <w:rFonts w:eastAsia="Times New Roman"/>
          <w:sz w:val="24"/>
          <w:szCs w:val="24"/>
          <w:lang w:val="en-GB"/>
        </w:rPr>
        <w:t>The existing brand loyalties of Australian consumers towards international companies such as Apple, Sony, Bose and Samsung, with a combined around 68% in wireless audio are strong (360researchreports, 2025).</w:t>
      </w:r>
    </w:p>
    <w:p w:rsidR="007E5008" w:rsidRPr="00005374" w:rsidRDefault="007E5008" w:rsidP="007E5008">
      <w:pPr>
        <w:spacing w:line="360" w:lineRule="auto"/>
        <w:ind w:left="720"/>
        <w:jc w:val="both"/>
        <w:rPr>
          <w:rFonts w:eastAsia="Times New Roman"/>
          <w:sz w:val="24"/>
          <w:szCs w:val="24"/>
          <w:lang w:val="en-GB"/>
        </w:rPr>
      </w:pPr>
    </w:p>
    <w:p w:rsidR="00E10FF0" w:rsidRPr="00005374" w:rsidRDefault="00E10FF0" w:rsidP="00E10FF0">
      <w:pPr>
        <w:spacing w:line="360" w:lineRule="auto"/>
        <w:jc w:val="both"/>
        <w:rPr>
          <w:rFonts w:eastAsia="Times New Roman"/>
          <w:b/>
          <w:bCs/>
          <w:sz w:val="24"/>
          <w:szCs w:val="24"/>
          <w:u w:val="single"/>
          <w:lang w:val="en-GB"/>
        </w:rPr>
      </w:pPr>
      <w:r w:rsidRPr="00005374">
        <w:rPr>
          <w:rFonts w:eastAsia="Times New Roman"/>
          <w:b/>
          <w:bCs/>
          <w:sz w:val="24"/>
          <w:szCs w:val="24"/>
          <w:u w:val="single"/>
          <w:lang w:val="en-GB"/>
        </w:rPr>
        <w:t>Technological Factors</w:t>
      </w:r>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Strengths/Opportunities</w:t>
      </w:r>
    </w:p>
    <w:p w:rsidR="00E10FF0" w:rsidRPr="00005374" w:rsidRDefault="00E10FF0" w:rsidP="00E10FF0">
      <w:pPr>
        <w:numPr>
          <w:ilvl w:val="0"/>
          <w:numId w:val="7"/>
        </w:numPr>
        <w:spacing w:line="360" w:lineRule="auto"/>
        <w:jc w:val="both"/>
        <w:rPr>
          <w:rFonts w:eastAsia="Times New Roman"/>
          <w:sz w:val="24"/>
          <w:szCs w:val="24"/>
          <w:lang w:val="en-GB"/>
        </w:rPr>
      </w:pPr>
      <w:r w:rsidRPr="00005374">
        <w:rPr>
          <w:rFonts w:eastAsia="Times New Roman"/>
          <w:sz w:val="24"/>
          <w:szCs w:val="24"/>
          <w:lang w:val="en-GB"/>
        </w:rPr>
        <w:t>Australia boasts of telecommunications infrastructure rated as the world with 5G networks that have a coverage of 85 % of the population, 60 % people use 5G and this continues to be expanded (Editor, 2024).</w:t>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noProof/>
          <w:sz w:val="24"/>
          <w:szCs w:val="24"/>
          <w:lang w:val="en-IN" w:eastAsia="en-IN"/>
        </w:rPr>
        <w:drawing>
          <wp:inline distT="114300" distB="114300" distL="114300" distR="114300" wp14:anchorId="317887D0" wp14:editId="77FF059C">
            <wp:extent cx="5731200" cy="245110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5731200" cy="2451100"/>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lastRenderedPageBreak/>
        <w:t>Figure 5: 5G subscribers in Australia</w:t>
      </w:r>
    </w:p>
    <w:p w:rsidR="00E10FF0" w:rsidRPr="00005374"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(‌Editor, 2024)</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According to me, this infrastructure is used to implement the omnichannel retail strategy of boAt and allows smooth digital customer experiences on the e-commerce platforms.</w:t>
      </w: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Weaknesses/Threats</w:t>
      </w:r>
    </w:p>
    <w:p w:rsidR="00E10FF0" w:rsidRDefault="00E10FF0" w:rsidP="00E10FF0">
      <w:pPr>
        <w:numPr>
          <w:ilvl w:val="0"/>
          <w:numId w:val="12"/>
        </w:numPr>
        <w:spacing w:line="360" w:lineRule="auto"/>
        <w:jc w:val="both"/>
        <w:rPr>
          <w:rFonts w:eastAsia="Times New Roman"/>
          <w:sz w:val="24"/>
          <w:szCs w:val="24"/>
          <w:lang w:val="en-GB"/>
        </w:rPr>
      </w:pPr>
      <w:r w:rsidRPr="00005374">
        <w:rPr>
          <w:rFonts w:eastAsia="Times New Roman"/>
          <w:sz w:val="24"/>
          <w:szCs w:val="24"/>
          <w:lang w:val="en-GB"/>
        </w:rPr>
        <w:t>To deploy compliant security architectures, it requires expert technical solutions and security maintenance. As per my opinion, it could result in reputational and various financial damages from security breaches.</w:t>
      </w:r>
    </w:p>
    <w:p w:rsidR="007E5008" w:rsidRPr="00005374" w:rsidRDefault="007E5008" w:rsidP="007E5008">
      <w:pPr>
        <w:spacing w:line="360" w:lineRule="auto"/>
        <w:ind w:left="720"/>
        <w:jc w:val="both"/>
        <w:rPr>
          <w:rFonts w:eastAsia="Times New Roman"/>
          <w:sz w:val="24"/>
          <w:szCs w:val="24"/>
          <w:lang w:val="en-GB"/>
        </w:rPr>
      </w:pPr>
    </w:p>
    <w:p w:rsidR="007E5008" w:rsidRPr="00005374" w:rsidRDefault="00E10FF0" w:rsidP="00E10FF0">
      <w:pPr>
        <w:spacing w:line="360" w:lineRule="auto"/>
        <w:jc w:val="both"/>
        <w:rPr>
          <w:rFonts w:eastAsia="Times New Roman"/>
          <w:b/>
          <w:bCs/>
          <w:sz w:val="24"/>
          <w:szCs w:val="24"/>
          <w:u w:val="single"/>
          <w:lang w:val="en-GB"/>
        </w:rPr>
      </w:pPr>
      <w:r w:rsidRPr="00005374">
        <w:rPr>
          <w:rFonts w:eastAsia="Times New Roman"/>
          <w:b/>
          <w:bCs/>
          <w:sz w:val="24"/>
          <w:szCs w:val="24"/>
          <w:u w:val="single"/>
          <w:lang w:val="en-GB"/>
        </w:rPr>
        <w:t>Environmental Factors</w:t>
      </w:r>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Strengths/Opportunities</w:t>
      </w:r>
    </w:p>
    <w:p w:rsidR="00E10FF0" w:rsidRPr="00005374" w:rsidRDefault="00E10FF0" w:rsidP="00E10FF0">
      <w:pPr>
        <w:numPr>
          <w:ilvl w:val="0"/>
          <w:numId w:val="2"/>
        </w:numPr>
        <w:spacing w:line="360" w:lineRule="auto"/>
        <w:jc w:val="both"/>
        <w:rPr>
          <w:rFonts w:eastAsia="Times New Roman"/>
          <w:sz w:val="24"/>
          <w:szCs w:val="24"/>
          <w:lang w:val="en-GB"/>
        </w:rPr>
      </w:pPr>
      <w:r w:rsidRPr="00005374">
        <w:rPr>
          <w:rFonts w:eastAsia="Times New Roman"/>
          <w:sz w:val="24"/>
          <w:szCs w:val="24"/>
          <w:lang w:val="en-GB"/>
        </w:rPr>
        <w:t>The Australian government provides businesses that execute their environmental sustainability programs with a number of incentives, such as a deduction in taxes in the case of equipment that uses less energy and grants dedicated to waste reduction programs.</w:t>
      </w: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Weaknesses/Threats</w:t>
      </w:r>
    </w:p>
    <w:p w:rsidR="00E10FF0" w:rsidRDefault="00E10FF0" w:rsidP="00E10FF0">
      <w:pPr>
        <w:numPr>
          <w:ilvl w:val="0"/>
          <w:numId w:val="3"/>
        </w:numPr>
        <w:spacing w:line="360" w:lineRule="auto"/>
        <w:jc w:val="both"/>
        <w:rPr>
          <w:rFonts w:eastAsia="Times New Roman"/>
          <w:sz w:val="24"/>
          <w:szCs w:val="24"/>
          <w:lang w:val="en-GB"/>
        </w:rPr>
      </w:pPr>
      <w:r w:rsidRPr="00005374">
        <w:rPr>
          <w:rFonts w:eastAsia="Times New Roman"/>
          <w:sz w:val="24"/>
          <w:szCs w:val="24"/>
          <w:lang w:val="en-GB"/>
        </w:rPr>
        <w:t>It is seen from the article by Dcceew (2025) that Australia has an environment with detailed environmental policies such as the reduction of packaging waste, product stewardship and carbon reporting on operations large and above. The compliance requires an investment in environmental management systems, reporting infrastructure and even product redesigning.</w:t>
      </w:r>
    </w:p>
    <w:p w:rsidR="007E5008" w:rsidRPr="00005374" w:rsidRDefault="007E5008" w:rsidP="007E5008">
      <w:pPr>
        <w:spacing w:line="360" w:lineRule="auto"/>
        <w:ind w:left="720"/>
        <w:jc w:val="both"/>
        <w:rPr>
          <w:rFonts w:eastAsia="Times New Roman"/>
          <w:sz w:val="24"/>
          <w:szCs w:val="24"/>
          <w:lang w:val="en-GB"/>
        </w:rPr>
      </w:pP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u w:val="single"/>
          <w:lang w:val="en-GB"/>
        </w:rPr>
        <w:t>Legal Factors</w:t>
      </w: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Strengths/Opportunities</w:t>
      </w:r>
    </w:p>
    <w:p w:rsidR="00E10FF0" w:rsidRPr="00005374" w:rsidRDefault="00E10FF0" w:rsidP="00E10FF0">
      <w:pPr>
        <w:numPr>
          <w:ilvl w:val="0"/>
          <w:numId w:val="5"/>
        </w:numPr>
        <w:spacing w:line="360" w:lineRule="auto"/>
        <w:jc w:val="both"/>
        <w:rPr>
          <w:rFonts w:eastAsia="Times New Roman"/>
          <w:sz w:val="24"/>
          <w:szCs w:val="24"/>
          <w:lang w:val="en-GB"/>
        </w:rPr>
      </w:pPr>
      <w:r w:rsidRPr="00005374">
        <w:rPr>
          <w:rFonts w:eastAsia="Times New Roman"/>
          <w:sz w:val="24"/>
          <w:szCs w:val="24"/>
          <w:lang w:val="en-GB"/>
        </w:rPr>
        <w:t>Australia has effective intellectual property protection systems, which are led by IP Australia and which have extensive patent, trademark and design registration systems. According to me, the registration processes of trademarks can be carried out in a period of 7-8 months, which allows the establishment of brand protection in a comparatively short amount of time.</w:t>
      </w:r>
    </w:p>
    <w:p w:rsidR="00E10FF0" w:rsidRPr="00005374" w:rsidRDefault="00E10FF0" w:rsidP="00E10FF0">
      <w:pPr>
        <w:spacing w:line="360" w:lineRule="auto"/>
        <w:jc w:val="center"/>
        <w:rPr>
          <w:rFonts w:eastAsia="Times New Roman"/>
          <w:sz w:val="24"/>
          <w:szCs w:val="24"/>
          <w:lang w:val="en-GB"/>
        </w:rPr>
      </w:pPr>
      <w:r w:rsidRPr="00005374">
        <w:rPr>
          <w:rFonts w:eastAsia="Times New Roman"/>
          <w:noProof/>
          <w:sz w:val="24"/>
          <w:szCs w:val="24"/>
          <w:lang w:val="en-IN" w:eastAsia="en-IN"/>
        </w:rPr>
        <w:lastRenderedPageBreak/>
        <w:drawing>
          <wp:inline distT="114300" distB="114300" distL="114300" distR="114300" wp14:anchorId="0D8723B7" wp14:editId="1471E8A4">
            <wp:extent cx="5731200" cy="2540000"/>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2540000"/>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Figure 6: Register a trademark in Australia</w:t>
      </w:r>
    </w:p>
    <w:p w:rsidR="00E10FF0" w:rsidRPr="00005374"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‌Maher, 2024)</w:t>
      </w: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Weaknesses/Threats</w:t>
      </w:r>
    </w:p>
    <w:p w:rsidR="00E10FF0" w:rsidRPr="00005374" w:rsidRDefault="00E10FF0" w:rsidP="00E10FF0">
      <w:pPr>
        <w:numPr>
          <w:ilvl w:val="0"/>
          <w:numId w:val="6"/>
        </w:numPr>
        <w:spacing w:line="360" w:lineRule="auto"/>
        <w:jc w:val="both"/>
        <w:rPr>
          <w:rFonts w:eastAsia="Times New Roman"/>
          <w:sz w:val="24"/>
          <w:szCs w:val="24"/>
          <w:lang w:val="en-GB"/>
        </w:rPr>
      </w:pPr>
      <w:r w:rsidRPr="00005374">
        <w:rPr>
          <w:rFonts w:eastAsia="Times New Roman"/>
          <w:sz w:val="24"/>
          <w:szCs w:val="24"/>
          <w:lang w:val="en-GB"/>
        </w:rPr>
        <w:t xml:space="preserve">Under the EESS, Australia has made electrical product safety mandatory standards whereby products must receive compliance certification before they can legally be sold (‌Vic.gov.au, 2025). The certification is done through approved laboratory testing, registration of the suppliers and constant monitoring of compliance. Moreover, failure to comply would lead to product recalls, a fine of up to AUD 33 million and possible criminal charges in case of any serious violations (lexology.com, 2024). </w:t>
      </w:r>
    </w:p>
    <w:p w:rsidR="00E10FF0" w:rsidRPr="00005374" w:rsidRDefault="00E10FF0" w:rsidP="00E10FF0">
      <w:pPr>
        <w:spacing w:line="360" w:lineRule="auto"/>
        <w:jc w:val="center"/>
        <w:rPr>
          <w:rFonts w:eastAsia="Times New Roman"/>
          <w:sz w:val="24"/>
          <w:szCs w:val="24"/>
          <w:lang w:val="en-GB"/>
        </w:rPr>
      </w:pPr>
      <w:r w:rsidRPr="00005374">
        <w:rPr>
          <w:rFonts w:eastAsia="Times New Roman"/>
          <w:noProof/>
          <w:sz w:val="24"/>
          <w:szCs w:val="24"/>
          <w:lang w:val="en-IN" w:eastAsia="en-IN"/>
        </w:rPr>
        <w:drawing>
          <wp:inline distT="114300" distB="114300" distL="114300" distR="114300" wp14:anchorId="70F6A827" wp14:editId="419DD26F">
            <wp:extent cx="4169028" cy="1501231"/>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169028" cy="1501231"/>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Figure 7: Anti-bribery legislation</w:t>
      </w:r>
    </w:p>
    <w:p w:rsidR="00E10FF0"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lexology.com, 2024)</w:t>
      </w:r>
    </w:p>
    <w:p w:rsidR="007E5008" w:rsidRDefault="007E5008" w:rsidP="00E10FF0">
      <w:pPr>
        <w:spacing w:line="360" w:lineRule="auto"/>
        <w:jc w:val="center"/>
        <w:rPr>
          <w:rFonts w:eastAsia="Times New Roman"/>
          <w:sz w:val="24"/>
          <w:szCs w:val="24"/>
          <w:lang w:val="en-GB"/>
        </w:rPr>
      </w:pPr>
    </w:p>
    <w:p w:rsidR="007E5008" w:rsidRPr="00005374" w:rsidRDefault="007E5008" w:rsidP="00E10FF0">
      <w:pPr>
        <w:spacing w:line="360" w:lineRule="auto"/>
        <w:jc w:val="center"/>
        <w:rPr>
          <w:rFonts w:eastAsia="Times New Roman"/>
          <w:b/>
          <w:bCs/>
          <w:sz w:val="24"/>
          <w:szCs w:val="24"/>
          <w:lang w:val="en-GB"/>
        </w:rPr>
      </w:pPr>
    </w:p>
    <w:p w:rsidR="00E10FF0" w:rsidRPr="00005374" w:rsidRDefault="00E10FF0" w:rsidP="00E10FF0">
      <w:pPr>
        <w:pStyle w:val="Heading2"/>
        <w:rPr>
          <w:rFonts w:cs="Arial"/>
          <w:lang w:val="en-GB"/>
        </w:rPr>
      </w:pPr>
      <w:bookmarkStart w:id="8" w:name="_Toc216128162"/>
      <w:r w:rsidRPr="00005374">
        <w:rPr>
          <w:rFonts w:cs="Arial"/>
          <w:lang w:val="en-GB"/>
        </w:rPr>
        <w:lastRenderedPageBreak/>
        <w:t>2.2 Industry/ Competitive Analysis</w:t>
      </w:r>
      <w:bookmarkEnd w:id="8"/>
      <w:r w:rsidRPr="00005374">
        <w:rPr>
          <w:rFonts w:cs="Arial"/>
          <w:lang w:val="en-GB"/>
        </w:rPr>
        <w:t xml:space="preserve"> </w:t>
      </w:r>
    </w:p>
    <w:p w:rsidR="00E10FF0" w:rsidRPr="00005374" w:rsidRDefault="00E10FF0" w:rsidP="00E10FF0">
      <w:pPr>
        <w:spacing w:line="360" w:lineRule="auto"/>
        <w:jc w:val="both"/>
        <w:rPr>
          <w:rFonts w:eastAsia="Times New Roman"/>
          <w:b/>
          <w:bCs/>
          <w:sz w:val="24"/>
          <w:szCs w:val="24"/>
          <w:u w:val="single"/>
          <w:lang w:val="en-GB"/>
        </w:rPr>
      </w:pPr>
      <w:r w:rsidRPr="00005374">
        <w:rPr>
          <w:rFonts w:eastAsia="Times New Roman"/>
          <w:b/>
          <w:bCs/>
          <w:sz w:val="24"/>
          <w:szCs w:val="24"/>
          <w:u w:val="single"/>
          <w:lang w:val="en-GB"/>
        </w:rPr>
        <w:t>Five Forces Analysis</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Porter’s Five Forces is crucial in this context to focus on industry competitiveness. It is effective in providing a structured assessment of supplier power, buyer power, along with threat of substitutes, new entrants and competitive rivalry (Ndzabukelwako et al. 2024). </w:t>
      </w:r>
    </w:p>
    <w:p w:rsidR="00E10FF0" w:rsidRPr="00005374" w:rsidRDefault="00E10FF0" w:rsidP="00E10FF0">
      <w:pPr>
        <w:spacing w:line="360" w:lineRule="auto"/>
        <w:jc w:val="both"/>
        <w:rPr>
          <w:rFonts w:eastAsia="Times New Roman"/>
          <w:b/>
          <w:bCs/>
          <w:i/>
          <w:iCs/>
          <w:sz w:val="24"/>
          <w:szCs w:val="24"/>
          <w:lang w:val="en-GB"/>
        </w:rPr>
      </w:pPr>
      <w:r w:rsidRPr="00005374">
        <w:rPr>
          <w:rFonts w:eastAsia="Times New Roman"/>
          <w:b/>
          <w:bCs/>
          <w:i/>
          <w:iCs/>
          <w:sz w:val="24"/>
          <w:szCs w:val="24"/>
          <w:lang w:val="en-GB"/>
        </w:rPr>
        <w:t>Risks of new entries: Moderate to high.</w:t>
      </w:r>
    </w:p>
    <w:p w:rsidR="00E10FF0" w:rsidRPr="00005374" w:rsidRDefault="00E10FF0" w:rsidP="00E10FF0">
      <w:pPr>
        <w:numPr>
          <w:ilvl w:val="0"/>
          <w:numId w:val="8"/>
        </w:numPr>
        <w:spacing w:line="360" w:lineRule="auto"/>
        <w:jc w:val="both"/>
        <w:rPr>
          <w:rFonts w:eastAsia="Times New Roman"/>
          <w:sz w:val="24"/>
          <w:szCs w:val="24"/>
          <w:lang w:val="en-GB"/>
        </w:rPr>
      </w:pPr>
      <w:r w:rsidRPr="00005374">
        <w:rPr>
          <w:rFonts w:eastAsia="Times New Roman"/>
          <w:sz w:val="24"/>
          <w:szCs w:val="24"/>
          <w:lang w:val="en-GB"/>
        </w:rPr>
        <w:t>Although boat, as a company, is a new player, there is still a high risk posed by new entrants. I can say that the accessibility of entry barriers is made by low capital requirements to carry out digital commerce, the presence of high levels of capacity in contract manufacturing,</w:t>
      </w:r>
    </w:p>
    <w:p w:rsidR="00E10FF0" w:rsidRPr="00005374" w:rsidRDefault="00E10FF0" w:rsidP="00E10FF0">
      <w:pPr>
        <w:numPr>
          <w:ilvl w:val="0"/>
          <w:numId w:val="8"/>
        </w:numPr>
        <w:spacing w:line="360" w:lineRule="auto"/>
        <w:jc w:val="both"/>
        <w:rPr>
          <w:rFonts w:eastAsia="Times New Roman"/>
          <w:sz w:val="24"/>
          <w:szCs w:val="24"/>
          <w:lang w:val="en-GB"/>
        </w:rPr>
      </w:pPr>
      <w:r w:rsidRPr="00005374">
        <w:rPr>
          <w:rFonts w:eastAsia="Times New Roman"/>
          <w:sz w:val="24"/>
          <w:szCs w:val="24"/>
          <w:lang w:val="en-GB"/>
        </w:rPr>
        <w:t>In the case of boats, defensive positioning against new entrants can be formed by the first-mover leverage in the lifestyle-focused value segment (Indian Retailer, 2024).</w:t>
      </w:r>
    </w:p>
    <w:p w:rsidR="00E10FF0" w:rsidRPr="00005374" w:rsidRDefault="00E10FF0" w:rsidP="00E10FF0">
      <w:pPr>
        <w:spacing w:line="360" w:lineRule="auto"/>
        <w:jc w:val="both"/>
        <w:rPr>
          <w:rFonts w:eastAsia="Times New Roman"/>
          <w:b/>
          <w:bCs/>
          <w:i/>
          <w:iCs/>
          <w:sz w:val="24"/>
          <w:szCs w:val="24"/>
          <w:lang w:val="en-GB"/>
        </w:rPr>
      </w:pPr>
      <w:r w:rsidRPr="00005374">
        <w:rPr>
          <w:rFonts w:eastAsia="Times New Roman"/>
          <w:b/>
          <w:bCs/>
          <w:i/>
          <w:iCs/>
          <w:sz w:val="24"/>
          <w:szCs w:val="24"/>
          <w:lang w:val="en-GB"/>
        </w:rPr>
        <w:t>Supplier Bargaining Power Intelligence: MODERATE.</w:t>
      </w:r>
    </w:p>
    <w:p w:rsidR="00E10FF0" w:rsidRPr="00005374" w:rsidRDefault="00E10FF0" w:rsidP="00E10FF0">
      <w:pPr>
        <w:numPr>
          <w:ilvl w:val="0"/>
          <w:numId w:val="14"/>
        </w:numPr>
        <w:spacing w:line="360" w:lineRule="auto"/>
        <w:jc w:val="both"/>
        <w:rPr>
          <w:rFonts w:eastAsia="Times New Roman"/>
          <w:sz w:val="24"/>
          <w:szCs w:val="24"/>
          <w:lang w:val="en-GB"/>
        </w:rPr>
      </w:pPr>
      <w:r w:rsidRPr="00005374">
        <w:rPr>
          <w:rFonts w:eastAsia="Times New Roman"/>
          <w:sz w:val="24"/>
          <w:szCs w:val="24"/>
          <w:lang w:val="en-GB"/>
        </w:rPr>
        <w:t xml:space="preserve">The production of audio electronics proves to be characterised by medium supplier concentration, with specialised items (premium drivers, batteries, Bluetooth chipsets) being supplied by a small number of international providers. </w:t>
      </w:r>
    </w:p>
    <w:p w:rsidR="00E10FF0" w:rsidRPr="00005374" w:rsidRDefault="00E10FF0" w:rsidP="00E10FF0">
      <w:pPr>
        <w:numPr>
          <w:ilvl w:val="0"/>
          <w:numId w:val="14"/>
        </w:numPr>
        <w:spacing w:line="360" w:lineRule="auto"/>
        <w:jc w:val="both"/>
        <w:rPr>
          <w:rFonts w:eastAsia="Times New Roman"/>
          <w:sz w:val="24"/>
          <w:szCs w:val="24"/>
          <w:lang w:val="en-GB"/>
        </w:rPr>
      </w:pPr>
      <w:r w:rsidRPr="00005374">
        <w:rPr>
          <w:rFonts w:eastAsia="Times New Roman"/>
          <w:sz w:val="24"/>
          <w:szCs w:val="24"/>
          <w:lang w:val="en-GB"/>
        </w:rPr>
        <w:t>Nevertheless, the supply chain relationships and manufacturing partnerships that BoaT has established in India and Asia give it some negotiating strength and security to supply.</w:t>
      </w:r>
    </w:p>
    <w:p w:rsidR="00E10FF0" w:rsidRPr="00005374" w:rsidRDefault="00E10FF0" w:rsidP="00E10FF0">
      <w:pPr>
        <w:spacing w:line="360" w:lineRule="auto"/>
        <w:jc w:val="both"/>
        <w:rPr>
          <w:rFonts w:eastAsia="Times New Roman"/>
          <w:b/>
          <w:bCs/>
          <w:i/>
          <w:iCs/>
          <w:sz w:val="24"/>
          <w:szCs w:val="24"/>
          <w:lang w:val="en-GB"/>
        </w:rPr>
      </w:pPr>
      <w:r w:rsidRPr="00005374">
        <w:rPr>
          <w:rFonts w:eastAsia="Times New Roman"/>
          <w:b/>
          <w:bCs/>
          <w:i/>
          <w:iCs/>
          <w:sz w:val="24"/>
          <w:szCs w:val="24"/>
          <w:lang w:val="en-GB"/>
        </w:rPr>
        <w:t>Bargaining Power of Buyers: HIGH.</w:t>
      </w:r>
    </w:p>
    <w:p w:rsidR="00E10FF0" w:rsidRPr="00005374" w:rsidRDefault="00E10FF0" w:rsidP="00E10FF0">
      <w:pPr>
        <w:numPr>
          <w:ilvl w:val="0"/>
          <w:numId w:val="15"/>
        </w:numPr>
        <w:spacing w:line="360" w:lineRule="auto"/>
        <w:jc w:val="both"/>
        <w:rPr>
          <w:rFonts w:eastAsia="Times New Roman"/>
          <w:sz w:val="24"/>
          <w:szCs w:val="24"/>
          <w:lang w:val="en-GB"/>
        </w:rPr>
      </w:pPr>
      <w:r w:rsidRPr="00005374">
        <w:rPr>
          <w:rFonts w:eastAsia="Times New Roman"/>
          <w:sz w:val="24"/>
          <w:szCs w:val="24"/>
          <w:lang w:val="en-GB"/>
        </w:rPr>
        <w:t>The absence of information advantages is created by global access to product information, comprehensive product reviews and price comparison features.</w:t>
      </w:r>
    </w:p>
    <w:p w:rsidR="00E10FF0" w:rsidRPr="00005374" w:rsidRDefault="00E10FF0" w:rsidP="00E10FF0">
      <w:pPr>
        <w:numPr>
          <w:ilvl w:val="0"/>
          <w:numId w:val="15"/>
        </w:numPr>
        <w:spacing w:line="360" w:lineRule="auto"/>
        <w:jc w:val="both"/>
        <w:rPr>
          <w:rFonts w:eastAsia="Times New Roman"/>
          <w:sz w:val="24"/>
          <w:szCs w:val="24"/>
          <w:lang w:val="en-GB"/>
        </w:rPr>
      </w:pPr>
      <w:r w:rsidRPr="00005374">
        <w:rPr>
          <w:rFonts w:eastAsia="Times New Roman"/>
          <w:sz w:val="24"/>
          <w:szCs w:val="24"/>
          <w:lang w:val="en-GB"/>
        </w:rPr>
        <w:t xml:space="preserve">I can interpret that there are minimal barriers to switching brands (except in the case of ecosystem-locked consumers), which encourage price-sensitive behaviour. This intense buyer power demands value proposition clarity and brand differentiation to reward price although over economy substitutes and remains competitive based on existing mid-tier players (‌Arttu </w:t>
      </w:r>
      <w:r w:rsidRPr="00005374">
        <w:rPr>
          <w:rFonts w:eastAsia="Times New Roman"/>
          <w:i/>
          <w:iCs/>
          <w:sz w:val="24"/>
          <w:szCs w:val="24"/>
          <w:lang w:val="en-GB"/>
        </w:rPr>
        <w:t>et al.,</w:t>
      </w:r>
      <w:r w:rsidRPr="00005374">
        <w:rPr>
          <w:rFonts w:eastAsia="Times New Roman"/>
          <w:sz w:val="24"/>
          <w:szCs w:val="24"/>
          <w:lang w:val="en-GB"/>
        </w:rPr>
        <w:t xml:space="preserve"> 2023).</w:t>
      </w:r>
    </w:p>
    <w:p w:rsidR="00E10FF0" w:rsidRPr="00005374" w:rsidRDefault="00E10FF0" w:rsidP="00E10FF0">
      <w:pPr>
        <w:spacing w:line="360" w:lineRule="auto"/>
        <w:jc w:val="both"/>
        <w:rPr>
          <w:rFonts w:eastAsia="Times New Roman"/>
          <w:b/>
          <w:bCs/>
          <w:i/>
          <w:iCs/>
          <w:sz w:val="24"/>
          <w:szCs w:val="24"/>
          <w:lang w:val="en-GB"/>
        </w:rPr>
      </w:pPr>
      <w:r w:rsidRPr="00005374">
        <w:rPr>
          <w:rFonts w:eastAsia="Times New Roman"/>
          <w:b/>
          <w:bCs/>
          <w:i/>
          <w:iCs/>
          <w:sz w:val="24"/>
          <w:szCs w:val="24"/>
          <w:lang w:val="en-GB"/>
        </w:rPr>
        <w:t>Threat of Substitutes: MODERATE.</w:t>
      </w:r>
    </w:p>
    <w:p w:rsidR="00E10FF0" w:rsidRPr="00005374" w:rsidRDefault="00E10FF0" w:rsidP="00E10FF0">
      <w:pPr>
        <w:numPr>
          <w:ilvl w:val="0"/>
          <w:numId w:val="1"/>
        </w:numPr>
        <w:spacing w:line="360" w:lineRule="auto"/>
        <w:jc w:val="both"/>
        <w:rPr>
          <w:rFonts w:eastAsia="Times New Roman"/>
          <w:sz w:val="24"/>
          <w:szCs w:val="24"/>
          <w:lang w:val="en-GB"/>
        </w:rPr>
      </w:pPr>
      <w:r w:rsidRPr="00005374">
        <w:rPr>
          <w:rFonts w:eastAsia="Times New Roman"/>
          <w:sz w:val="24"/>
          <w:szCs w:val="24"/>
          <w:lang w:val="en-GB"/>
        </w:rPr>
        <w:t xml:space="preserve">With alternative applications but competing on consumer audio budget, the wireless over-ear market is a growing opportunity and a threat to competitors </w:t>
      </w:r>
      <w:r w:rsidRPr="00005374">
        <w:rPr>
          <w:rFonts w:eastAsia="Times New Roman"/>
          <w:sz w:val="24"/>
          <w:szCs w:val="24"/>
          <w:lang w:val="en-GB"/>
        </w:rPr>
        <w:lastRenderedPageBreak/>
        <w:t>(buildd, 2018). I think that the enhancement of the quality of speakers of smartphones and laptops minimises the need for casual listening accessories.</w:t>
      </w:r>
    </w:p>
    <w:p w:rsidR="00E10FF0" w:rsidRPr="00005374" w:rsidRDefault="00E10FF0" w:rsidP="00E10FF0">
      <w:pPr>
        <w:spacing w:line="360" w:lineRule="auto"/>
        <w:jc w:val="both"/>
        <w:rPr>
          <w:rFonts w:eastAsia="Times New Roman"/>
          <w:b/>
          <w:bCs/>
          <w:i/>
          <w:iCs/>
          <w:sz w:val="24"/>
          <w:szCs w:val="24"/>
          <w:lang w:val="en-GB"/>
        </w:rPr>
      </w:pPr>
      <w:r w:rsidRPr="00005374">
        <w:rPr>
          <w:rFonts w:eastAsia="Times New Roman"/>
          <w:b/>
          <w:bCs/>
          <w:i/>
          <w:iCs/>
          <w:sz w:val="24"/>
          <w:szCs w:val="24"/>
          <w:lang w:val="en-GB"/>
        </w:rPr>
        <w:t>Competitive Rivalry: VERY HIGH.</w:t>
      </w:r>
    </w:p>
    <w:p w:rsidR="00E10FF0" w:rsidRPr="00005374" w:rsidRDefault="00E10FF0" w:rsidP="00E10FF0">
      <w:pPr>
        <w:numPr>
          <w:ilvl w:val="0"/>
          <w:numId w:val="9"/>
        </w:numPr>
        <w:spacing w:line="360" w:lineRule="auto"/>
        <w:jc w:val="both"/>
        <w:rPr>
          <w:rFonts w:eastAsia="Times New Roman"/>
          <w:sz w:val="24"/>
          <w:szCs w:val="24"/>
          <w:lang w:val="en-GB"/>
        </w:rPr>
      </w:pPr>
      <w:r w:rsidRPr="00005374">
        <w:rPr>
          <w:rFonts w:eastAsia="Times New Roman"/>
          <w:sz w:val="24"/>
          <w:szCs w:val="24"/>
          <w:lang w:val="en-GB"/>
        </w:rPr>
        <w:t>Economictimes, (2023) revealed that there are 20 plus brands operating in all the segments and market also impacting with a 7.3% CAGR decelerating compared to 12 plus in the past.</w:t>
      </w:r>
    </w:p>
    <w:p w:rsidR="00E10FF0" w:rsidRPr="00005374" w:rsidRDefault="00E10FF0" w:rsidP="00E10FF0">
      <w:pPr>
        <w:numPr>
          <w:ilvl w:val="0"/>
          <w:numId w:val="9"/>
        </w:numPr>
        <w:spacing w:line="360" w:lineRule="auto"/>
        <w:jc w:val="both"/>
        <w:rPr>
          <w:rFonts w:eastAsia="Times New Roman"/>
          <w:sz w:val="24"/>
          <w:szCs w:val="24"/>
          <w:lang w:val="en-GB"/>
        </w:rPr>
      </w:pPr>
      <w:r w:rsidRPr="00005374">
        <w:rPr>
          <w:rFonts w:eastAsia="Times New Roman"/>
          <w:sz w:val="24"/>
          <w:szCs w:val="24"/>
          <w:lang w:val="en-GB"/>
        </w:rPr>
        <w:t>I have understood that marketing, inventory and distribution investments pressurise on the volume. This magnitude requires clear difference, effective operations and continued investment in marketing to realise sustainable market</w:t>
      </w:r>
    </w:p>
    <w:p w:rsidR="00E10FF0" w:rsidRPr="00005374" w:rsidRDefault="00E10FF0" w:rsidP="00E10FF0">
      <w:pPr>
        <w:numPr>
          <w:ilvl w:val="0"/>
          <w:numId w:val="9"/>
        </w:numPr>
        <w:spacing w:line="360" w:lineRule="auto"/>
        <w:jc w:val="both"/>
        <w:rPr>
          <w:rFonts w:eastAsia="Times New Roman"/>
          <w:sz w:val="24"/>
          <w:szCs w:val="24"/>
          <w:lang w:val="en-GB"/>
        </w:rPr>
      </w:pPr>
      <w:r w:rsidRPr="00005374">
        <w:rPr>
          <w:rFonts w:eastAsia="Times New Roman"/>
          <w:sz w:val="24"/>
          <w:szCs w:val="24"/>
          <w:lang w:val="en-GB"/>
        </w:rPr>
        <w:t>In order to enter into a foreign market, boAt needs to consider challenges such as the dominance of Apple, Bose, Sony and Samsung, and the high buyer bargaining power due to easy price comparison.</w:t>
      </w:r>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In this regard, it is mentioned that the framework is effective in clarifying the degree of price sensitivity, innovation pressure and quality expectations within the Australian audio market. Therefore, as per my opinion, these two frameworks are necessary to provide a strong foundation for strategic planning, risk identification and opportunity recognition in a competitive, technologically advanced market such as Australia.</w:t>
      </w:r>
    </w:p>
    <w:p w:rsidR="007E5008" w:rsidRDefault="007E5008" w:rsidP="00E10FF0">
      <w:pPr>
        <w:spacing w:line="360" w:lineRule="auto"/>
        <w:jc w:val="both"/>
        <w:rPr>
          <w:rFonts w:eastAsia="Times New Roman"/>
          <w:sz w:val="24"/>
          <w:szCs w:val="24"/>
          <w:lang w:val="en-GB"/>
        </w:rPr>
      </w:pPr>
    </w:p>
    <w:p w:rsidR="007E5008" w:rsidRPr="00005374" w:rsidRDefault="007E5008" w:rsidP="00E10FF0">
      <w:pPr>
        <w:spacing w:line="360" w:lineRule="auto"/>
        <w:jc w:val="both"/>
        <w:rPr>
          <w:rFonts w:eastAsia="Times New Roman"/>
          <w:sz w:val="24"/>
          <w:szCs w:val="24"/>
          <w:lang w:val="en-GB"/>
        </w:rPr>
      </w:pPr>
    </w:p>
    <w:p w:rsidR="00E10FF0" w:rsidRPr="00005374" w:rsidRDefault="00E10FF0" w:rsidP="00E10FF0">
      <w:pPr>
        <w:pStyle w:val="Heading2"/>
        <w:rPr>
          <w:rFonts w:cs="Arial"/>
          <w:lang w:val="en-GB"/>
        </w:rPr>
      </w:pPr>
      <w:bookmarkStart w:id="9" w:name="_Toc216128163"/>
      <w:r w:rsidRPr="00005374">
        <w:rPr>
          <w:rFonts w:cs="Arial"/>
          <w:lang w:val="en-GB"/>
        </w:rPr>
        <w:t>2.3 Performance analysis</w:t>
      </w:r>
      <w:bookmarkEnd w:id="9"/>
      <w:r w:rsidRPr="00005374">
        <w:rPr>
          <w:rFonts w:cs="Arial"/>
          <w:lang w:val="en-GB"/>
        </w:rPr>
        <w:t xml:space="preserve"> </w:t>
      </w:r>
    </w:p>
    <w:tbl>
      <w:tblPr>
        <w:tblW w:w="10770" w:type="dxa"/>
        <w:tblInd w:w="-7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35"/>
        <w:gridCol w:w="4935"/>
      </w:tblGrid>
      <w:tr w:rsidR="00E10FF0" w:rsidRPr="00005374" w:rsidTr="00106699">
        <w:tc>
          <w:tcPr>
            <w:tcW w:w="583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sz w:val="24"/>
                <w:szCs w:val="24"/>
                <w:lang w:val="en-GB"/>
              </w:rPr>
            </w:pPr>
            <w:r w:rsidRPr="00005374">
              <w:rPr>
                <w:rFonts w:eastAsia="Times New Roman"/>
                <w:b/>
                <w:bCs/>
                <w:sz w:val="24"/>
                <w:szCs w:val="24"/>
                <w:lang w:val="en-GB"/>
              </w:rPr>
              <w:t xml:space="preserve">Strengths </w:t>
            </w:r>
          </w:p>
          <w:p w:rsidR="00E10FF0" w:rsidRPr="00005374" w:rsidRDefault="00E10FF0" w:rsidP="00106699">
            <w:pPr>
              <w:widowControl w:val="0"/>
              <w:numPr>
                <w:ilvl w:val="0"/>
                <w:numId w:val="7"/>
              </w:numPr>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Market leadership: boAt achieves 26% market share and 34% volume share in India’s personal audio market (Business-Standard, 2025).</w:t>
            </w:r>
          </w:p>
          <w:p w:rsidR="00E10FF0" w:rsidRPr="00005374" w:rsidRDefault="00E10FF0" w:rsidP="00106699">
            <w:pPr>
              <w:widowControl w:val="0"/>
              <w:numPr>
                <w:ilvl w:val="0"/>
                <w:numId w:val="7"/>
              </w:numPr>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Revenue growth: boAt is in hypergrowth phase that increased by 44% in 2025 (Manchanada, 2025).</w:t>
            </w:r>
          </w:p>
        </w:tc>
        <w:tc>
          <w:tcPr>
            <w:tcW w:w="493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sz w:val="24"/>
                <w:szCs w:val="24"/>
                <w:lang w:val="en-GB"/>
              </w:rPr>
            </w:pPr>
            <w:r w:rsidRPr="00005374">
              <w:rPr>
                <w:rFonts w:eastAsia="Times New Roman"/>
                <w:b/>
                <w:bCs/>
                <w:sz w:val="24"/>
                <w:szCs w:val="24"/>
                <w:lang w:val="en-GB"/>
              </w:rPr>
              <w:t>Weaknesses</w:t>
            </w:r>
          </w:p>
          <w:p w:rsidR="00E10FF0" w:rsidRPr="00005374" w:rsidRDefault="00E10FF0" w:rsidP="00106699">
            <w:pPr>
              <w:widowControl w:val="0"/>
              <w:numPr>
                <w:ilvl w:val="0"/>
                <w:numId w:val="4"/>
              </w:numPr>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Net income loss: boAt reported net income loss of ₹79.7 crore in FY24 (Jaipuria, 2025).</w:t>
            </w:r>
          </w:p>
          <w:p w:rsidR="00E10FF0" w:rsidRPr="00005374" w:rsidRDefault="00E10FF0" w:rsidP="00106699">
            <w:pPr>
              <w:widowControl w:val="0"/>
              <w:numPr>
                <w:ilvl w:val="0"/>
                <w:numId w:val="4"/>
              </w:numPr>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Margin pressure: High discounting in wearables lowered margins regardless of volume growth.</w:t>
            </w:r>
          </w:p>
        </w:tc>
      </w:tr>
      <w:tr w:rsidR="00E10FF0" w:rsidRPr="00005374" w:rsidTr="00106699">
        <w:tc>
          <w:tcPr>
            <w:tcW w:w="583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sz w:val="24"/>
                <w:szCs w:val="24"/>
                <w:lang w:val="en-GB"/>
              </w:rPr>
            </w:pPr>
            <w:r w:rsidRPr="00005374">
              <w:rPr>
                <w:rFonts w:eastAsia="Times New Roman"/>
                <w:b/>
                <w:bCs/>
                <w:sz w:val="24"/>
                <w:szCs w:val="24"/>
                <w:lang w:val="en-GB"/>
              </w:rPr>
              <w:t>Opportunities</w:t>
            </w:r>
          </w:p>
          <w:p w:rsidR="00E10FF0" w:rsidRPr="00005374" w:rsidRDefault="00E10FF0" w:rsidP="00106699">
            <w:pPr>
              <w:widowControl w:val="0"/>
              <w:numPr>
                <w:ilvl w:val="0"/>
                <w:numId w:val="3"/>
              </w:numPr>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lastRenderedPageBreak/>
              <w:t>Smart Wearable market in India is projected to USD 2.94 billion in 2025 (Mordorintelligence, 2025) that reflects opportunity for boAt increase share.</w:t>
            </w:r>
          </w:p>
          <w:p w:rsidR="00E10FF0" w:rsidRPr="00005374" w:rsidRDefault="00E10FF0" w:rsidP="00106699">
            <w:pPr>
              <w:widowControl w:val="0"/>
              <w:numPr>
                <w:ilvl w:val="0"/>
                <w:numId w:val="3"/>
              </w:numPr>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Expansion of “Make in India” initiative: Cross-border export has risen as overall domestic output exceeds US$ 750 Billion (Rtsprofessionalstudy, 2023).</w:t>
            </w:r>
          </w:p>
        </w:tc>
        <w:tc>
          <w:tcPr>
            <w:tcW w:w="493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sz w:val="24"/>
                <w:szCs w:val="24"/>
                <w:lang w:val="en-GB"/>
              </w:rPr>
            </w:pPr>
            <w:r w:rsidRPr="00005374">
              <w:rPr>
                <w:rFonts w:eastAsia="Times New Roman"/>
                <w:b/>
                <w:bCs/>
                <w:sz w:val="24"/>
                <w:szCs w:val="24"/>
                <w:lang w:val="en-GB"/>
              </w:rPr>
              <w:lastRenderedPageBreak/>
              <w:t>Threats</w:t>
            </w:r>
          </w:p>
          <w:p w:rsidR="00E10FF0" w:rsidRPr="00005374" w:rsidRDefault="00E10FF0" w:rsidP="00106699">
            <w:pPr>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lastRenderedPageBreak/>
              <w:t xml:space="preserve">Intense Rivalry: Competitive brands such as Noise &amp; Fire-Boltt have narrowed market share windows. </w:t>
            </w:r>
          </w:p>
          <w:p w:rsidR="00E10FF0" w:rsidRPr="00005374" w:rsidRDefault="00E10FF0" w:rsidP="00106699">
            <w:pPr>
              <w:widowControl w:val="0"/>
              <w:numPr>
                <w:ilvl w:val="0"/>
                <w:numId w:val="10"/>
              </w:numPr>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Supply-Chain Risks: High component volatility and critical import dependency affected cost structure.</w:t>
            </w:r>
          </w:p>
        </w:tc>
      </w:tr>
    </w:tbl>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lastRenderedPageBreak/>
        <w:t>Table 1: SWOT Analysis</w:t>
      </w:r>
    </w:p>
    <w:p w:rsidR="00E10FF0" w:rsidRPr="00005374"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Self-created)</w:t>
      </w:r>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Based on SWOT analysis, boAt creates a strong position with leadership, revenue growth while it also faces weaknesses due to net income loss and high pressure to meet profits margin. </w:t>
      </w:r>
    </w:p>
    <w:p w:rsidR="007E5008" w:rsidRPr="00005374" w:rsidRDefault="007E5008" w:rsidP="00E10FF0">
      <w:pPr>
        <w:spacing w:line="360" w:lineRule="auto"/>
        <w:jc w:val="both"/>
        <w:rPr>
          <w:rFonts w:eastAsia="Times New Roman"/>
          <w:sz w:val="24"/>
          <w:szCs w:val="24"/>
          <w:lang w:val="en-GB"/>
        </w:rPr>
      </w:pPr>
    </w:p>
    <w:p w:rsidR="00E10FF0" w:rsidRPr="00005374" w:rsidRDefault="00E10FF0" w:rsidP="00E10FF0">
      <w:pPr>
        <w:pStyle w:val="Heading2"/>
        <w:rPr>
          <w:rFonts w:cs="Arial"/>
          <w:lang w:val="en-GB"/>
        </w:rPr>
      </w:pPr>
      <w:bookmarkStart w:id="10" w:name="_Toc216128164"/>
      <w:r w:rsidRPr="00005374">
        <w:rPr>
          <w:rFonts w:cs="Arial"/>
          <w:lang w:val="en-GB"/>
        </w:rPr>
        <w:t>Insights and Strategic Implications</w:t>
      </w:r>
      <w:bookmarkEnd w:id="10"/>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Based on PESTLE, Five-force and SWOT analysis, findings directly indicate that boAt holds a strong competitive position which is strategically driven with rapid revenue growth with 26% market share (Business-Standard, 2025). On the other hand, the strict compliance environment in Australia, high costs of operation and intensive rivalry critically increase strategic risks. In case of reaching success, boAt should focus on leveraging strong GDP per capita in Australia along with advanced 5G infrastructure and sustainability benefits that helps in positioning brands as affordable as high-quality electronic brands. Moreover, strengthening capabilities for R&amp;D, development of compliant product design and development of local distribution partnership allows to unlock long-term growth. </w:t>
      </w:r>
    </w:p>
    <w:p w:rsidR="007E5008" w:rsidRDefault="007E5008" w:rsidP="00E10FF0">
      <w:pPr>
        <w:spacing w:line="360" w:lineRule="auto"/>
        <w:jc w:val="both"/>
        <w:rPr>
          <w:rFonts w:eastAsia="Times New Roman"/>
          <w:sz w:val="24"/>
          <w:szCs w:val="24"/>
          <w:lang w:val="en-GB"/>
        </w:rPr>
      </w:pPr>
    </w:p>
    <w:p w:rsidR="007E5008" w:rsidRPr="00005374" w:rsidRDefault="007E5008" w:rsidP="00E10FF0">
      <w:pPr>
        <w:spacing w:line="360" w:lineRule="auto"/>
        <w:jc w:val="both"/>
        <w:rPr>
          <w:rFonts w:eastAsia="Times New Roman"/>
          <w:sz w:val="24"/>
          <w:szCs w:val="24"/>
          <w:lang w:val="en-GB"/>
        </w:rPr>
      </w:pPr>
    </w:p>
    <w:p w:rsidR="00E10FF0" w:rsidRPr="00005374" w:rsidRDefault="00E10FF0" w:rsidP="00E10FF0">
      <w:pPr>
        <w:pStyle w:val="Heading1"/>
        <w:rPr>
          <w:rFonts w:cs="Arial"/>
          <w:lang w:val="en-GB"/>
        </w:rPr>
      </w:pPr>
      <w:bookmarkStart w:id="11" w:name="_Toc216128165"/>
      <w:r w:rsidRPr="00005374">
        <w:rPr>
          <w:rFonts w:cs="Arial"/>
          <w:lang w:val="en-GB"/>
        </w:rPr>
        <w:lastRenderedPageBreak/>
        <w:t>Section 3: Strategy Development and Formulation</w:t>
      </w:r>
      <w:bookmarkEnd w:id="11"/>
    </w:p>
    <w:p w:rsidR="00E10FF0" w:rsidRDefault="00E10FF0" w:rsidP="00E10FF0">
      <w:pPr>
        <w:spacing w:line="360" w:lineRule="auto"/>
        <w:jc w:val="both"/>
        <w:rPr>
          <w:sz w:val="24"/>
          <w:lang w:val="en-GB"/>
        </w:rPr>
      </w:pPr>
      <w:bookmarkStart w:id="12" w:name="_heading=h.64xavk7oajlr" w:colFirst="0" w:colLast="0"/>
      <w:bookmarkEnd w:id="12"/>
      <w:r w:rsidRPr="00005374">
        <w:rPr>
          <w:sz w:val="24"/>
          <w:lang w:val="en-GB"/>
        </w:rPr>
        <w:t>Strategy development for boAt’s expansion into Australia requires analysis of environmental conditions, evaluation of feasible entry modes and selection of the best approach aligned with organisational goals of cost efficiency, brand visibility and long-term scalability. I can opine that it is specifically concerned with the integration of market insights, consumer behaviour trends, determination of competitive dynamics and operational capabilities to determine a robust internationalisation path.</w:t>
      </w:r>
    </w:p>
    <w:p w:rsidR="007E5008" w:rsidRPr="00005374" w:rsidRDefault="007E5008" w:rsidP="00E10FF0">
      <w:pPr>
        <w:spacing w:line="360" w:lineRule="auto"/>
        <w:jc w:val="both"/>
        <w:rPr>
          <w:b/>
          <w:bCs/>
          <w:sz w:val="24"/>
          <w:lang w:val="en-GB"/>
        </w:rPr>
      </w:pPr>
    </w:p>
    <w:p w:rsidR="00E10FF0" w:rsidRPr="00005374" w:rsidRDefault="00E10FF0" w:rsidP="00E10FF0">
      <w:pPr>
        <w:pStyle w:val="Heading2"/>
        <w:rPr>
          <w:rFonts w:cs="Arial"/>
          <w:lang w:val="en-GB"/>
        </w:rPr>
      </w:pPr>
      <w:bookmarkStart w:id="13" w:name="_Toc216128166"/>
      <w:r w:rsidRPr="00005374">
        <w:rPr>
          <w:rFonts w:cs="Arial"/>
          <w:lang w:val="en-GB"/>
        </w:rPr>
        <w:t>3.1 Strategic Direction and Rationale</w:t>
      </w:r>
      <w:bookmarkEnd w:id="13"/>
      <w:r w:rsidRPr="00005374">
        <w:rPr>
          <w:rFonts w:cs="Arial"/>
          <w:lang w:val="en-GB"/>
        </w:rPr>
        <w:t xml:space="preserve"> </w:t>
      </w:r>
    </w:p>
    <w:p w:rsidR="007E5008" w:rsidRDefault="00E10FF0" w:rsidP="00E10FF0">
      <w:pPr>
        <w:spacing w:line="360" w:lineRule="auto"/>
        <w:jc w:val="both"/>
        <w:rPr>
          <w:rFonts w:eastAsia="Times New Roman"/>
          <w:sz w:val="24"/>
          <w:szCs w:val="24"/>
          <w:lang w:val="en-GB"/>
        </w:rPr>
      </w:pPr>
      <w:r w:rsidRPr="00005374">
        <w:rPr>
          <w:rFonts w:eastAsia="Times New Roman"/>
          <w:sz w:val="24"/>
          <w:szCs w:val="24"/>
          <w:lang w:val="en-GB"/>
        </w:rPr>
        <w:t>boAt’s strategic direction centralises market expansion, product diversification, value with premiumisation toward strengthening competitiveness in the Australian market. In this aspect, current high GDP per capita, significant levels of digital devices adoption, development of robust 5G networks that helped in building a favourable market environment for boAt. On the contrary, strict regulatory practices, high operational costs and strong customer loyalty to Apple and Bose raises the needs of differentiation from boAt to capitalise its market expansion in Australia (Anbacadvisors, 2025). Moreover, boAt can position itself in the Australian market as an affordable and tech-forward brand in regard to providing large-scale manufacturing benefits aligning its innovation capabilities.</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 </w:t>
      </w:r>
    </w:p>
    <w:p w:rsidR="00E10FF0" w:rsidRPr="00005374" w:rsidRDefault="00E10FF0" w:rsidP="00E10FF0">
      <w:pPr>
        <w:pStyle w:val="Heading2"/>
        <w:rPr>
          <w:rFonts w:cs="Arial"/>
          <w:lang w:val="en-GB"/>
        </w:rPr>
      </w:pPr>
      <w:bookmarkStart w:id="14" w:name="_Toc216128167"/>
      <w:r w:rsidRPr="00005374">
        <w:rPr>
          <w:rFonts w:cs="Arial"/>
          <w:lang w:val="en-GB"/>
        </w:rPr>
        <w:t>3.2 Strategic Model application</w:t>
      </w:r>
      <w:bookmarkEnd w:id="14"/>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 xml:space="preserve">Ansoff Matrix </w:t>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noProof/>
          <w:sz w:val="24"/>
          <w:szCs w:val="24"/>
          <w:lang w:val="en-IN" w:eastAsia="en-IN"/>
        </w:rPr>
        <w:drawing>
          <wp:inline distT="114300" distB="114300" distL="114300" distR="114300" wp14:anchorId="5E9EC650" wp14:editId="0C2ACAAD">
            <wp:extent cx="4800600" cy="2243138"/>
            <wp:effectExtent l="0" t="0" r="0" b="0"/>
            <wp:docPr id="2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800600" cy="2243138"/>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lastRenderedPageBreak/>
        <w:t xml:space="preserve">Figure 8: Ansoff Matrix </w:t>
      </w:r>
    </w:p>
    <w:p w:rsidR="00E10FF0"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The Strategy Institute, 2025)</w:t>
      </w:r>
    </w:p>
    <w:p w:rsidR="007E5008" w:rsidRPr="00005374" w:rsidRDefault="007E5008" w:rsidP="00E10FF0">
      <w:pPr>
        <w:spacing w:line="360" w:lineRule="auto"/>
        <w:jc w:val="center"/>
        <w:rPr>
          <w:rFonts w:eastAsia="Times New Roman"/>
          <w:sz w:val="24"/>
          <w:szCs w:val="24"/>
          <w:lang w:val="en-GB"/>
        </w:rPr>
      </w:pPr>
    </w:p>
    <w:p w:rsidR="00E10FF0"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1. Market Penetration:</w:t>
      </w:r>
      <w:r w:rsidRPr="00005374">
        <w:rPr>
          <w:rFonts w:eastAsia="Times New Roman"/>
          <w:sz w:val="24"/>
          <w:szCs w:val="24"/>
          <w:lang w:val="en-GB"/>
        </w:rPr>
        <w:t xml:space="preserve"> boAt can strengthen its international expansion through targeting value-driven consumers who prefer affordable along with high-quality audio products. Promotional pricing and retail partnerships with JB Hi-Fi or Harvey Norman can help boAt to accelerate its early adoption (</w:t>
      </w:r>
      <w:r w:rsidRPr="00005374">
        <w:rPr>
          <w:rFonts w:eastAsia="Times New Roman"/>
          <w:sz w:val="24"/>
          <w:szCs w:val="24"/>
          <w:highlight w:val="white"/>
          <w:lang w:val="en-GB"/>
        </w:rPr>
        <w:t>Alam and Grose, 2022</w:t>
      </w:r>
      <w:r w:rsidRPr="00005374">
        <w:rPr>
          <w:rFonts w:eastAsia="Times New Roman"/>
          <w:sz w:val="24"/>
          <w:szCs w:val="24"/>
          <w:lang w:val="en-GB"/>
        </w:rPr>
        <w:t xml:space="preserve">). Additionally, digital marketing adoption with 5G-enabled experiences can also improve awareness. </w:t>
      </w:r>
    </w:p>
    <w:p w:rsidR="007E5008" w:rsidRPr="00005374" w:rsidRDefault="007E5008" w:rsidP="00E10FF0">
      <w:pPr>
        <w:spacing w:line="360" w:lineRule="auto"/>
        <w:jc w:val="both"/>
        <w:rPr>
          <w:rFonts w:eastAsia="Times New Roman"/>
          <w:sz w:val="24"/>
          <w:szCs w:val="24"/>
          <w:lang w:val="en-GB"/>
        </w:rPr>
      </w:pP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 xml:space="preserve">2. Market Development: </w:t>
      </w:r>
      <w:r w:rsidRPr="00005374">
        <w:rPr>
          <w:rFonts w:eastAsia="Times New Roman"/>
          <w:sz w:val="24"/>
          <w:szCs w:val="24"/>
          <w:lang w:val="en-GB"/>
        </w:rPr>
        <w:t xml:space="preserve">Entry in the Australian market strongly represents a geographic expansion which aligns with boAt’s target to become a global lifestyle-tech brand. With adequate consumer electronics spending and smartphone adoption rate at 87% in Australia (Statista, 2025), boAt can deal with introducing its most successful product lines such as TWS earbuds, over-ear headphones along with smartwatches to tap into existing demand. </w:t>
      </w:r>
    </w:p>
    <w:p w:rsidR="00E10FF0" w:rsidRPr="00005374" w:rsidRDefault="00E10FF0" w:rsidP="00E10FF0">
      <w:pPr>
        <w:spacing w:line="360" w:lineRule="auto"/>
        <w:jc w:val="center"/>
        <w:rPr>
          <w:rFonts w:eastAsia="Times New Roman"/>
          <w:sz w:val="24"/>
          <w:szCs w:val="24"/>
          <w:lang w:val="en-GB"/>
        </w:rPr>
      </w:pPr>
      <w:r w:rsidRPr="00005374">
        <w:rPr>
          <w:rFonts w:eastAsia="Times New Roman"/>
          <w:noProof/>
          <w:sz w:val="24"/>
          <w:szCs w:val="24"/>
          <w:lang w:val="en-IN" w:eastAsia="en-IN"/>
        </w:rPr>
        <w:drawing>
          <wp:inline distT="114300" distB="114300" distL="114300" distR="114300" wp14:anchorId="60ADF9A1" wp14:editId="0D4E8AD4">
            <wp:extent cx="5024438" cy="2867025"/>
            <wp:effectExtent l="0" t="0" r="0"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024438" cy="2867025"/>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Figure 9: Smartphone adoption rate in Australia</w:t>
      </w:r>
    </w:p>
    <w:p w:rsidR="00E10FF0"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Statista, 2025)</w:t>
      </w:r>
    </w:p>
    <w:p w:rsidR="007E5008" w:rsidRPr="00005374" w:rsidRDefault="007E5008" w:rsidP="00E10FF0">
      <w:pPr>
        <w:spacing w:line="360" w:lineRule="auto"/>
        <w:jc w:val="center"/>
        <w:rPr>
          <w:rFonts w:eastAsia="Times New Roman"/>
          <w:sz w:val="24"/>
          <w:szCs w:val="24"/>
          <w:lang w:val="en-GB"/>
        </w:rPr>
      </w:pPr>
    </w:p>
    <w:p w:rsidR="00E10FF0"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3. Product Development:</w:t>
      </w:r>
      <w:r w:rsidRPr="00005374">
        <w:rPr>
          <w:rFonts w:eastAsia="Times New Roman"/>
          <w:sz w:val="24"/>
          <w:szCs w:val="24"/>
          <w:lang w:val="en-GB"/>
        </w:rPr>
        <w:t xml:space="preserve"> Australia’s strict EESS electrical safety compliance, boAt must focus on introducing upgraded “Australia-specific” product varieties with increasing levels </w:t>
      </w:r>
      <w:r w:rsidRPr="00005374">
        <w:rPr>
          <w:rFonts w:eastAsia="Times New Roman"/>
          <w:sz w:val="24"/>
          <w:szCs w:val="24"/>
          <w:lang w:val="en-GB"/>
        </w:rPr>
        <w:lastRenderedPageBreak/>
        <w:t xml:space="preserve">of battery safety, sustainable packaging and improvement in durability (EESS, 2025). This perspective supports premium positioning while meeting regulatory expectations. </w:t>
      </w:r>
    </w:p>
    <w:p w:rsidR="007E5008" w:rsidRPr="00005374" w:rsidRDefault="007E5008" w:rsidP="00E10FF0">
      <w:pPr>
        <w:spacing w:line="360" w:lineRule="auto"/>
        <w:jc w:val="both"/>
        <w:rPr>
          <w:rFonts w:eastAsia="Times New Roman"/>
          <w:sz w:val="24"/>
          <w:szCs w:val="24"/>
          <w:lang w:val="en-GB"/>
        </w:rPr>
      </w:pP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 xml:space="preserve">4. Diversification: </w:t>
      </w:r>
      <w:r w:rsidRPr="00005374">
        <w:rPr>
          <w:rFonts w:eastAsia="Times New Roman"/>
          <w:sz w:val="24"/>
          <w:szCs w:val="24"/>
          <w:lang w:val="en-GB"/>
        </w:rPr>
        <w:t>boAt can expand into home audio, gaming accessories along with fitness wearables as key part of its lifestyle brand evolution (</w:t>
      </w:r>
      <w:r w:rsidRPr="00005374">
        <w:rPr>
          <w:rFonts w:eastAsia="Times New Roman"/>
          <w:sz w:val="24"/>
          <w:szCs w:val="24"/>
          <w:highlight w:val="white"/>
          <w:lang w:val="en-GB"/>
        </w:rPr>
        <w:t>Egeli &amp; Kurgun, 2021</w:t>
      </w:r>
      <w:r w:rsidRPr="00005374">
        <w:rPr>
          <w:rFonts w:eastAsia="Times New Roman"/>
          <w:sz w:val="24"/>
          <w:szCs w:val="24"/>
          <w:lang w:val="en-GB"/>
        </w:rPr>
        <w:t>). This approach can help in reducing over-reliance on the Indian market and increases resilience against intense competitive pressure.</w:t>
      </w:r>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Moreover, Ansoff strategy would support long-term growth of boAt through balancing low-risk market penetration along with high-opportunity diversification that tailor to Australia’s advanced consumer environment.</w:t>
      </w:r>
    </w:p>
    <w:p w:rsidR="007E5008" w:rsidRDefault="007E5008" w:rsidP="00E10FF0">
      <w:pPr>
        <w:spacing w:line="360" w:lineRule="auto"/>
        <w:jc w:val="both"/>
        <w:rPr>
          <w:rFonts w:eastAsia="Times New Roman"/>
          <w:sz w:val="24"/>
          <w:szCs w:val="24"/>
          <w:lang w:val="en-GB"/>
        </w:rPr>
      </w:pPr>
    </w:p>
    <w:p w:rsidR="007E5008" w:rsidRPr="00005374" w:rsidRDefault="007E5008" w:rsidP="00E10FF0">
      <w:pPr>
        <w:spacing w:line="360" w:lineRule="auto"/>
        <w:jc w:val="both"/>
        <w:rPr>
          <w:rFonts w:eastAsia="Times New Roman"/>
          <w:sz w:val="24"/>
          <w:szCs w:val="24"/>
          <w:lang w:val="en-GB"/>
        </w:rPr>
      </w:pPr>
    </w:p>
    <w:p w:rsidR="00E10FF0" w:rsidRPr="00005374" w:rsidRDefault="00E10FF0" w:rsidP="00E10FF0">
      <w:pPr>
        <w:pStyle w:val="Heading2"/>
        <w:rPr>
          <w:rFonts w:cs="Arial"/>
          <w:lang w:val="en-GB"/>
        </w:rPr>
      </w:pPr>
      <w:bookmarkStart w:id="15" w:name="_Toc216128168"/>
      <w:r w:rsidRPr="00005374">
        <w:rPr>
          <w:rFonts w:cs="Arial"/>
          <w:lang w:val="en-GB"/>
        </w:rPr>
        <w:t>3.3 Market Entry Mode</w:t>
      </w:r>
      <w:bookmarkEnd w:id="15"/>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Market entry modes such as exporting, licensing, franchising, joint-venture, strategic alliances and wholly-owned subsidiaries are effective to use as drivers for penetrating the international market. In this aspect, exporting presents low risk and costs, but it leads to challenges by leading control over distribution and branding (Keskin et al. 2021). I think that in this aspect, direct entry of boAt in Australia through online channels, leveraging the platforms eBay can allow for a reduction in high upfront costs and that higher degree of market penetration. On the other hand, a joint venture provides local insights, but its requirement of high investment affects operational control. </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However, establishing a business in a new market with joint ventures means giving up some controls, distributing the power of decision-making and resource utilisation (Hargrave, 2025). The establishment of a wholly-owned subsidiary ensures full autonomy, but it involves significant financial commitments along with regulatory concerns. The core advantages of a wholly-owned subsidiary are strong protection of intellectual property, which creates synergy for the parent company to deal with tax benefits. On the other hand, I have found that a strategic alliance with major retailers such as Harvey Norman, JB Hi-Fi and The Good Guys in Australia will help boAt in building brand trust, encouraging the value of product trials and driving visibility across mainstream consumers. </w:t>
      </w:r>
    </w:p>
    <w:p w:rsidR="00E10FF0" w:rsidRPr="00005374" w:rsidRDefault="00E10FF0" w:rsidP="00E10FF0">
      <w:pPr>
        <w:spacing w:line="360" w:lineRule="auto"/>
        <w:jc w:val="center"/>
        <w:rPr>
          <w:rFonts w:eastAsia="Times New Roman"/>
          <w:sz w:val="24"/>
          <w:szCs w:val="24"/>
          <w:lang w:val="en-GB"/>
        </w:rPr>
      </w:pPr>
      <w:r w:rsidRPr="00005374">
        <w:rPr>
          <w:rFonts w:eastAsia="Times New Roman"/>
          <w:noProof/>
          <w:sz w:val="24"/>
          <w:szCs w:val="24"/>
          <w:lang w:val="en-IN" w:eastAsia="en-IN"/>
        </w:rPr>
        <w:lastRenderedPageBreak/>
        <w:drawing>
          <wp:inline distT="114300" distB="114300" distL="114300" distR="114300" wp14:anchorId="1930ABBA" wp14:editId="7B38C7B2">
            <wp:extent cx="5402580" cy="2705100"/>
            <wp:effectExtent l="0" t="0" r="0" b="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402992" cy="2705306"/>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Figure 10: Market Entry Modes</w:t>
      </w:r>
    </w:p>
    <w:p w:rsidR="00E10FF0" w:rsidRPr="00005374"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Saxena, 2022)</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Based on all these, boAt should adopt a </w:t>
      </w:r>
      <w:r w:rsidRPr="00005374">
        <w:rPr>
          <w:rFonts w:eastAsia="Times New Roman"/>
          <w:b/>
          <w:bCs/>
          <w:sz w:val="24"/>
          <w:szCs w:val="24"/>
          <w:lang w:val="en-GB"/>
        </w:rPr>
        <w:t>hybrid strategy</w:t>
      </w:r>
      <w:r w:rsidRPr="00005374">
        <w:rPr>
          <w:rFonts w:eastAsia="Times New Roman"/>
          <w:sz w:val="24"/>
          <w:szCs w:val="24"/>
          <w:lang w:val="en-GB"/>
        </w:rPr>
        <w:t xml:space="preserve"> through the integration of </w:t>
      </w:r>
      <w:r w:rsidRPr="00005374">
        <w:rPr>
          <w:rFonts w:eastAsia="Times New Roman"/>
          <w:b/>
          <w:bCs/>
          <w:sz w:val="24"/>
          <w:szCs w:val="24"/>
          <w:lang w:val="en-GB"/>
        </w:rPr>
        <w:t xml:space="preserve">direct exporting via e-commerce distribution </w:t>
      </w:r>
      <w:r w:rsidRPr="00005374">
        <w:rPr>
          <w:rFonts w:eastAsia="Times New Roman"/>
          <w:sz w:val="24"/>
          <w:szCs w:val="24"/>
          <w:lang w:val="en-GB"/>
        </w:rPr>
        <w:t xml:space="preserve">channels and developing of </w:t>
      </w:r>
      <w:r w:rsidRPr="00005374">
        <w:rPr>
          <w:rFonts w:eastAsia="Times New Roman"/>
          <w:b/>
          <w:bCs/>
          <w:sz w:val="24"/>
          <w:szCs w:val="24"/>
          <w:lang w:val="en-GB"/>
        </w:rPr>
        <w:t>strategic allyship</w:t>
      </w:r>
      <w:r w:rsidRPr="00005374">
        <w:rPr>
          <w:rFonts w:eastAsia="Times New Roman"/>
          <w:sz w:val="24"/>
          <w:szCs w:val="24"/>
          <w:lang w:val="en-GB"/>
        </w:rPr>
        <w:t xml:space="preserve"> with JB Hi Fi will be more insightful to deal with competitive differentiation, strategic market adaptability and strong exposure to international expansion (Tjemkes </w:t>
      </w:r>
      <w:r w:rsidRPr="00005374">
        <w:rPr>
          <w:rFonts w:eastAsia="Times New Roman"/>
          <w:i/>
          <w:iCs/>
          <w:sz w:val="24"/>
          <w:szCs w:val="24"/>
          <w:lang w:val="en-GB"/>
        </w:rPr>
        <w:t xml:space="preserve">et al. </w:t>
      </w:r>
      <w:r w:rsidRPr="00005374">
        <w:rPr>
          <w:rFonts w:eastAsia="Times New Roman"/>
          <w:sz w:val="24"/>
          <w:szCs w:val="24"/>
          <w:lang w:val="en-GB"/>
        </w:rPr>
        <w:t xml:space="preserve">2023). With respect to this, I can mention that the pricing strategy should allow boAt to deal with major competitors while signifying durability and style. </w:t>
      </w:r>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The proposed market entry strategy of direct exporting via e-commerce distribution and strategic alliances to build and sustain competitive advantages, leveraging market development opportunities. Through this, boAt can differentiate itself by driving accessibility, affordability and preference to lifestyle, which are significant to brand identity and communicating through competitive strengths. I must say that high digital system adoption in Australia provides a clear opportunity for boAt in the context of using e-commerce as a primary entry channel. In this aspect, boAt can launch its products in the Australian market through direct exporting that helps in the establishment of strong brand preference with a higher degree of minimal operational investment. </w:t>
      </w:r>
    </w:p>
    <w:p w:rsidR="00106699" w:rsidRDefault="00106699" w:rsidP="00E10FF0">
      <w:pPr>
        <w:spacing w:line="360" w:lineRule="auto"/>
        <w:jc w:val="both"/>
        <w:rPr>
          <w:rFonts w:eastAsia="Times New Roman"/>
          <w:sz w:val="24"/>
          <w:szCs w:val="24"/>
          <w:lang w:val="en-GB"/>
        </w:rPr>
      </w:pPr>
    </w:p>
    <w:p w:rsidR="00106699" w:rsidRPr="00005374" w:rsidRDefault="00106699" w:rsidP="00E10FF0">
      <w:pPr>
        <w:spacing w:line="360" w:lineRule="auto"/>
        <w:jc w:val="both"/>
        <w:rPr>
          <w:rFonts w:eastAsia="Times New Roman"/>
          <w:b/>
          <w:bCs/>
          <w:sz w:val="24"/>
          <w:szCs w:val="24"/>
          <w:lang w:val="en-GB"/>
        </w:rPr>
      </w:pPr>
    </w:p>
    <w:p w:rsidR="00E10FF0" w:rsidRPr="00005374" w:rsidRDefault="00E10FF0" w:rsidP="00E10FF0">
      <w:pPr>
        <w:pStyle w:val="Heading2"/>
        <w:rPr>
          <w:rFonts w:cs="Arial"/>
          <w:lang w:val="en-GB"/>
        </w:rPr>
      </w:pPr>
      <w:bookmarkStart w:id="16" w:name="_Toc216128169"/>
      <w:r w:rsidRPr="00005374">
        <w:rPr>
          <w:rFonts w:cs="Arial"/>
          <w:lang w:val="en-GB"/>
        </w:rPr>
        <w:lastRenderedPageBreak/>
        <w:t>3.4 Competitive positioning</w:t>
      </w:r>
      <w:bookmarkEnd w:id="16"/>
    </w:p>
    <w:p w:rsidR="00E10FF0" w:rsidRPr="00005374" w:rsidRDefault="00E10FF0" w:rsidP="00E10FF0">
      <w:pPr>
        <w:spacing w:line="360" w:lineRule="auto"/>
        <w:jc w:val="both"/>
        <w:rPr>
          <w:rFonts w:eastAsia="Times New Roman"/>
          <w:sz w:val="24"/>
          <w:szCs w:val="24"/>
          <w:lang w:val="en-GB"/>
        </w:rPr>
      </w:pP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noProof/>
          <w:sz w:val="24"/>
          <w:szCs w:val="24"/>
          <w:lang w:val="en-IN" w:eastAsia="en-IN"/>
        </w:rPr>
        <w:drawing>
          <wp:inline distT="114300" distB="114300" distL="114300" distR="114300" wp14:anchorId="4C5202A8" wp14:editId="013CBEC7">
            <wp:extent cx="4491038" cy="2371725"/>
            <wp:effectExtent l="0" t="0" r="0" b="0"/>
            <wp:docPr id="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491038" cy="2371725"/>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Figure 11:  Porter’s Generic Strategies</w:t>
      </w:r>
    </w:p>
    <w:p w:rsidR="00E10FF0" w:rsidRPr="00005374"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Bruin, 2021)</w:t>
      </w:r>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Cost Leadership</w:t>
      </w:r>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boAt can implement cost leadership in Australia through leveraging its large-scale manufacturing team in India and Asia, aligning competitive pricing against core premium brands such as Apple and Bose. Streamlined supply chains, localisation components, along with minimal retail overhead via strong e-commerce channels that allow boAt to provide high-quality audio and wearable products at a significantly lower rate.</w:t>
      </w:r>
    </w:p>
    <w:p w:rsidR="00106699" w:rsidRPr="00005374" w:rsidRDefault="00106699" w:rsidP="00E10FF0">
      <w:pPr>
        <w:spacing w:line="360" w:lineRule="auto"/>
        <w:jc w:val="both"/>
        <w:rPr>
          <w:rFonts w:eastAsia="Times New Roman"/>
          <w:sz w:val="24"/>
          <w:szCs w:val="24"/>
          <w:lang w:val="en-GB"/>
        </w:rPr>
      </w:pPr>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Differentiation Strategy</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With product innovation, stylish design, and strong digital experiences, boAt can differentiate its product within Australia’s mature electronics market. Through providing EESS-compliant devices, sustainable packaging, development of battery safety and Bluetooth performance optimization of 5G networks (</w:t>
      </w:r>
      <w:r w:rsidRPr="00005374">
        <w:rPr>
          <w:rFonts w:eastAsia="Times New Roman"/>
          <w:sz w:val="24"/>
          <w:szCs w:val="24"/>
          <w:highlight w:val="white"/>
          <w:lang w:val="en-GB"/>
        </w:rPr>
        <w:t xml:space="preserve">Shehab </w:t>
      </w:r>
      <w:r w:rsidRPr="00005374">
        <w:rPr>
          <w:rFonts w:eastAsia="Times New Roman"/>
          <w:i/>
          <w:iCs/>
          <w:sz w:val="24"/>
          <w:szCs w:val="24"/>
          <w:highlight w:val="white"/>
          <w:lang w:val="en-GB"/>
        </w:rPr>
        <w:t>et al.</w:t>
      </w:r>
      <w:r w:rsidRPr="00005374">
        <w:rPr>
          <w:rFonts w:eastAsia="Times New Roman"/>
          <w:sz w:val="24"/>
          <w:szCs w:val="24"/>
          <w:highlight w:val="white"/>
          <w:lang w:val="en-GB"/>
        </w:rPr>
        <w:t xml:space="preserve"> 2021</w:t>
      </w:r>
      <w:r w:rsidRPr="00005374">
        <w:rPr>
          <w:rFonts w:eastAsia="Times New Roman"/>
          <w:sz w:val="24"/>
          <w:szCs w:val="24"/>
          <w:lang w:val="en-GB"/>
        </w:rPr>
        <w:t>), boAt can rebuild its reputation as an affordable as well as technology-rich lifestyle brand in regard to appealing to younger, trend-driven consumers who prioritizes value with uniqueness.</w:t>
      </w:r>
    </w:p>
    <w:p w:rsidR="00106699" w:rsidRDefault="00106699" w:rsidP="00E10FF0">
      <w:pPr>
        <w:spacing w:line="360" w:lineRule="auto"/>
        <w:jc w:val="both"/>
        <w:rPr>
          <w:rFonts w:eastAsia="Times New Roman"/>
          <w:b/>
          <w:bCs/>
          <w:sz w:val="24"/>
          <w:szCs w:val="24"/>
          <w:lang w:val="en-GB"/>
        </w:rPr>
      </w:pPr>
    </w:p>
    <w:p w:rsidR="00E10FF0" w:rsidRPr="00005374" w:rsidRDefault="00E10FF0" w:rsidP="00E10FF0">
      <w:pPr>
        <w:spacing w:line="360" w:lineRule="auto"/>
        <w:jc w:val="both"/>
        <w:rPr>
          <w:rFonts w:eastAsia="Times New Roman"/>
          <w:b/>
          <w:bCs/>
          <w:sz w:val="24"/>
          <w:szCs w:val="24"/>
          <w:lang w:val="en-GB"/>
        </w:rPr>
      </w:pPr>
      <w:r w:rsidRPr="00005374">
        <w:rPr>
          <w:rFonts w:eastAsia="Times New Roman"/>
          <w:b/>
          <w:bCs/>
          <w:sz w:val="24"/>
          <w:szCs w:val="24"/>
          <w:lang w:val="en-GB"/>
        </w:rPr>
        <w:t>Focus Strategy</w:t>
      </w:r>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boAt can focus on the adoption of a focused strategy through leading in Australia’s price-sensitive market, along with quality-seeking consumer segments, particularly for </w:t>
      </w:r>
      <w:r w:rsidRPr="00005374">
        <w:rPr>
          <w:rFonts w:eastAsia="Times New Roman"/>
          <w:sz w:val="24"/>
          <w:szCs w:val="24"/>
          <w:lang w:val="en-GB"/>
        </w:rPr>
        <w:lastRenderedPageBreak/>
        <w:t>students, young professionals and fitness enthusiasts (</w:t>
      </w:r>
      <w:r w:rsidRPr="00005374">
        <w:rPr>
          <w:rFonts w:eastAsia="Times New Roman"/>
          <w:sz w:val="24"/>
          <w:szCs w:val="24"/>
          <w:highlight w:val="white"/>
          <w:lang w:val="en-GB"/>
        </w:rPr>
        <w:t>He, 2024</w:t>
      </w:r>
      <w:r w:rsidRPr="00005374">
        <w:rPr>
          <w:rFonts w:eastAsia="Times New Roman"/>
          <w:sz w:val="24"/>
          <w:szCs w:val="24"/>
          <w:lang w:val="en-GB"/>
        </w:rPr>
        <w:t xml:space="preserve">). Alignment of category-specific products such as rugged sports earphones, mid-range smartwatches along with gaming headsets which enables boAt to tailor its core features along with pricing to niche needs in regard to achieving deeper customer loyalty in regard to defined lifestyle segments. </w:t>
      </w:r>
    </w:p>
    <w:p w:rsidR="00106699" w:rsidRPr="00005374" w:rsidRDefault="00106699" w:rsidP="00E10FF0">
      <w:pPr>
        <w:spacing w:line="360" w:lineRule="auto"/>
        <w:jc w:val="both"/>
        <w:rPr>
          <w:rFonts w:eastAsia="Times New Roman"/>
          <w:sz w:val="24"/>
          <w:szCs w:val="24"/>
          <w:lang w:val="en-GB"/>
        </w:rPr>
      </w:pPr>
    </w:p>
    <w:p w:rsidR="00E10FF0" w:rsidRPr="00005374" w:rsidRDefault="00E10FF0" w:rsidP="00E10FF0">
      <w:pPr>
        <w:pStyle w:val="Heading2"/>
        <w:rPr>
          <w:rFonts w:cs="Arial"/>
          <w:lang w:val="en-GB"/>
        </w:rPr>
      </w:pPr>
      <w:bookmarkStart w:id="17" w:name="_Toc216128170"/>
      <w:r w:rsidRPr="00005374">
        <w:rPr>
          <w:rFonts w:cs="Arial"/>
          <w:lang w:val="en-GB"/>
        </w:rPr>
        <w:t>3.5 Strategic Fit and Capability Assessment</w:t>
      </w:r>
      <w:bookmarkEnd w:id="17"/>
      <w:r w:rsidRPr="00005374">
        <w:rPr>
          <w:rFonts w:cs="Arial"/>
          <w:lang w:val="en-GB"/>
        </w:rPr>
        <w:t xml:space="preserve"> </w:t>
      </w: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 xml:space="preserve">VRIO Framework </w:t>
      </w:r>
    </w:p>
    <w:tbl>
      <w:tblPr>
        <w:tblW w:w="1034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85"/>
        <w:gridCol w:w="1710"/>
        <w:gridCol w:w="1845"/>
        <w:gridCol w:w="1695"/>
        <w:gridCol w:w="2010"/>
      </w:tblGrid>
      <w:tr w:rsidR="00E10FF0" w:rsidRPr="00005374" w:rsidTr="00106699">
        <w:trPr>
          <w:jc w:val="center"/>
        </w:trPr>
        <w:tc>
          <w:tcPr>
            <w:tcW w:w="308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240" w:lineRule="auto"/>
              <w:jc w:val="center"/>
              <w:rPr>
                <w:rFonts w:eastAsia="Times New Roman"/>
                <w:b/>
                <w:bCs/>
                <w:sz w:val="24"/>
                <w:szCs w:val="24"/>
                <w:lang w:val="en-GB"/>
              </w:rPr>
            </w:pPr>
            <w:r w:rsidRPr="00005374">
              <w:rPr>
                <w:rFonts w:eastAsia="Times New Roman"/>
                <w:b/>
                <w:bCs/>
                <w:sz w:val="24"/>
                <w:szCs w:val="24"/>
                <w:lang w:val="en-GB"/>
              </w:rPr>
              <w:t xml:space="preserve">Resources and capabilities </w:t>
            </w:r>
          </w:p>
        </w:tc>
        <w:tc>
          <w:tcPr>
            <w:tcW w:w="171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240" w:lineRule="auto"/>
              <w:jc w:val="center"/>
              <w:rPr>
                <w:rFonts w:eastAsia="Times New Roman"/>
                <w:b/>
                <w:bCs/>
                <w:sz w:val="24"/>
                <w:szCs w:val="24"/>
                <w:lang w:val="en-GB"/>
              </w:rPr>
            </w:pPr>
            <w:r w:rsidRPr="00005374">
              <w:rPr>
                <w:rFonts w:eastAsia="Times New Roman"/>
                <w:b/>
                <w:bCs/>
                <w:sz w:val="24"/>
                <w:szCs w:val="24"/>
                <w:lang w:val="en-GB"/>
              </w:rPr>
              <w:t>Value</w:t>
            </w:r>
          </w:p>
        </w:tc>
        <w:tc>
          <w:tcPr>
            <w:tcW w:w="18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240" w:lineRule="auto"/>
              <w:jc w:val="center"/>
              <w:rPr>
                <w:rFonts w:eastAsia="Times New Roman"/>
                <w:b/>
                <w:bCs/>
                <w:sz w:val="24"/>
                <w:szCs w:val="24"/>
                <w:lang w:val="en-GB"/>
              </w:rPr>
            </w:pPr>
            <w:r w:rsidRPr="00005374">
              <w:rPr>
                <w:rFonts w:eastAsia="Times New Roman"/>
                <w:b/>
                <w:bCs/>
                <w:sz w:val="24"/>
                <w:szCs w:val="24"/>
                <w:lang w:val="en-GB"/>
              </w:rPr>
              <w:t xml:space="preserve">Rarity </w:t>
            </w:r>
          </w:p>
        </w:tc>
        <w:tc>
          <w:tcPr>
            <w:tcW w:w="169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240" w:lineRule="auto"/>
              <w:jc w:val="center"/>
              <w:rPr>
                <w:rFonts w:eastAsia="Times New Roman"/>
                <w:b/>
                <w:bCs/>
                <w:sz w:val="24"/>
                <w:szCs w:val="24"/>
                <w:lang w:val="en-GB"/>
              </w:rPr>
            </w:pPr>
            <w:r w:rsidRPr="00005374">
              <w:rPr>
                <w:rFonts w:eastAsia="Times New Roman"/>
                <w:b/>
                <w:bCs/>
                <w:sz w:val="24"/>
                <w:szCs w:val="24"/>
                <w:lang w:val="en-GB"/>
              </w:rPr>
              <w:t xml:space="preserve">Imitability </w:t>
            </w:r>
          </w:p>
        </w:tc>
        <w:tc>
          <w:tcPr>
            <w:tcW w:w="201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240" w:lineRule="auto"/>
              <w:jc w:val="center"/>
              <w:rPr>
                <w:rFonts w:eastAsia="Times New Roman"/>
                <w:b/>
                <w:bCs/>
                <w:sz w:val="24"/>
                <w:szCs w:val="24"/>
                <w:lang w:val="en-GB"/>
              </w:rPr>
            </w:pPr>
            <w:r w:rsidRPr="00005374">
              <w:rPr>
                <w:rFonts w:eastAsia="Times New Roman"/>
                <w:b/>
                <w:bCs/>
                <w:sz w:val="24"/>
                <w:szCs w:val="24"/>
                <w:lang w:val="en-GB"/>
              </w:rPr>
              <w:t>Organised</w:t>
            </w:r>
          </w:p>
        </w:tc>
      </w:tr>
      <w:tr w:rsidR="00E10FF0" w:rsidRPr="00005374" w:rsidTr="00106699">
        <w:trPr>
          <w:jc w:val="center"/>
        </w:trPr>
        <w:tc>
          <w:tcPr>
            <w:tcW w:w="308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Strong brand positioning</w:t>
            </w:r>
          </w:p>
        </w:tc>
        <w:tc>
          <w:tcPr>
            <w:tcW w:w="171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Yes</w:t>
            </w:r>
          </w:p>
        </w:tc>
        <w:tc>
          <w:tcPr>
            <w:tcW w:w="18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 xml:space="preserve">No </w:t>
            </w:r>
          </w:p>
        </w:tc>
        <w:tc>
          <w:tcPr>
            <w:tcW w:w="169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Yes</w:t>
            </w:r>
          </w:p>
        </w:tc>
        <w:tc>
          <w:tcPr>
            <w:tcW w:w="20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r>
      <w:tr w:rsidR="00E10FF0" w:rsidRPr="00005374" w:rsidTr="00106699">
        <w:trPr>
          <w:jc w:val="center"/>
        </w:trPr>
        <w:tc>
          <w:tcPr>
            <w:tcW w:w="308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 xml:space="preserve">Large-scale manufacturing </w:t>
            </w:r>
          </w:p>
        </w:tc>
        <w:tc>
          <w:tcPr>
            <w:tcW w:w="17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c>
          <w:tcPr>
            <w:tcW w:w="18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Yes</w:t>
            </w:r>
          </w:p>
        </w:tc>
        <w:tc>
          <w:tcPr>
            <w:tcW w:w="169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No</w:t>
            </w:r>
          </w:p>
        </w:tc>
        <w:tc>
          <w:tcPr>
            <w:tcW w:w="20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r>
      <w:tr w:rsidR="00E10FF0" w:rsidRPr="00005374" w:rsidTr="00106699">
        <w:trPr>
          <w:jc w:val="center"/>
        </w:trPr>
        <w:tc>
          <w:tcPr>
            <w:tcW w:w="308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Product innovation and design capabilities</w:t>
            </w:r>
          </w:p>
        </w:tc>
        <w:tc>
          <w:tcPr>
            <w:tcW w:w="17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c>
          <w:tcPr>
            <w:tcW w:w="18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No</w:t>
            </w:r>
          </w:p>
        </w:tc>
        <w:tc>
          <w:tcPr>
            <w:tcW w:w="1695"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c>
          <w:tcPr>
            <w:tcW w:w="20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r>
      <w:tr w:rsidR="00E10FF0" w:rsidRPr="00005374" w:rsidTr="00106699">
        <w:trPr>
          <w:jc w:val="center"/>
        </w:trPr>
        <w:tc>
          <w:tcPr>
            <w:tcW w:w="308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Low-cost production model</w:t>
            </w:r>
          </w:p>
        </w:tc>
        <w:tc>
          <w:tcPr>
            <w:tcW w:w="17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c>
          <w:tcPr>
            <w:tcW w:w="1845"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c>
          <w:tcPr>
            <w:tcW w:w="169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No</w:t>
            </w:r>
          </w:p>
        </w:tc>
        <w:tc>
          <w:tcPr>
            <w:tcW w:w="20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r>
      <w:tr w:rsidR="00E10FF0" w:rsidRPr="00005374" w:rsidTr="00106699">
        <w:trPr>
          <w:jc w:val="center"/>
        </w:trPr>
        <w:tc>
          <w:tcPr>
            <w:tcW w:w="308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Omni-channel and digital marketing growth</w:t>
            </w:r>
          </w:p>
        </w:tc>
        <w:tc>
          <w:tcPr>
            <w:tcW w:w="17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c>
          <w:tcPr>
            <w:tcW w:w="18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 xml:space="preserve">No </w:t>
            </w:r>
          </w:p>
        </w:tc>
        <w:tc>
          <w:tcPr>
            <w:tcW w:w="169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Yes</w:t>
            </w:r>
          </w:p>
        </w:tc>
        <w:tc>
          <w:tcPr>
            <w:tcW w:w="20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r>
      <w:tr w:rsidR="00E10FF0" w:rsidRPr="00005374" w:rsidTr="00106699">
        <w:trPr>
          <w:jc w:val="center"/>
        </w:trPr>
        <w:tc>
          <w:tcPr>
            <w:tcW w:w="308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 xml:space="preserve">Strong consumer community </w:t>
            </w:r>
          </w:p>
        </w:tc>
        <w:tc>
          <w:tcPr>
            <w:tcW w:w="17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c>
          <w:tcPr>
            <w:tcW w:w="1845"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c>
          <w:tcPr>
            <w:tcW w:w="169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sz w:val="24"/>
                <w:szCs w:val="24"/>
                <w:lang w:val="en-GB"/>
              </w:rPr>
            </w:pPr>
            <w:r w:rsidRPr="00005374">
              <w:rPr>
                <w:rFonts w:eastAsia="Times New Roman"/>
                <w:sz w:val="24"/>
                <w:szCs w:val="24"/>
                <w:lang w:val="en-GB"/>
              </w:rPr>
              <w:t>No</w:t>
            </w:r>
          </w:p>
        </w:tc>
        <w:tc>
          <w:tcPr>
            <w:tcW w:w="2010" w:type="dxa"/>
            <w:tcMar>
              <w:top w:w="100" w:type="dxa"/>
              <w:left w:w="100" w:type="dxa"/>
              <w:bottom w:w="100" w:type="dxa"/>
              <w:right w:w="100" w:type="dxa"/>
            </w:tcMar>
          </w:tcPr>
          <w:p w:rsidR="00E10FF0" w:rsidRPr="00005374" w:rsidRDefault="00E10FF0" w:rsidP="00106699">
            <w:pPr>
              <w:widowControl w:val="0"/>
              <w:spacing w:line="360" w:lineRule="auto"/>
              <w:jc w:val="center"/>
              <w:rPr>
                <w:rFonts w:eastAsia="Times New Roman"/>
                <w:sz w:val="24"/>
                <w:szCs w:val="24"/>
                <w:lang w:val="en-GB"/>
              </w:rPr>
            </w:pPr>
            <w:r w:rsidRPr="00005374">
              <w:rPr>
                <w:rFonts w:eastAsia="Times New Roman"/>
                <w:sz w:val="24"/>
                <w:szCs w:val="24"/>
                <w:lang w:val="en-GB"/>
              </w:rPr>
              <w:t>Yes</w:t>
            </w:r>
          </w:p>
        </w:tc>
      </w:tr>
    </w:tbl>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 xml:space="preserve">Table 2: VRIO Framework </w:t>
      </w:r>
    </w:p>
    <w:p w:rsidR="00E10FF0" w:rsidRPr="00005374"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Self-created)</w:t>
      </w:r>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Based on VRIO framework, strong brand positioning and influence of large-scale manufacturing of boAt reflects strong capabilities to excel into the international market like Australia. On the other hand, product innovation and design will be the most valuable criteria to capture the attention of new consumers in the new market.</w:t>
      </w:r>
    </w:p>
    <w:p w:rsidR="00106699" w:rsidRDefault="00106699" w:rsidP="00E10FF0">
      <w:pPr>
        <w:spacing w:line="360" w:lineRule="auto"/>
        <w:jc w:val="both"/>
        <w:rPr>
          <w:rFonts w:eastAsia="Times New Roman"/>
          <w:sz w:val="24"/>
          <w:szCs w:val="24"/>
          <w:lang w:val="en-GB"/>
        </w:rPr>
      </w:pPr>
    </w:p>
    <w:p w:rsidR="00106699" w:rsidRPr="00005374" w:rsidRDefault="00106699" w:rsidP="00E10FF0">
      <w:pPr>
        <w:spacing w:line="360" w:lineRule="auto"/>
        <w:jc w:val="both"/>
        <w:rPr>
          <w:rFonts w:eastAsia="Times New Roman"/>
          <w:sz w:val="24"/>
          <w:szCs w:val="24"/>
          <w:lang w:val="en-GB"/>
        </w:rPr>
      </w:pPr>
    </w:p>
    <w:p w:rsidR="00E10FF0" w:rsidRPr="00005374" w:rsidRDefault="00E10FF0" w:rsidP="00E10FF0">
      <w:pPr>
        <w:pStyle w:val="Heading2"/>
        <w:rPr>
          <w:rFonts w:cs="Arial"/>
          <w:lang w:val="en-GB"/>
        </w:rPr>
      </w:pPr>
      <w:bookmarkStart w:id="18" w:name="_Toc216128171"/>
      <w:r w:rsidRPr="00005374">
        <w:rPr>
          <w:rFonts w:cs="Arial"/>
          <w:lang w:val="en-GB"/>
        </w:rPr>
        <w:lastRenderedPageBreak/>
        <w:t>3.6 Strategy Implementation Components</w:t>
      </w:r>
      <w:bookmarkEnd w:id="18"/>
      <w:r w:rsidRPr="00005374">
        <w:rPr>
          <w:rFonts w:cs="Arial"/>
          <w:lang w:val="en-GB"/>
        </w:rPr>
        <w:t xml:space="preserve"> </w:t>
      </w:r>
    </w:p>
    <w:tbl>
      <w:tblPr>
        <w:tblW w:w="10500" w:type="dxa"/>
        <w:tblInd w:w="-6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45"/>
        <w:gridCol w:w="6255"/>
      </w:tblGrid>
      <w:tr w:rsidR="00E10FF0" w:rsidRPr="00005374" w:rsidTr="00106699">
        <w:tc>
          <w:tcPr>
            <w:tcW w:w="42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240" w:lineRule="auto"/>
              <w:jc w:val="center"/>
              <w:rPr>
                <w:rFonts w:eastAsia="Times New Roman"/>
                <w:b/>
                <w:bCs/>
                <w:sz w:val="24"/>
                <w:szCs w:val="24"/>
                <w:lang w:val="en-GB"/>
              </w:rPr>
            </w:pPr>
            <w:r w:rsidRPr="00005374">
              <w:rPr>
                <w:rFonts w:eastAsia="Times New Roman"/>
                <w:b/>
                <w:bCs/>
                <w:sz w:val="24"/>
                <w:szCs w:val="24"/>
                <w:lang w:val="en-GB"/>
              </w:rPr>
              <w:t>Components</w:t>
            </w:r>
          </w:p>
        </w:tc>
        <w:tc>
          <w:tcPr>
            <w:tcW w:w="625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240" w:lineRule="auto"/>
              <w:jc w:val="center"/>
              <w:rPr>
                <w:rFonts w:eastAsia="Times New Roman"/>
                <w:b/>
                <w:bCs/>
                <w:sz w:val="24"/>
                <w:szCs w:val="24"/>
                <w:lang w:val="en-GB"/>
              </w:rPr>
            </w:pPr>
            <w:r w:rsidRPr="00005374">
              <w:rPr>
                <w:rFonts w:eastAsia="Times New Roman"/>
                <w:b/>
                <w:bCs/>
                <w:sz w:val="24"/>
                <w:szCs w:val="24"/>
                <w:lang w:val="en-GB"/>
              </w:rPr>
              <w:t>Description</w:t>
            </w:r>
          </w:p>
        </w:tc>
      </w:tr>
      <w:tr w:rsidR="00E10FF0" w:rsidRPr="00005374" w:rsidTr="00106699">
        <w:tc>
          <w:tcPr>
            <w:tcW w:w="42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i/>
                <w:iCs/>
                <w:sz w:val="24"/>
                <w:szCs w:val="24"/>
                <w:lang w:val="en-GB"/>
              </w:rPr>
            </w:pPr>
            <w:r w:rsidRPr="00005374">
              <w:rPr>
                <w:rFonts w:eastAsia="Times New Roman"/>
                <w:b/>
                <w:bCs/>
                <w:i/>
                <w:iCs/>
                <w:sz w:val="24"/>
                <w:szCs w:val="24"/>
                <w:lang w:val="en-GB"/>
              </w:rPr>
              <w:t xml:space="preserve">Product compliance and localization </w:t>
            </w:r>
          </w:p>
        </w:tc>
        <w:tc>
          <w:tcPr>
            <w:tcW w:w="625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Ensuring all the devices will meet EESS standards, safety certifications along with sustainability packaging needs to deal with smooth market entry.</w:t>
            </w:r>
          </w:p>
        </w:tc>
      </w:tr>
      <w:tr w:rsidR="00E10FF0" w:rsidRPr="00005374" w:rsidTr="00106699">
        <w:tc>
          <w:tcPr>
            <w:tcW w:w="42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i/>
                <w:iCs/>
                <w:sz w:val="24"/>
                <w:szCs w:val="24"/>
                <w:lang w:val="en-GB"/>
              </w:rPr>
            </w:pPr>
            <w:r w:rsidRPr="00005374">
              <w:rPr>
                <w:rFonts w:eastAsia="Times New Roman"/>
                <w:b/>
                <w:bCs/>
                <w:i/>
                <w:iCs/>
                <w:sz w:val="24"/>
                <w:szCs w:val="24"/>
                <w:lang w:val="en-GB"/>
              </w:rPr>
              <w:t xml:space="preserve">Market entry and distribution </w:t>
            </w:r>
          </w:p>
        </w:tc>
        <w:tc>
          <w:tcPr>
            <w:tcW w:w="625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Establishment of partnerships with major retailers such as JB Hi Fi and Harvey Noman to drive e-commerce sales.</w:t>
            </w:r>
          </w:p>
        </w:tc>
      </w:tr>
      <w:tr w:rsidR="00E10FF0" w:rsidRPr="00005374" w:rsidTr="00106699">
        <w:tc>
          <w:tcPr>
            <w:tcW w:w="42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i/>
                <w:iCs/>
                <w:sz w:val="24"/>
                <w:szCs w:val="24"/>
                <w:lang w:val="en-GB"/>
              </w:rPr>
            </w:pPr>
            <w:r w:rsidRPr="00005374">
              <w:rPr>
                <w:rFonts w:eastAsia="Times New Roman"/>
                <w:b/>
                <w:bCs/>
                <w:i/>
                <w:iCs/>
                <w:sz w:val="24"/>
                <w:szCs w:val="24"/>
                <w:lang w:val="en-GB"/>
              </w:rPr>
              <w:t>Brand positioning and marketing</w:t>
            </w:r>
          </w:p>
        </w:tc>
        <w:tc>
          <w:tcPr>
            <w:tcW w:w="625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Launching targeted digital campaigning that focuses on affordability and high-quality performance to capture the attention of young consumers (</w:t>
            </w:r>
            <w:r w:rsidRPr="00005374">
              <w:rPr>
                <w:rFonts w:eastAsia="Times New Roman"/>
                <w:sz w:val="24"/>
                <w:szCs w:val="24"/>
                <w:highlight w:val="white"/>
                <w:lang w:val="en-GB"/>
              </w:rPr>
              <w:t xml:space="preserve">An </w:t>
            </w:r>
            <w:r w:rsidRPr="00005374">
              <w:rPr>
                <w:rFonts w:eastAsia="Times New Roman"/>
                <w:i/>
                <w:iCs/>
                <w:sz w:val="24"/>
                <w:szCs w:val="24"/>
                <w:highlight w:val="white"/>
                <w:lang w:val="en-GB"/>
              </w:rPr>
              <w:t>et al.</w:t>
            </w:r>
            <w:r w:rsidRPr="00005374">
              <w:rPr>
                <w:rFonts w:eastAsia="Times New Roman"/>
                <w:sz w:val="24"/>
                <w:szCs w:val="24"/>
                <w:highlight w:val="white"/>
                <w:lang w:val="en-GB"/>
              </w:rPr>
              <w:t xml:space="preserve"> 2021</w:t>
            </w:r>
            <w:r w:rsidRPr="00005374">
              <w:rPr>
                <w:rFonts w:eastAsia="Times New Roman"/>
                <w:sz w:val="24"/>
                <w:szCs w:val="24"/>
                <w:lang w:val="en-GB"/>
              </w:rPr>
              <w:t>).</w:t>
            </w:r>
          </w:p>
        </w:tc>
      </w:tr>
      <w:tr w:rsidR="00E10FF0" w:rsidRPr="00005374" w:rsidTr="00106699">
        <w:tc>
          <w:tcPr>
            <w:tcW w:w="42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i/>
                <w:iCs/>
                <w:sz w:val="24"/>
                <w:szCs w:val="24"/>
                <w:lang w:val="en-GB"/>
              </w:rPr>
            </w:pPr>
            <w:r w:rsidRPr="00005374">
              <w:rPr>
                <w:rFonts w:eastAsia="Times New Roman"/>
                <w:b/>
                <w:bCs/>
                <w:i/>
                <w:iCs/>
                <w:sz w:val="24"/>
                <w:szCs w:val="24"/>
                <w:lang w:val="en-GB"/>
              </w:rPr>
              <w:t>Supply chain integration</w:t>
            </w:r>
          </w:p>
        </w:tc>
        <w:tc>
          <w:tcPr>
            <w:tcW w:w="625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Utilising India-based manufacturing can help in dealing with cost leadership while strongly securing local logistics.</w:t>
            </w:r>
          </w:p>
        </w:tc>
      </w:tr>
      <w:tr w:rsidR="00E10FF0" w:rsidRPr="00005374" w:rsidTr="00106699">
        <w:tc>
          <w:tcPr>
            <w:tcW w:w="424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b/>
                <w:bCs/>
                <w:i/>
                <w:iCs/>
                <w:sz w:val="24"/>
                <w:szCs w:val="24"/>
                <w:lang w:val="en-GB"/>
              </w:rPr>
            </w:pPr>
            <w:r w:rsidRPr="00005374">
              <w:rPr>
                <w:rFonts w:eastAsia="Times New Roman"/>
                <w:b/>
                <w:bCs/>
                <w:i/>
                <w:iCs/>
                <w:sz w:val="24"/>
                <w:szCs w:val="24"/>
                <w:lang w:val="en-GB"/>
              </w:rPr>
              <w:t>Customer support and after-sales service</w:t>
            </w:r>
          </w:p>
        </w:tc>
        <w:tc>
          <w:tcPr>
            <w:tcW w:w="625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Building a reliable service network, ensuring a 24/7 digital support network.</w:t>
            </w:r>
          </w:p>
        </w:tc>
      </w:tr>
    </w:tbl>
    <w:p w:rsidR="00E10FF0" w:rsidRPr="00005374" w:rsidRDefault="00E10FF0" w:rsidP="00E10FF0">
      <w:pPr>
        <w:spacing w:line="360" w:lineRule="auto"/>
        <w:jc w:val="center"/>
        <w:rPr>
          <w:rFonts w:eastAsia="Times New Roman"/>
          <w:sz w:val="24"/>
          <w:szCs w:val="24"/>
          <w:lang w:val="en-GB"/>
        </w:rPr>
      </w:pPr>
      <w:r w:rsidRPr="00005374">
        <w:rPr>
          <w:rFonts w:eastAsia="Times New Roman"/>
          <w:b/>
          <w:bCs/>
          <w:sz w:val="24"/>
          <w:szCs w:val="24"/>
          <w:lang w:val="en-GB"/>
        </w:rPr>
        <w:t xml:space="preserve">Table 3: Strategy Implementation Components </w:t>
      </w:r>
    </w:p>
    <w:p w:rsidR="00E10FF0"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Self-created)</w:t>
      </w:r>
    </w:p>
    <w:p w:rsidR="00106699" w:rsidRPr="00005374" w:rsidRDefault="00106699" w:rsidP="00E10FF0">
      <w:pPr>
        <w:spacing w:line="360" w:lineRule="auto"/>
        <w:jc w:val="center"/>
        <w:rPr>
          <w:rFonts w:eastAsia="Times New Roman"/>
          <w:sz w:val="24"/>
          <w:szCs w:val="24"/>
          <w:lang w:val="en-GB"/>
        </w:rPr>
      </w:pPr>
    </w:p>
    <w:p w:rsidR="00E10FF0" w:rsidRPr="00005374" w:rsidRDefault="00E10FF0" w:rsidP="00E10FF0">
      <w:pPr>
        <w:pStyle w:val="Heading2"/>
        <w:rPr>
          <w:rFonts w:cs="Arial"/>
          <w:lang w:val="en-GB"/>
        </w:rPr>
      </w:pPr>
      <w:bookmarkStart w:id="19" w:name="_Toc216128172"/>
      <w:r w:rsidRPr="00005374">
        <w:rPr>
          <w:rFonts w:cs="Arial"/>
          <w:lang w:val="en-GB"/>
        </w:rPr>
        <w:t>3.7 Risk analysis and mitigation</w:t>
      </w:r>
      <w:bookmarkEnd w:id="19"/>
      <w:r w:rsidRPr="00005374">
        <w:rPr>
          <w:rFonts w:cs="Arial"/>
          <w:lang w:val="en-GB"/>
        </w:rPr>
        <w:t xml:space="preserve"> </w:t>
      </w:r>
    </w:p>
    <w:tbl>
      <w:tblPr>
        <w:tblW w:w="986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65"/>
        <w:gridCol w:w="1830"/>
        <w:gridCol w:w="4770"/>
      </w:tblGrid>
      <w:tr w:rsidR="00E10FF0" w:rsidRPr="00005374" w:rsidTr="00106699">
        <w:trPr>
          <w:jc w:val="center"/>
        </w:trPr>
        <w:tc>
          <w:tcPr>
            <w:tcW w:w="326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b/>
                <w:bCs/>
                <w:sz w:val="24"/>
                <w:szCs w:val="24"/>
                <w:lang w:val="en-GB"/>
              </w:rPr>
            </w:pPr>
            <w:r w:rsidRPr="00005374">
              <w:rPr>
                <w:rFonts w:eastAsia="Times New Roman"/>
                <w:b/>
                <w:bCs/>
                <w:sz w:val="24"/>
                <w:szCs w:val="24"/>
                <w:lang w:val="en-GB"/>
              </w:rPr>
              <w:t xml:space="preserve">Risks </w:t>
            </w:r>
          </w:p>
        </w:tc>
        <w:tc>
          <w:tcPr>
            <w:tcW w:w="183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b/>
                <w:bCs/>
                <w:sz w:val="24"/>
                <w:szCs w:val="24"/>
                <w:lang w:val="en-GB"/>
              </w:rPr>
            </w:pPr>
            <w:r w:rsidRPr="00005374">
              <w:rPr>
                <w:rFonts w:eastAsia="Times New Roman"/>
                <w:b/>
                <w:bCs/>
                <w:sz w:val="24"/>
                <w:szCs w:val="24"/>
                <w:lang w:val="en-GB"/>
              </w:rPr>
              <w:t>Impact</w:t>
            </w:r>
          </w:p>
        </w:tc>
        <w:tc>
          <w:tcPr>
            <w:tcW w:w="477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b/>
                <w:bCs/>
                <w:sz w:val="24"/>
                <w:szCs w:val="24"/>
                <w:lang w:val="en-GB"/>
              </w:rPr>
            </w:pPr>
            <w:r w:rsidRPr="00005374">
              <w:rPr>
                <w:rFonts w:eastAsia="Times New Roman"/>
                <w:b/>
                <w:bCs/>
                <w:sz w:val="24"/>
                <w:szCs w:val="24"/>
                <w:lang w:val="en-GB"/>
              </w:rPr>
              <w:t>Mitigation Strategy</w:t>
            </w:r>
          </w:p>
        </w:tc>
      </w:tr>
      <w:tr w:rsidR="00E10FF0" w:rsidRPr="00005374" w:rsidTr="00106699">
        <w:trPr>
          <w:jc w:val="center"/>
        </w:trPr>
        <w:tc>
          <w:tcPr>
            <w:tcW w:w="326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Regulatory non-compliance</w:t>
            </w:r>
          </w:p>
        </w:tc>
        <w:tc>
          <w:tcPr>
            <w:tcW w:w="1830" w:type="dxa"/>
            <w:shd w:val="clear" w:color="auto" w:fill="F4B083" w:themeFill="accent2" w:themeFillTint="99"/>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b/>
                <w:sz w:val="24"/>
                <w:szCs w:val="24"/>
                <w:lang w:val="en-GB"/>
              </w:rPr>
            </w:pPr>
            <w:r w:rsidRPr="00005374">
              <w:rPr>
                <w:rFonts w:eastAsia="Times New Roman"/>
                <w:b/>
                <w:sz w:val="24"/>
                <w:szCs w:val="24"/>
                <w:lang w:val="en-GB"/>
              </w:rPr>
              <w:t xml:space="preserve">High </w:t>
            </w:r>
          </w:p>
        </w:tc>
        <w:tc>
          <w:tcPr>
            <w:tcW w:w="477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Conductance of early certification and securing partnerships with Australian compliance experts</w:t>
            </w:r>
          </w:p>
        </w:tc>
      </w:tr>
      <w:tr w:rsidR="00E10FF0" w:rsidRPr="00005374" w:rsidTr="00106699">
        <w:trPr>
          <w:jc w:val="center"/>
        </w:trPr>
        <w:tc>
          <w:tcPr>
            <w:tcW w:w="326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High competition from premium brands</w:t>
            </w:r>
          </w:p>
        </w:tc>
        <w:tc>
          <w:tcPr>
            <w:tcW w:w="1830" w:type="dxa"/>
            <w:shd w:val="clear" w:color="auto" w:fill="FFFF00"/>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b/>
                <w:sz w:val="24"/>
                <w:szCs w:val="24"/>
                <w:lang w:val="en-GB"/>
              </w:rPr>
            </w:pPr>
            <w:r w:rsidRPr="00005374">
              <w:rPr>
                <w:rFonts w:eastAsia="Times New Roman"/>
                <w:b/>
                <w:sz w:val="24"/>
                <w:szCs w:val="24"/>
                <w:lang w:val="en-GB"/>
              </w:rPr>
              <w:t>Moderate</w:t>
            </w:r>
          </w:p>
        </w:tc>
        <w:tc>
          <w:tcPr>
            <w:tcW w:w="477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Differentiation through pricing, design innovation, along with influencer-led campaign (</w:t>
            </w:r>
            <w:r w:rsidRPr="00005374">
              <w:rPr>
                <w:rFonts w:eastAsia="Times New Roman"/>
                <w:sz w:val="24"/>
                <w:szCs w:val="24"/>
                <w:highlight w:val="white"/>
                <w:lang w:val="en-GB"/>
              </w:rPr>
              <w:t xml:space="preserve">Libai </w:t>
            </w:r>
            <w:r w:rsidRPr="00005374">
              <w:rPr>
                <w:rFonts w:eastAsia="Times New Roman"/>
                <w:i/>
                <w:iCs/>
                <w:sz w:val="24"/>
                <w:szCs w:val="24"/>
                <w:highlight w:val="white"/>
                <w:lang w:val="en-GB"/>
              </w:rPr>
              <w:t>et al</w:t>
            </w:r>
            <w:r w:rsidRPr="00005374">
              <w:rPr>
                <w:rFonts w:eastAsia="Times New Roman"/>
                <w:sz w:val="24"/>
                <w:szCs w:val="24"/>
                <w:highlight w:val="white"/>
                <w:lang w:val="en-GB"/>
              </w:rPr>
              <w:t>. 2025</w:t>
            </w:r>
            <w:r w:rsidRPr="00005374">
              <w:rPr>
                <w:rFonts w:eastAsia="Times New Roman"/>
                <w:sz w:val="24"/>
                <w:szCs w:val="24"/>
                <w:lang w:val="en-GB"/>
              </w:rPr>
              <w:t>)</w:t>
            </w:r>
          </w:p>
        </w:tc>
      </w:tr>
      <w:tr w:rsidR="00E10FF0" w:rsidRPr="00005374" w:rsidTr="00106699">
        <w:trPr>
          <w:jc w:val="center"/>
        </w:trPr>
        <w:tc>
          <w:tcPr>
            <w:tcW w:w="326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lastRenderedPageBreak/>
              <w:t xml:space="preserve">Supply chain disruptions </w:t>
            </w:r>
          </w:p>
        </w:tc>
        <w:tc>
          <w:tcPr>
            <w:tcW w:w="1830" w:type="dxa"/>
            <w:shd w:val="clear" w:color="auto" w:fill="F4B083" w:themeFill="accent2" w:themeFillTint="99"/>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b/>
                <w:sz w:val="24"/>
                <w:szCs w:val="24"/>
                <w:lang w:val="en-GB"/>
              </w:rPr>
            </w:pPr>
            <w:r w:rsidRPr="00005374">
              <w:rPr>
                <w:rFonts w:eastAsia="Times New Roman"/>
                <w:b/>
                <w:sz w:val="24"/>
                <w:szCs w:val="24"/>
                <w:lang w:val="en-GB"/>
              </w:rPr>
              <w:t>High</w:t>
            </w:r>
          </w:p>
        </w:tc>
        <w:tc>
          <w:tcPr>
            <w:tcW w:w="477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Diversifying suppliers, development of India-Australia logistics pathways.</w:t>
            </w:r>
          </w:p>
        </w:tc>
      </w:tr>
      <w:tr w:rsidR="00E10FF0" w:rsidRPr="00005374" w:rsidTr="00106699">
        <w:trPr>
          <w:jc w:val="center"/>
        </w:trPr>
        <w:tc>
          <w:tcPr>
            <w:tcW w:w="326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Consumer loyalty to established brands</w:t>
            </w:r>
          </w:p>
        </w:tc>
        <w:tc>
          <w:tcPr>
            <w:tcW w:w="1830" w:type="dxa"/>
            <w:shd w:val="clear" w:color="auto" w:fill="FFFF00"/>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b/>
                <w:sz w:val="24"/>
                <w:szCs w:val="24"/>
                <w:lang w:val="en-GB"/>
              </w:rPr>
            </w:pPr>
            <w:r w:rsidRPr="00005374">
              <w:rPr>
                <w:rFonts w:eastAsia="Times New Roman"/>
                <w:b/>
                <w:sz w:val="24"/>
                <w:szCs w:val="24"/>
                <w:lang w:val="en-GB"/>
              </w:rPr>
              <w:t>Moderate</w:t>
            </w:r>
          </w:p>
        </w:tc>
        <w:tc>
          <w:tcPr>
            <w:tcW w:w="477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Providing trial promotions and securing a superior customer experience.</w:t>
            </w:r>
          </w:p>
        </w:tc>
      </w:tr>
      <w:tr w:rsidR="00E10FF0" w:rsidRPr="00005374" w:rsidTr="00106699">
        <w:trPr>
          <w:jc w:val="center"/>
        </w:trPr>
        <w:tc>
          <w:tcPr>
            <w:tcW w:w="3265"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Cyber security and data risks</w:t>
            </w:r>
          </w:p>
        </w:tc>
        <w:tc>
          <w:tcPr>
            <w:tcW w:w="1830" w:type="dxa"/>
            <w:shd w:val="clear" w:color="auto" w:fill="F4B083" w:themeFill="accent2" w:themeFillTint="99"/>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center"/>
              <w:rPr>
                <w:rFonts w:eastAsia="Times New Roman"/>
                <w:b/>
                <w:sz w:val="24"/>
                <w:szCs w:val="24"/>
                <w:lang w:val="en-GB"/>
              </w:rPr>
            </w:pPr>
            <w:r w:rsidRPr="00005374">
              <w:rPr>
                <w:rFonts w:eastAsia="Times New Roman"/>
                <w:b/>
                <w:sz w:val="24"/>
                <w:szCs w:val="24"/>
                <w:lang w:val="en-GB"/>
              </w:rPr>
              <w:t>High</w:t>
            </w:r>
          </w:p>
        </w:tc>
        <w:tc>
          <w:tcPr>
            <w:tcW w:w="4770" w:type="dxa"/>
            <w:tcMar>
              <w:top w:w="100" w:type="dxa"/>
              <w:left w:w="100" w:type="dxa"/>
              <w:bottom w:w="100" w:type="dxa"/>
              <w:right w:w="100" w:type="dxa"/>
            </w:tcMar>
          </w:tcPr>
          <w:p w:rsidR="00E10FF0" w:rsidRPr="00005374" w:rsidRDefault="00E10FF0" w:rsidP="00106699">
            <w:pPr>
              <w:widowControl w:val="0"/>
              <w:pBdr>
                <w:top w:val="nil"/>
                <w:left w:val="nil"/>
                <w:bottom w:val="nil"/>
                <w:right w:val="nil"/>
                <w:between w:val="nil"/>
              </w:pBdr>
              <w:spacing w:line="360" w:lineRule="auto"/>
              <w:jc w:val="both"/>
              <w:rPr>
                <w:rFonts w:eastAsia="Times New Roman"/>
                <w:sz w:val="24"/>
                <w:szCs w:val="24"/>
                <w:lang w:val="en-GB"/>
              </w:rPr>
            </w:pPr>
            <w:r w:rsidRPr="00005374">
              <w:rPr>
                <w:rFonts w:eastAsia="Times New Roman"/>
                <w:sz w:val="24"/>
                <w:szCs w:val="24"/>
                <w:lang w:val="en-GB"/>
              </w:rPr>
              <w:t>Alignment of robust data protection measures and securing regular audit and dealing with digital platforms (</w:t>
            </w:r>
            <w:r w:rsidRPr="00005374">
              <w:rPr>
                <w:rFonts w:eastAsia="Times New Roman"/>
                <w:sz w:val="24"/>
                <w:szCs w:val="24"/>
                <w:highlight w:val="white"/>
                <w:lang w:val="en-GB"/>
              </w:rPr>
              <w:t xml:space="preserve">La Torre </w:t>
            </w:r>
            <w:r w:rsidRPr="00005374">
              <w:rPr>
                <w:rFonts w:eastAsia="Times New Roman"/>
                <w:i/>
                <w:iCs/>
                <w:sz w:val="24"/>
                <w:szCs w:val="24"/>
                <w:highlight w:val="white"/>
                <w:lang w:val="en-GB"/>
              </w:rPr>
              <w:t xml:space="preserve">et al. </w:t>
            </w:r>
            <w:r w:rsidRPr="00005374">
              <w:rPr>
                <w:rFonts w:eastAsia="Times New Roman"/>
                <w:sz w:val="24"/>
                <w:szCs w:val="24"/>
                <w:highlight w:val="white"/>
                <w:lang w:val="en-GB"/>
              </w:rPr>
              <w:t>2021)</w:t>
            </w:r>
            <w:r w:rsidRPr="00005374">
              <w:rPr>
                <w:rFonts w:eastAsia="Times New Roman"/>
                <w:sz w:val="24"/>
                <w:szCs w:val="24"/>
                <w:lang w:val="en-GB"/>
              </w:rPr>
              <w:t>.</w:t>
            </w:r>
          </w:p>
        </w:tc>
      </w:tr>
    </w:tbl>
    <w:p w:rsidR="00E10FF0" w:rsidRPr="00005374" w:rsidRDefault="00E10FF0" w:rsidP="00E10FF0">
      <w:pPr>
        <w:spacing w:line="360" w:lineRule="auto"/>
        <w:jc w:val="center"/>
        <w:rPr>
          <w:rFonts w:eastAsia="Times New Roman"/>
          <w:b/>
          <w:sz w:val="24"/>
          <w:szCs w:val="24"/>
          <w:lang w:val="en-GB"/>
        </w:rPr>
      </w:pPr>
      <w:r w:rsidRPr="00005374">
        <w:rPr>
          <w:rFonts w:eastAsia="Times New Roman"/>
          <w:b/>
          <w:sz w:val="24"/>
          <w:szCs w:val="24"/>
          <w:lang w:val="en-GB"/>
        </w:rPr>
        <w:t>Table 4: Risk analysis</w:t>
      </w:r>
    </w:p>
    <w:p w:rsidR="00E10FF0"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Self-created)</w:t>
      </w:r>
    </w:p>
    <w:p w:rsidR="00106699" w:rsidRPr="00005374" w:rsidRDefault="00106699" w:rsidP="00E10FF0">
      <w:pPr>
        <w:spacing w:line="360" w:lineRule="auto"/>
        <w:jc w:val="center"/>
        <w:rPr>
          <w:rFonts w:eastAsia="Times New Roman"/>
          <w:sz w:val="24"/>
          <w:szCs w:val="24"/>
          <w:lang w:val="en-GB"/>
        </w:rPr>
      </w:pPr>
    </w:p>
    <w:p w:rsidR="00E10FF0" w:rsidRPr="00005374" w:rsidRDefault="00E10FF0" w:rsidP="00E10FF0">
      <w:pPr>
        <w:pStyle w:val="Heading1"/>
        <w:rPr>
          <w:rFonts w:cs="Arial"/>
          <w:lang w:val="en-GB"/>
        </w:rPr>
      </w:pPr>
      <w:bookmarkStart w:id="20" w:name="_Toc216128173"/>
      <w:r w:rsidRPr="00005374">
        <w:rPr>
          <w:rFonts w:cs="Arial"/>
          <w:lang w:val="en-GB"/>
        </w:rPr>
        <w:t>Section 4: Performance Evaluation Framework</w:t>
      </w:r>
      <w:bookmarkEnd w:id="20"/>
    </w:p>
    <w:p w:rsidR="00E10FF0" w:rsidRPr="00005374" w:rsidRDefault="00E10FF0" w:rsidP="00E10FF0">
      <w:pPr>
        <w:pStyle w:val="Heading2"/>
        <w:rPr>
          <w:rFonts w:cs="Arial"/>
          <w:lang w:val="en-GB"/>
        </w:rPr>
      </w:pPr>
      <w:bookmarkStart w:id="21" w:name="_Toc216128174"/>
      <w:r w:rsidRPr="00005374">
        <w:rPr>
          <w:rFonts w:cs="Arial"/>
          <w:lang w:val="en-GB"/>
        </w:rPr>
        <w:t>4.1 The Balanced Scorecard Framework</w:t>
      </w:r>
      <w:bookmarkStart w:id="22" w:name="_heading=h.8shgqjc4ftg" w:colFirst="0" w:colLast="0"/>
      <w:bookmarkEnd w:id="21"/>
      <w:bookmarkEnd w:id="22"/>
    </w:p>
    <w:tbl>
      <w:tblPr>
        <w:tblW w:w="102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40"/>
        <w:gridCol w:w="2445"/>
        <w:gridCol w:w="2265"/>
        <w:gridCol w:w="1780"/>
        <w:gridCol w:w="2530"/>
      </w:tblGrid>
      <w:tr w:rsidR="00E10FF0" w:rsidRPr="00005374" w:rsidTr="00106699">
        <w:trPr>
          <w:jc w:val="center"/>
        </w:trPr>
        <w:tc>
          <w:tcPr>
            <w:tcW w:w="1240" w:type="dxa"/>
            <w:tcMar>
              <w:top w:w="100" w:type="dxa"/>
              <w:left w:w="100" w:type="dxa"/>
              <w:bottom w:w="100" w:type="dxa"/>
              <w:right w:w="100" w:type="dxa"/>
            </w:tcMar>
          </w:tcPr>
          <w:p w:rsidR="00E10FF0" w:rsidRPr="00005374" w:rsidRDefault="00E10FF0" w:rsidP="00106699">
            <w:pPr>
              <w:widowControl w:val="0"/>
              <w:spacing w:line="240" w:lineRule="auto"/>
              <w:jc w:val="center"/>
              <w:rPr>
                <w:rFonts w:eastAsia="Times New Roman"/>
                <w:b/>
                <w:bCs/>
                <w:sz w:val="24"/>
                <w:szCs w:val="24"/>
                <w:lang w:val="en-GB"/>
              </w:rPr>
            </w:pPr>
            <w:r w:rsidRPr="00005374">
              <w:rPr>
                <w:rFonts w:eastAsia="Times New Roman"/>
                <w:b/>
                <w:bCs/>
                <w:sz w:val="24"/>
                <w:szCs w:val="24"/>
                <w:lang w:val="en-GB"/>
              </w:rPr>
              <w:t xml:space="preserve">Perspectives </w:t>
            </w:r>
          </w:p>
        </w:tc>
        <w:tc>
          <w:tcPr>
            <w:tcW w:w="2445" w:type="dxa"/>
            <w:tcMar>
              <w:top w:w="100" w:type="dxa"/>
              <w:left w:w="100" w:type="dxa"/>
              <w:bottom w:w="100" w:type="dxa"/>
              <w:right w:w="100" w:type="dxa"/>
            </w:tcMar>
          </w:tcPr>
          <w:p w:rsidR="00E10FF0" w:rsidRPr="00005374" w:rsidRDefault="00E10FF0" w:rsidP="00106699">
            <w:pPr>
              <w:widowControl w:val="0"/>
              <w:spacing w:line="240" w:lineRule="auto"/>
              <w:jc w:val="center"/>
              <w:rPr>
                <w:rFonts w:eastAsia="Times New Roman"/>
                <w:b/>
                <w:bCs/>
                <w:sz w:val="24"/>
                <w:szCs w:val="24"/>
                <w:lang w:val="en-GB"/>
              </w:rPr>
            </w:pPr>
            <w:r w:rsidRPr="00005374">
              <w:rPr>
                <w:rFonts w:eastAsia="Times New Roman"/>
                <w:b/>
                <w:bCs/>
                <w:sz w:val="24"/>
                <w:szCs w:val="24"/>
                <w:lang w:val="en-GB"/>
              </w:rPr>
              <w:t xml:space="preserve">Strategic objectives </w:t>
            </w:r>
          </w:p>
        </w:tc>
        <w:tc>
          <w:tcPr>
            <w:tcW w:w="2265" w:type="dxa"/>
            <w:tcMar>
              <w:top w:w="100" w:type="dxa"/>
              <w:left w:w="100" w:type="dxa"/>
              <w:bottom w:w="100" w:type="dxa"/>
              <w:right w:w="100" w:type="dxa"/>
            </w:tcMar>
          </w:tcPr>
          <w:p w:rsidR="00E10FF0" w:rsidRPr="00005374" w:rsidRDefault="00E10FF0" w:rsidP="00106699">
            <w:pPr>
              <w:widowControl w:val="0"/>
              <w:spacing w:line="240" w:lineRule="auto"/>
              <w:jc w:val="center"/>
              <w:rPr>
                <w:rFonts w:eastAsia="Times New Roman"/>
                <w:b/>
                <w:bCs/>
                <w:sz w:val="24"/>
                <w:szCs w:val="24"/>
                <w:lang w:val="en-GB"/>
              </w:rPr>
            </w:pPr>
            <w:r w:rsidRPr="00005374">
              <w:rPr>
                <w:rFonts w:eastAsia="Times New Roman"/>
                <w:b/>
                <w:bCs/>
                <w:sz w:val="24"/>
                <w:szCs w:val="24"/>
                <w:lang w:val="en-GB"/>
              </w:rPr>
              <w:t>KPIs</w:t>
            </w:r>
          </w:p>
        </w:tc>
        <w:tc>
          <w:tcPr>
            <w:tcW w:w="1780" w:type="dxa"/>
            <w:tcMar>
              <w:top w:w="100" w:type="dxa"/>
              <w:left w:w="100" w:type="dxa"/>
              <w:bottom w:w="100" w:type="dxa"/>
              <w:right w:w="100" w:type="dxa"/>
            </w:tcMar>
          </w:tcPr>
          <w:p w:rsidR="00E10FF0" w:rsidRPr="00005374" w:rsidRDefault="00E10FF0" w:rsidP="00106699">
            <w:pPr>
              <w:widowControl w:val="0"/>
              <w:spacing w:line="240" w:lineRule="auto"/>
              <w:jc w:val="center"/>
              <w:rPr>
                <w:rFonts w:eastAsia="Times New Roman"/>
                <w:b/>
                <w:bCs/>
                <w:sz w:val="24"/>
                <w:szCs w:val="24"/>
                <w:lang w:val="en-GB"/>
              </w:rPr>
            </w:pPr>
            <w:r w:rsidRPr="00005374">
              <w:rPr>
                <w:rFonts w:eastAsia="Times New Roman"/>
                <w:b/>
                <w:bCs/>
                <w:sz w:val="24"/>
                <w:szCs w:val="24"/>
                <w:lang w:val="en-GB"/>
              </w:rPr>
              <w:t xml:space="preserve">Success metrics </w:t>
            </w:r>
          </w:p>
        </w:tc>
        <w:tc>
          <w:tcPr>
            <w:tcW w:w="2530" w:type="dxa"/>
            <w:tcMar>
              <w:top w:w="100" w:type="dxa"/>
              <w:left w:w="100" w:type="dxa"/>
              <w:bottom w:w="100" w:type="dxa"/>
              <w:right w:w="100" w:type="dxa"/>
            </w:tcMar>
          </w:tcPr>
          <w:p w:rsidR="00E10FF0" w:rsidRPr="00005374" w:rsidRDefault="00E10FF0" w:rsidP="00106699">
            <w:pPr>
              <w:widowControl w:val="0"/>
              <w:spacing w:line="240" w:lineRule="auto"/>
              <w:jc w:val="center"/>
              <w:rPr>
                <w:rFonts w:eastAsia="Times New Roman"/>
                <w:b/>
                <w:bCs/>
                <w:sz w:val="24"/>
                <w:szCs w:val="24"/>
                <w:lang w:val="en-GB"/>
              </w:rPr>
            </w:pPr>
            <w:r w:rsidRPr="00005374">
              <w:rPr>
                <w:rFonts w:eastAsia="Times New Roman"/>
                <w:b/>
                <w:bCs/>
                <w:sz w:val="24"/>
                <w:szCs w:val="24"/>
                <w:lang w:val="en-GB"/>
              </w:rPr>
              <w:t>Rationale</w:t>
            </w:r>
          </w:p>
        </w:tc>
      </w:tr>
      <w:tr w:rsidR="00E10FF0" w:rsidRPr="00005374" w:rsidTr="00106699">
        <w:trPr>
          <w:jc w:val="center"/>
        </w:trPr>
        <w:tc>
          <w:tcPr>
            <w:tcW w:w="124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b/>
                <w:bCs/>
                <w:sz w:val="24"/>
                <w:szCs w:val="24"/>
                <w:lang w:val="en-GB"/>
              </w:rPr>
            </w:pPr>
            <w:r w:rsidRPr="00005374">
              <w:rPr>
                <w:rFonts w:eastAsia="Times New Roman"/>
                <w:b/>
                <w:bCs/>
                <w:sz w:val="24"/>
                <w:szCs w:val="24"/>
                <w:lang w:val="en-GB"/>
              </w:rPr>
              <w:t>Financial</w:t>
            </w:r>
          </w:p>
        </w:tc>
        <w:tc>
          <w:tcPr>
            <w:tcW w:w="2445"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To achieve profitable market entry.</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To maintain value-based pricing</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To build sustainable revenue streaming</w:t>
            </w:r>
          </w:p>
        </w:tc>
        <w:tc>
          <w:tcPr>
            <w:tcW w:w="2265"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Revenue growth from Australia.</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High gross-margin per product category.</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Online vs Offline sales ratio.</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4. ROI on marketing and influencer campaigning</w:t>
            </w:r>
          </w:p>
        </w:tc>
        <w:tc>
          <w:tcPr>
            <w:tcW w:w="178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10% increase in market share within 2 years.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Break-even within 12018 months.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20-30% growth in annual revenue.</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 xml:space="preserve">4. Positive ROI prior digital </w:t>
            </w:r>
            <w:r w:rsidRPr="00005374">
              <w:rPr>
                <w:rFonts w:eastAsia="Times New Roman"/>
                <w:sz w:val="24"/>
                <w:szCs w:val="24"/>
                <w:lang w:val="en-GB"/>
              </w:rPr>
              <w:lastRenderedPageBreak/>
              <w:t>campaigns</w:t>
            </w:r>
          </w:p>
        </w:tc>
        <w:tc>
          <w:tcPr>
            <w:tcW w:w="253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lastRenderedPageBreak/>
              <w:t xml:space="preserve">Measuring boAt’s strength to ensure conversion of market entry investment into a higher degree of financial returns (Morshed, 2024). boAt will ensure effective pricing that allows for penetration within the Australian market, aligning with high sustainability </w:t>
            </w:r>
            <w:r w:rsidRPr="00005374">
              <w:rPr>
                <w:rFonts w:eastAsia="Times New Roman"/>
                <w:sz w:val="24"/>
                <w:szCs w:val="24"/>
                <w:lang w:val="en-GB"/>
              </w:rPr>
              <w:lastRenderedPageBreak/>
              <w:t>efforts.</w:t>
            </w:r>
          </w:p>
        </w:tc>
      </w:tr>
      <w:tr w:rsidR="00E10FF0" w:rsidRPr="00005374" w:rsidTr="00106699">
        <w:trPr>
          <w:jc w:val="center"/>
        </w:trPr>
        <w:tc>
          <w:tcPr>
            <w:tcW w:w="124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b/>
                <w:bCs/>
                <w:sz w:val="24"/>
                <w:szCs w:val="24"/>
                <w:lang w:val="en-GB"/>
              </w:rPr>
            </w:pPr>
            <w:r w:rsidRPr="00005374">
              <w:rPr>
                <w:rFonts w:eastAsia="Times New Roman"/>
                <w:b/>
                <w:bCs/>
                <w:sz w:val="24"/>
                <w:szCs w:val="24"/>
                <w:lang w:val="en-GB"/>
              </w:rPr>
              <w:lastRenderedPageBreak/>
              <w:t>Customer</w:t>
            </w:r>
          </w:p>
        </w:tc>
        <w:tc>
          <w:tcPr>
            <w:tcW w:w="2445"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 xml:space="preserve">1. To build strong brand recognition </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To achieve long-term customer loyalty to drive competency in balancing customer-centric business operations.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To achieve a high degree of satisfaction and trust</w:t>
            </w:r>
          </w:p>
        </w:tc>
        <w:tc>
          <w:tcPr>
            <w:tcW w:w="2265"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Net Promoter Score determination.</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Customer ratings.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Growth related to social media engagement.</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4. Determination of product return and defect rates.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5. Repetitive purchasing rates.</w:t>
            </w:r>
          </w:p>
        </w:tc>
        <w:tc>
          <w:tcPr>
            <w:tcW w:w="178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NPS over 50 within the first year of expansion.</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4-star reviews and ratings through eBay.</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Ensuring returns less than 5%.</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 xml:space="preserve">4. 25% YoY growth prior to social media engagement </w:t>
            </w:r>
          </w:p>
        </w:tc>
        <w:tc>
          <w:tcPr>
            <w:tcW w:w="253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With which, boAt will be able to maximize its potential through connecting Australian consumers, along with communicating through strong product and service experience. On the other hand, strong customer value would be established by boAt through directly linking with customer loyalty and the application of the word-of-mouth approach (Marcos and Coelho, 2022).</w:t>
            </w:r>
          </w:p>
        </w:tc>
      </w:tr>
      <w:tr w:rsidR="00E10FF0" w:rsidRPr="00005374" w:rsidTr="00106699">
        <w:trPr>
          <w:jc w:val="center"/>
        </w:trPr>
        <w:tc>
          <w:tcPr>
            <w:tcW w:w="124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b/>
                <w:bCs/>
                <w:sz w:val="24"/>
                <w:szCs w:val="24"/>
                <w:lang w:val="en-GB"/>
              </w:rPr>
            </w:pPr>
            <w:r w:rsidRPr="00005374">
              <w:rPr>
                <w:rFonts w:eastAsia="Times New Roman"/>
                <w:b/>
                <w:bCs/>
                <w:sz w:val="24"/>
                <w:szCs w:val="24"/>
                <w:lang w:val="en-GB"/>
              </w:rPr>
              <w:t xml:space="preserve">Internal Business Processes </w:t>
            </w:r>
          </w:p>
        </w:tc>
        <w:tc>
          <w:tcPr>
            <w:tcW w:w="2445"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To improve competitive performance.</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To build an efficient inventory, logistics and supply chain.</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 xml:space="preserve">3. To ensure regular compliance to align </w:t>
            </w:r>
            <w:r w:rsidRPr="00005374">
              <w:rPr>
                <w:rFonts w:eastAsia="Times New Roman"/>
                <w:sz w:val="24"/>
                <w:szCs w:val="24"/>
                <w:lang w:val="en-GB"/>
              </w:rPr>
              <w:lastRenderedPageBreak/>
              <w:t>safety standards</w:t>
            </w:r>
          </w:p>
        </w:tc>
        <w:tc>
          <w:tcPr>
            <w:tcW w:w="2265"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lastRenderedPageBreak/>
              <w:t>1. Overall order fulfilment rate.</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Percentage of on-time deliveries on a weekly or monthly basis.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Measurement of inventory turnover rate.</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lastRenderedPageBreak/>
              <w:t>4. Number of customer service tickets.</w:t>
            </w:r>
          </w:p>
        </w:tc>
        <w:tc>
          <w:tcPr>
            <w:tcW w:w="178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lastRenderedPageBreak/>
              <w:t>1. Delivery within 2-3 days in metropolitan areas in Australia.</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Ensuring 95% deliveries are on-time.</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 xml:space="preserve">3. Full </w:t>
            </w:r>
            <w:r w:rsidRPr="00005374">
              <w:rPr>
                <w:rFonts w:eastAsia="Times New Roman"/>
                <w:sz w:val="24"/>
                <w:szCs w:val="24"/>
                <w:lang w:val="en-GB"/>
              </w:rPr>
              <w:lastRenderedPageBreak/>
              <w:t>compliance before launching.</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4. Ensuring the stock-out rate is less than 5%.</w:t>
            </w:r>
          </w:p>
        </w:tc>
        <w:tc>
          <w:tcPr>
            <w:tcW w:w="253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lastRenderedPageBreak/>
              <w:t xml:space="preserve">Through this, boAt will be able to operate efficiently within the new market. While it also engages in maintaining desired service levels and concerns to minimise service level risks </w:t>
            </w:r>
            <w:r w:rsidRPr="00005374">
              <w:rPr>
                <w:rFonts w:eastAsia="Times New Roman"/>
                <w:sz w:val="24"/>
                <w:szCs w:val="24"/>
                <w:lang w:val="en-GB"/>
              </w:rPr>
              <w:lastRenderedPageBreak/>
              <w:t xml:space="preserve">(Osborne </w:t>
            </w:r>
            <w:r w:rsidRPr="00005374">
              <w:rPr>
                <w:rFonts w:eastAsia="Times New Roman"/>
                <w:i/>
                <w:iCs/>
                <w:sz w:val="24"/>
                <w:szCs w:val="24"/>
                <w:lang w:val="en-GB"/>
              </w:rPr>
              <w:t xml:space="preserve">et al. </w:t>
            </w:r>
            <w:r w:rsidRPr="00005374">
              <w:rPr>
                <w:rFonts w:eastAsia="Times New Roman"/>
                <w:sz w:val="24"/>
                <w:szCs w:val="24"/>
                <w:lang w:val="en-GB"/>
              </w:rPr>
              <w:t>2022). This perspective will shape customers' experience and deal with regulatory standing.</w:t>
            </w:r>
          </w:p>
        </w:tc>
      </w:tr>
      <w:tr w:rsidR="00E10FF0" w:rsidRPr="00005374" w:rsidTr="00106699">
        <w:trPr>
          <w:jc w:val="center"/>
        </w:trPr>
        <w:tc>
          <w:tcPr>
            <w:tcW w:w="124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b/>
                <w:bCs/>
                <w:sz w:val="24"/>
                <w:szCs w:val="24"/>
                <w:lang w:val="en-GB"/>
              </w:rPr>
            </w:pPr>
            <w:r w:rsidRPr="00005374">
              <w:rPr>
                <w:rFonts w:eastAsia="Times New Roman"/>
                <w:b/>
                <w:bCs/>
                <w:sz w:val="24"/>
                <w:szCs w:val="24"/>
                <w:lang w:val="en-GB"/>
              </w:rPr>
              <w:lastRenderedPageBreak/>
              <w:t xml:space="preserve">Learning &amp; Growth </w:t>
            </w:r>
          </w:p>
        </w:tc>
        <w:tc>
          <w:tcPr>
            <w:tcW w:w="2445"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To strengthen the capabilities of employees to drive competencies.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To ensure continuous innovation to maximize business development potential.</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To optimise localisation competencies.</w:t>
            </w:r>
          </w:p>
        </w:tc>
        <w:tc>
          <w:tcPr>
            <w:tcW w:w="2265"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Total timing for employee training</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2. Recruitment from the local teams.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Determination of new product development lifecycle.</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4. Application of knowledge sharing practices or initiatives.</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5. Number of Australia-specific product features.</w:t>
            </w:r>
          </w:p>
        </w:tc>
        <w:tc>
          <w:tcPr>
            <w:tcW w:w="178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1. Launching Australia-specific models annually.</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 xml:space="preserve">2. 90+ training hours per employee </w:t>
            </w:r>
          </w:p>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3. Local marketing optimization and development of the service team within the first year.</w:t>
            </w:r>
          </w:p>
        </w:tc>
        <w:tc>
          <w:tcPr>
            <w:tcW w:w="2530" w:type="dxa"/>
            <w:tcMar>
              <w:top w:w="100" w:type="dxa"/>
              <w:left w:w="100" w:type="dxa"/>
              <w:bottom w:w="100" w:type="dxa"/>
              <w:right w:w="100" w:type="dxa"/>
            </w:tcMar>
          </w:tcPr>
          <w:p w:rsidR="00E10FF0" w:rsidRPr="00005374" w:rsidRDefault="00E10FF0" w:rsidP="00106699">
            <w:pPr>
              <w:widowControl w:val="0"/>
              <w:spacing w:line="360" w:lineRule="auto"/>
              <w:jc w:val="both"/>
              <w:rPr>
                <w:rFonts w:eastAsia="Times New Roman"/>
                <w:sz w:val="24"/>
                <w:szCs w:val="24"/>
                <w:lang w:val="en-GB"/>
              </w:rPr>
            </w:pPr>
            <w:r w:rsidRPr="00005374">
              <w:rPr>
                <w:rFonts w:eastAsia="Times New Roman"/>
                <w:sz w:val="24"/>
                <w:szCs w:val="24"/>
                <w:lang w:val="en-GB"/>
              </w:rPr>
              <w:t>It will support long-term competitiveness through empowering boAt to deal with the adoption of local consumer needs and ensuring contribution to organisational capabilities that lead to sustained international growth effectively (Bari et al.  2022).</w:t>
            </w:r>
          </w:p>
        </w:tc>
      </w:tr>
    </w:tbl>
    <w:p w:rsidR="00E10FF0" w:rsidRPr="00005374" w:rsidRDefault="00E10FF0" w:rsidP="00E10FF0">
      <w:pPr>
        <w:pStyle w:val="Heading2"/>
        <w:jc w:val="center"/>
        <w:rPr>
          <w:rFonts w:cs="Arial"/>
          <w:lang w:val="en-GB"/>
        </w:rPr>
      </w:pPr>
      <w:bookmarkStart w:id="23" w:name="_heading=h.6s8bbukum97" w:colFirst="0" w:colLast="0"/>
      <w:bookmarkStart w:id="24" w:name="_Toc216128175"/>
      <w:bookmarkEnd w:id="23"/>
      <w:r w:rsidRPr="00005374">
        <w:rPr>
          <w:rFonts w:cs="Arial"/>
          <w:lang w:val="en-GB"/>
        </w:rPr>
        <w:t>Table 5: Balanced Scorecard for boAt</w:t>
      </w:r>
      <w:bookmarkEnd w:id="24"/>
    </w:p>
    <w:p w:rsidR="00E10FF0"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 xml:space="preserve">(Source: Self-created) </w:t>
      </w:r>
    </w:p>
    <w:p w:rsidR="00A12F2E" w:rsidRDefault="00A12F2E" w:rsidP="00E10FF0">
      <w:pPr>
        <w:spacing w:line="360" w:lineRule="auto"/>
        <w:jc w:val="center"/>
        <w:rPr>
          <w:rFonts w:eastAsia="Times New Roman"/>
          <w:sz w:val="24"/>
          <w:szCs w:val="24"/>
          <w:lang w:val="en-GB"/>
        </w:rPr>
      </w:pPr>
    </w:p>
    <w:p w:rsidR="00A12F2E" w:rsidRDefault="00A12F2E" w:rsidP="00E10FF0">
      <w:pPr>
        <w:spacing w:line="360" w:lineRule="auto"/>
        <w:jc w:val="center"/>
        <w:rPr>
          <w:rFonts w:eastAsia="Times New Roman"/>
          <w:sz w:val="24"/>
          <w:szCs w:val="24"/>
          <w:lang w:val="en-GB"/>
        </w:rPr>
      </w:pPr>
    </w:p>
    <w:p w:rsidR="00A12F2E" w:rsidRPr="00005374" w:rsidRDefault="00A12F2E" w:rsidP="00E10FF0">
      <w:pPr>
        <w:spacing w:line="360" w:lineRule="auto"/>
        <w:jc w:val="center"/>
        <w:rPr>
          <w:rFonts w:eastAsia="Times New Roman"/>
          <w:sz w:val="24"/>
          <w:szCs w:val="24"/>
          <w:lang w:val="en-GB"/>
        </w:rPr>
      </w:pPr>
    </w:p>
    <w:p w:rsidR="00E10FF0" w:rsidRPr="00005374" w:rsidRDefault="00E10FF0" w:rsidP="00E10FF0">
      <w:pPr>
        <w:pStyle w:val="Heading2"/>
        <w:rPr>
          <w:rFonts w:cs="Arial"/>
          <w:lang w:val="en-GB"/>
        </w:rPr>
      </w:pPr>
      <w:bookmarkStart w:id="25" w:name="_Toc216128176"/>
      <w:r w:rsidRPr="00005374">
        <w:rPr>
          <w:rFonts w:cs="Arial"/>
          <w:lang w:val="en-GB"/>
        </w:rPr>
        <w:lastRenderedPageBreak/>
        <w:t>4.2 Triple Bottom Line (TBL) Integration</w:t>
      </w:r>
      <w:bookmarkEnd w:id="25"/>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In case of expansion into the Australian market, the boat's strategy can integrate the Triple Bottom Line (TBL), ensuring balance in People, Planet and Profit dimensions. </w:t>
      </w:r>
    </w:p>
    <w:p w:rsidR="00E10FF0"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 xml:space="preserve">People: </w:t>
      </w:r>
      <w:r w:rsidRPr="00005374">
        <w:rPr>
          <w:rFonts w:eastAsia="Times New Roman"/>
          <w:sz w:val="24"/>
          <w:szCs w:val="24"/>
          <w:lang w:val="en-GB"/>
        </w:rPr>
        <w:t>boAt must focus on improving its customer well-being through offering affordable, safe and high-quality products that are compliant with EESS standards (</w:t>
      </w:r>
      <w:r w:rsidRPr="00005374">
        <w:rPr>
          <w:rFonts w:eastAsia="Times New Roman"/>
          <w:sz w:val="24"/>
          <w:szCs w:val="24"/>
          <w:highlight w:val="white"/>
          <w:lang w:val="en-GB"/>
        </w:rPr>
        <w:t>Nicolini, 2022</w:t>
      </w:r>
      <w:r w:rsidRPr="00005374">
        <w:rPr>
          <w:rFonts w:eastAsia="Times New Roman"/>
          <w:sz w:val="24"/>
          <w:szCs w:val="24"/>
          <w:lang w:val="en-GB"/>
        </w:rPr>
        <w:t>). In this aspect, ethical labour practices, such as its India-based manufacturing and improvement in after-sales services in Australia, can support social responsibility. Tracxn (2025) revealed that the strong workforce with 501 employees and its scalable supply chain across India and China that develops operational efficiency, which is subject to international expansion.</w:t>
      </w:r>
    </w:p>
    <w:p w:rsidR="00A12F2E" w:rsidRPr="00005374" w:rsidRDefault="00A12F2E" w:rsidP="00E10FF0">
      <w:pPr>
        <w:spacing w:line="360" w:lineRule="auto"/>
        <w:jc w:val="both"/>
        <w:rPr>
          <w:rFonts w:eastAsia="Times New Roman"/>
          <w:sz w:val="24"/>
          <w:szCs w:val="24"/>
          <w:lang w:val="en-GB"/>
        </w:rPr>
      </w:pPr>
    </w:p>
    <w:p w:rsidR="00E10FF0"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 xml:space="preserve">Planet: </w:t>
      </w:r>
      <w:r w:rsidRPr="00005374">
        <w:rPr>
          <w:rFonts w:eastAsia="Times New Roman"/>
          <w:sz w:val="24"/>
          <w:szCs w:val="24"/>
          <w:lang w:val="en-GB"/>
        </w:rPr>
        <w:t>Integration of eco-friendly packaging, integration of energy-efficient materials and engagement in e-waste and product-stewardship initiatives in Australia can help in reducing environmental impact (</w:t>
      </w:r>
      <w:r w:rsidRPr="00005374">
        <w:rPr>
          <w:rFonts w:eastAsia="Times New Roman"/>
          <w:sz w:val="24"/>
          <w:szCs w:val="24"/>
          <w:highlight w:val="white"/>
          <w:lang w:val="en-GB"/>
        </w:rPr>
        <w:t>Noe, 2023</w:t>
      </w:r>
      <w:r w:rsidRPr="00005374">
        <w:rPr>
          <w:rFonts w:eastAsia="Times New Roman"/>
          <w:sz w:val="24"/>
          <w:szCs w:val="24"/>
          <w:lang w:val="en-GB"/>
        </w:rPr>
        <w:t>). The financial aspect indicators analysis goal of boAt is to have a profitable and sustainable entry into the Australian market. The KPIs (revenue growth, gross margins, sales channel ratio and marketing ROI) are selected in strategic ways, enabling the assessment of the organisation’s capability to transform its investment into real results. A target goal such as the attainment of a market share of 10 % within two years, break even within 12-18 months is effective with regard to growth directions. According to Morshed (2024), such ratios support the position held by boAt with regard to using pricing strategies and financial planning to ensure long-term profitability.</w:t>
      </w:r>
    </w:p>
    <w:p w:rsidR="00A12F2E" w:rsidRPr="00005374" w:rsidRDefault="00A12F2E" w:rsidP="00E10FF0">
      <w:pPr>
        <w:spacing w:line="360" w:lineRule="auto"/>
        <w:jc w:val="both"/>
        <w:rPr>
          <w:rFonts w:eastAsia="Times New Roman"/>
          <w:sz w:val="24"/>
          <w:szCs w:val="24"/>
          <w:lang w:val="en-GB"/>
        </w:rPr>
      </w:pPr>
    </w:p>
    <w:p w:rsidR="00E10FF0" w:rsidRPr="00005374" w:rsidRDefault="00E10FF0" w:rsidP="00E10FF0">
      <w:pPr>
        <w:spacing w:line="360" w:lineRule="auto"/>
        <w:jc w:val="both"/>
        <w:rPr>
          <w:rFonts w:eastAsia="Times New Roman"/>
          <w:sz w:val="24"/>
          <w:szCs w:val="24"/>
          <w:lang w:val="en-GB"/>
        </w:rPr>
      </w:pPr>
      <w:r w:rsidRPr="00005374">
        <w:rPr>
          <w:rFonts w:eastAsia="Times New Roman"/>
          <w:b/>
          <w:bCs/>
          <w:sz w:val="24"/>
          <w:szCs w:val="24"/>
          <w:lang w:val="en-GB"/>
        </w:rPr>
        <w:t>Profit:</w:t>
      </w:r>
      <w:r w:rsidRPr="00005374">
        <w:rPr>
          <w:rFonts w:eastAsia="Times New Roman"/>
          <w:sz w:val="24"/>
          <w:szCs w:val="24"/>
          <w:lang w:val="en-GB"/>
        </w:rPr>
        <w:t xml:space="preserve"> Through penetrating a high-income, tech-savvy market in Australia, boAt can drive its revenue streams, engaging in strengthening profit margins through the creation of premium product lines in terms of ensuring long-term sustainable financial performance (Fintechbiznews, 2025). The international market of audio accessories in Australia is quite large, with a value of some AUD 450 million (‌Masso, 2025), which is a great opportunity. It will progress by using real-time sales data analytics based on in-built CRM systems in terms of geographical penetration across Sydney, Melbourne, Brisbane and Perth, which are 60 % of Australian consumer electronics spending. Customer impact dimension </w:t>
      </w:r>
      <w:r w:rsidRPr="00005374">
        <w:rPr>
          <w:rFonts w:eastAsia="Times New Roman"/>
          <w:sz w:val="24"/>
          <w:szCs w:val="24"/>
          <w:lang w:val="en-GB"/>
        </w:rPr>
        <w:lastRenderedPageBreak/>
        <w:t>evaluates the ability of boAt to build a brand equity and consumer confidence in a market characterise by the Net Promoter Score (NPS) of over 50 in the first year is measurably an indicator of the customer advocacy and satisfaction rates (BoatUS, 2025).</w:t>
      </w:r>
    </w:p>
    <w:p w:rsidR="00E10FF0" w:rsidRPr="00005374" w:rsidRDefault="00E10FF0" w:rsidP="00E10FF0">
      <w:pPr>
        <w:spacing w:line="360" w:lineRule="auto"/>
        <w:jc w:val="center"/>
        <w:rPr>
          <w:rFonts w:eastAsia="Times New Roman"/>
          <w:sz w:val="24"/>
          <w:szCs w:val="24"/>
          <w:lang w:val="en-GB"/>
        </w:rPr>
      </w:pPr>
      <w:r w:rsidRPr="00005374">
        <w:rPr>
          <w:rFonts w:eastAsia="Times New Roman"/>
          <w:noProof/>
          <w:sz w:val="24"/>
          <w:szCs w:val="24"/>
          <w:lang w:val="en-IN" w:eastAsia="en-IN"/>
        </w:rPr>
        <w:drawing>
          <wp:inline distT="114300" distB="114300" distL="114300" distR="114300" wp14:anchorId="126F804F" wp14:editId="5A9A0A06">
            <wp:extent cx="5286375" cy="2750269"/>
            <wp:effectExtent l="0" t="0" r="0" b="0"/>
            <wp:docPr id="2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286375" cy="2750269"/>
                    </a:xfrm>
                    <a:prstGeom prst="rect">
                      <a:avLst/>
                    </a:prstGeom>
                    <a:ln/>
                  </pic:spPr>
                </pic:pic>
              </a:graphicData>
            </a:graphic>
          </wp:inline>
        </w:drawing>
      </w:r>
    </w:p>
    <w:p w:rsidR="00E10FF0" w:rsidRPr="00005374" w:rsidRDefault="00E10FF0" w:rsidP="00E10FF0">
      <w:pPr>
        <w:spacing w:line="360" w:lineRule="auto"/>
        <w:jc w:val="center"/>
        <w:rPr>
          <w:rFonts w:eastAsia="Times New Roman"/>
          <w:b/>
          <w:bCs/>
          <w:sz w:val="24"/>
          <w:szCs w:val="24"/>
          <w:lang w:val="en-GB"/>
        </w:rPr>
      </w:pPr>
      <w:r w:rsidRPr="00005374">
        <w:rPr>
          <w:rFonts w:eastAsia="Times New Roman"/>
          <w:b/>
          <w:bCs/>
          <w:sz w:val="24"/>
          <w:szCs w:val="24"/>
          <w:lang w:val="en-GB"/>
        </w:rPr>
        <w:t xml:space="preserve">Figure 12: Triple Bottom Line (TBL) </w:t>
      </w:r>
    </w:p>
    <w:p w:rsidR="00E10FF0" w:rsidRDefault="00E10FF0" w:rsidP="00E10FF0">
      <w:pPr>
        <w:spacing w:line="360" w:lineRule="auto"/>
        <w:jc w:val="center"/>
        <w:rPr>
          <w:rFonts w:eastAsia="Times New Roman"/>
          <w:sz w:val="24"/>
          <w:szCs w:val="24"/>
          <w:lang w:val="en-GB"/>
        </w:rPr>
      </w:pPr>
      <w:r w:rsidRPr="00005374">
        <w:rPr>
          <w:rFonts w:eastAsia="Times New Roman"/>
          <w:sz w:val="24"/>
          <w:szCs w:val="24"/>
          <w:lang w:val="en-GB"/>
        </w:rPr>
        <w:t>(Source: Collins, 2024)</w:t>
      </w:r>
    </w:p>
    <w:p w:rsidR="00A12F2E" w:rsidRPr="00005374" w:rsidRDefault="00A12F2E" w:rsidP="00E10FF0">
      <w:pPr>
        <w:spacing w:line="360" w:lineRule="auto"/>
        <w:jc w:val="center"/>
        <w:rPr>
          <w:rFonts w:eastAsia="Times New Roman"/>
          <w:sz w:val="24"/>
          <w:szCs w:val="24"/>
          <w:lang w:val="en-GB"/>
        </w:rPr>
      </w:pPr>
    </w:p>
    <w:p w:rsidR="00E10FF0" w:rsidRPr="00005374" w:rsidRDefault="00E10FF0" w:rsidP="00E10FF0">
      <w:pPr>
        <w:pStyle w:val="Heading2"/>
        <w:rPr>
          <w:rFonts w:cs="Arial"/>
          <w:lang w:val="en-GB"/>
        </w:rPr>
      </w:pPr>
      <w:bookmarkStart w:id="26" w:name="_Toc216128177"/>
      <w:r w:rsidRPr="00005374">
        <w:rPr>
          <w:rFonts w:cs="Arial"/>
          <w:lang w:val="en-GB"/>
        </w:rPr>
        <w:t>4.3 Monitoring and Mechanisms of Governance</w:t>
      </w:r>
      <w:bookmarkEnd w:id="26"/>
      <w:r w:rsidRPr="00005374">
        <w:rPr>
          <w:rFonts w:cs="Arial"/>
          <w:lang w:val="en-GB"/>
        </w:rPr>
        <w:t xml:space="preserve"> </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Effective monitoring and governance have greater importance to ensure long-term success in Australia. boAt should focus on the establishment of a compliance management in regard to overseeing EESS certification, sustainability reporting, along with data protection requirements. In this aspect, a cross-functional governance committee will be involved in monitoring product quality, supplier performance, along with environmental commitments (</w:t>
      </w:r>
      <w:r w:rsidRPr="00005374">
        <w:rPr>
          <w:rFonts w:eastAsia="Times New Roman"/>
          <w:sz w:val="24"/>
          <w:szCs w:val="24"/>
          <w:highlight w:val="white"/>
          <w:lang w:val="en-GB"/>
        </w:rPr>
        <w:t xml:space="preserve">Seyi-Lande </w:t>
      </w:r>
      <w:r w:rsidRPr="00005374">
        <w:rPr>
          <w:rFonts w:eastAsia="Times New Roman"/>
          <w:i/>
          <w:iCs/>
          <w:sz w:val="24"/>
          <w:szCs w:val="24"/>
          <w:highlight w:val="white"/>
          <w:lang w:val="en-GB"/>
        </w:rPr>
        <w:t>et al.</w:t>
      </w:r>
      <w:r w:rsidRPr="00005374">
        <w:rPr>
          <w:rFonts w:eastAsia="Times New Roman"/>
          <w:sz w:val="24"/>
          <w:szCs w:val="24"/>
          <w:highlight w:val="white"/>
          <w:lang w:val="en-GB"/>
        </w:rPr>
        <w:t xml:space="preserve"> 2022</w:t>
      </w:r>
      <w:r w:rsidRPr="00005374">
        <w:rPr>
          <w:rFonts w:eastAsia="Times New Roman"/>
          <w:sz w:val="24"/>
          <w:szCs w:val="24"/>
          <w:lang w:val="en-GB"/>
        </w:rPr>
        <w:t xml:space="preserve">). </w:t>
      </w:r>
    </w:p>
    <w:p w:rsidR="00E10FF0" w:rsidRDefault="00E10FF0" w:rsidP="00E10FF0">
      <w:pPr>
        <w:spacing w:line="360" w:lineRule="auto"/>
        <w:jc w:val="both"/>
        <w:rPr>
          <w:rFonts w:eastAsia="Times New Roman"/>
          <w:sz w:val="24"/>
          <w:szCs w:val="24"/>
          <w:lang w:val="en-GB"/>
        </w:rPr>
      </w:pPr>
      <w:r w:rsidRPr="00005374">
        <w:rPr>
          <w:rFonts w:eastAsia="Times New Roman"/>
          <w:sz w:val="24"/>
          <w:szCs w:val="24"/>
          <w:lang w:val="en-GB"/>
        </w:rPr>
        <w:t xml:space="preserve">In this aspect, Key performance indicators (KPIs) such as market share growth, customer satisfaction scores, carbon footprint reduction and service turnaround time needs to be tracked quarterly. As per the aspect of customer loyalty measures, the ease of monitoring repeat purchases so social media listening tools (Sprout Social and Hootsuite) will allow real-time tracking of brand sentiment and engagement rates in the Instagram, Facebook and TikTok clientele that boAt plans to utilise as the primary target market. Moreover, third-party logistics partners in Sydney and Melbourne to fulfil its goals of integration to </w:t>
      </w:r>
      <w:r w:rsidRPr="00005374">
        <w:rPr>
          <w:rFonts w:eastAsia="Times New Roman"/>
          <w:sz w:val="24"/>
          <w:szCs w:val="24"/>
          <w:lang w:val="en-GB"/>
        </w:rPr>
        <w:lastRenderedPageBreak/>
        <w:t>provide real-time visibility of its performance in delivery against its goals of 2–3-day metropolitan delivery.</w:t>
      </w:r>
    </w:p>
    <w:p w:rsidR="00A12F2E" w:rsidRDefault="00A12F2E" w:rsidP="00E10FF0">
      <w:pPr>
        <w:spacing w:line="360" w:lineRule="auto"/>
        <w:jc w:val="both"/>
        <w:rPr>
          <w:rFonts w:eastAsia="Times New Roman"/>
          <w:sz w:val="24"/>
          <w:szCs w:val="24"/>
          <w:lang w:val="en-GB"/>
        </w:rPr>
      </w:pPr>
    </w:p>
    <w:p w:rsidR="00A12F2E" w:rsidRDefault="00A12F2E" w:rsidP="00E10FF0">
      <w:pPr>
        <w:spacing w:line="360" w:lineRule="auto"/>
        <w:jc w:val="both"/>
        <w:rPr>
          <w:rFonts w:eastAsia="Times New Roman"/>
          <w:sz w:val="24"/>
          <w:szCs w:val="24"/>
          <w:lang w:val="en-GB"/>
        </w:rPr>
      </w:pPr>
    </w:p>
    <w:p w:rsidR="00A12F2E" w:rsidRDefault="00A12F2E" w:rsidP="00E10FF0">
      <w:pPr>
        <w:spacing w:line="360" w:lineRule="auto"/>
        <w:jc w:val="both"/>
        <w:rPr>
          <w:rFonts w:eastAsia="Times New Roman"/>
          <w:sz w:val="24"/>
          <w:szCs w:val="24"/>
          <w:lang w:val="en-GB"/>
        </w:rPr>
      </w:pPr>
    </w:p>
    <w:p w:rsidR="00A12F2E" w:rsidRDefault="00A12F2E" w:rsidP="00E10FF0">
      <w:pPr>
        <w:spacing w:line="360" w:lineRule="auto"/>
        <w:jc w:val="both"/>
        <w:rPr>
          <w:rFonts w:eastAsia="Times New Roman"/>
          <w:sz w:val="24"/>
          <w:szCs w:val="24"/>
          <w:lang w:val="en-GB"/>
        </w:rPr>
      </w:pPr>
    </w:p>
    <w:p w:rsidR="00A12F2E" w:rsidRDefault="00A12F2E" w:rsidP="00E10FF0">
      <w:pPr>
        <w:spacing w:line="360" w:lineRule="auto"/>
        <w:jc w:val="both"/>
        <w:rPr>
          <w:rFonts w:eastAsia="Times New Roman"/>
          <w:sz w:val="24"/>
          <w:szCs w:val="24"/>
          <w:lang w:val="en-GB"/>
        </w:rPr>
      </w:pPr>
    </w:p>
    <w:p w:rsidR="00A12F2E" w:rsidRDefault="00A12F2E" w:rsidP="00E10FF0">
      <w:pPr>
        <w:spacing w:line="360" w:lineRule="auto"/>
        <w:jc w:val="both"/>
        <w:rPr>
          <w:rFonts w:eastAsia="Times New Roman"/>
          <w:sz w:val="24"/>
          <w:szCs w:val="24"/>
          <w:lang w:val="en-GB"/>
        </w:rPr>
      </w:pPr>
      <w:bookmarkStart w:id="27" w:name="_GoBack"/>
      <w:bookmarkEnd w:id="27"/>
    </w:p>
    <w:p w:rsidR="00A12F2E" w:rsidRPr="00005374" w:rsidRDefault="00A12F2E" w:rsidP="00E10FF0">
      <w:pPr>
        <w:spacing w:line="360" w:lineRule="auto"/>
        <w:jc w:val="both"/>
        <w:rPr>
          <w:rFonts w:eastAsia="Times New Roman"/>
          <w:sz w:val="24"/>
          <w:szCs w:val="24"/>
          <w:lang w:val="en-GB"/>
        </w:rPr>
      </w:pPr>
    </w:p>
    <w:p w:rsidR="00E10FF0" w:rsidRPr="00005374" w:rsidRDefault="00E10FF0" w:rsidP="00E10FF0">
      <w:pPr>
        <w:pStyle w:val="Heading1"/>
        <w:rPr>
          <w:rFonts w:cs="Arial"/>
          <w:lang w:val="en-GB"/>
        </w:rPr>
      </w:pPr>
      <w:bookmarkStart w:id="28" w:name="_Toc216128178"/>
      <w:r w:rsidRPr="00005374">
        <w:rPr>
          <w:rFonts w:cs="Arial"/>
          <w:lang w:val="en-GB"/>
        </w:rPr>
        <w:t>Conclusion</w:t>
      </w:r>
      <w:bookmarkEnd w:id="28"/>
      <w:r w:rsidRPr="00005374">
        <w:rPr>
          <w:rFonts w:cs="Arial"/>
          <w:lang w:val="en-GB"/>
        </w:rPr>
        <w:t xml:space="preserve"> </w:t>
      </w:r>
    </w:p>
    <w:p w:rsidR="00E10FF0" w:rsidRPr="00005374" w:rsidRDefault="00E10FF0" w:rsidP="00E10FF0">
      <w:pPr>
        <w:spacing w:line="360" w:lineRule="auto"/>
        <w:jc w:val="both"/>
        <w:rPr>
          <w:rFonts w:eastAsia="Times New Roman"/>
          <w:sz w:val="24"/>
          <w:szCs w:val="24"/>
          <w:lang w:val="en-GB"/>
        </w:rPr>
      </w:pPr>
      <w:r w:rsidRPr="00005374">
        <w:rPr>
          <w:rFonts w:eastAsia="Times New Roman"/>
          <w:sz w:val="24"/>
          <w:szCs w:val="24"/>
          <w:lang w:val="en-GB"/>
        </w:rPr>
        <w:t>Thus, it can be concluded that boAt engage in holding strong potential in regard to successful expansion across Australia. High technological adoption and growing demand for affordability can allow it to deal with expansion into the Australian market to gain competencies.  It can be interpreted that while boAt’s pricing strategy reflects affordability, which also creates an opportunity for the target audiences. The evaluation of gross margins per product category will be a direct indicator of the capacity of boAt to continue with its value positioning strategy against its competitors who represent high-end brands with a 68% market share. Throughout the report, I have developed an analysis based on how the external opportunities in Australia can encourage boAt to maintain business stability. For this purpose, the balanced scorecard analysis is developed and it becomes crucial to have an idea regarding the strategies through which the company’s performance in the new country is measured. Focusing on innovation and integration of the Triple Bottom Line model can allow for communicating with market stability.</w:t>
      </w:r>
    </w:p>
    <w:p w:rsidR="00E10FF0" w:rsidRPr="00005374" w:rsidRDefault="00E10FF0" w:rsidP="00E10FF0">
      <w:pPr>
        <w:spacing w:line="360" w:lineRule="auto"/>
        <w:jc w:val="both"/>
        <w:rPr>
          <w:rFonts w:ascii="Times New Roman" w:eastAsia="Times New Roman" w:hAnsi="Times New Roman" w:cs="Times New Roman"/>
          <w:sz w:val="24"/>
          <w:szCs w:val="24"/>
          <w:lang w:val="en-GB"/>
        </w:rPr>
      </w:pPr>
    </w:p>
    <w:p w:rsidR="00E10FF0" w:rsidRPr="00005374" w:rsidRDefault="00E10FF0" w:rsidP="00E10FF0">
      <w:pPr>
        <w:spacing w:line="360" w:lineRule="auto"/>
        <w:jc w:val="both"/>
        <w:rPr>
          <w:rFonts w:ascii="Times New Roman" w:eastAsia="Times New Roman" w:hAnsi="Times New Roman" w:cs="Times New Roman"/>
          <w:b/>
          <w:bCs/>
          <w:sz w:val="24"/>
          <w:szCs w:val="24"/>
          <w:lang w:val="en-GB"/>
        </w:rPr>
      </w:pPr>
      <w:r w:rsidRPr="00005374">
        <w:rPr>
          <w:lang w:val="en-GB"/>
        </w:rPr>
        <w:br w:type="page"/>
      </w:r>
    </w:p>
    <w:p w:rsidR="00E10FF0" w:rsidRPr="00005374" w:rsidRDefault="00E10FF0" w:rsidP="00E10FF0">
      <w:pPr>
        <w:pStyle w:val="Heading1"/>
        <w:rPr>
          <w:lang w:val="en-GB"/>
        </w:rPr>
      </w:pPr>
      <w:bookmarkStart w:id="29" w:name="_Toc216128179"/>
      <w:r w:rsidRPr="00005374">
        <w:rPr>
          <w:lang w:val="en-GB"/>
        </w:rPr>
        <w:lastRenderedPageBreak/>
        <w:t>References</w:t>
      </w:r>
      <w:bookmarkEnd w:id="29"/>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360researchreports.com. (2025). </w:t>
      </w:r>
      <w:r w:rsidRPr="00005374">
        <w:rPr>
          <w:rFonts w:eastAsia="Times New Roman"/>
          <w:i/>
          <w:iCs/>
          <w:sz w:val="24"/>
          <w:szCs w:val="24"/>
          <w:lang w:val="en-GB"/>
        </w:rPr>
        <w:t>Wireless Speaker Market Size, Share &amp; Trends Analysis, 2034</w:t>
      </w:r>
      <w:r w:rsidRPr="00005374">
        <w:rPr>
          <w:rFonts w:eastAsia="Times New Roman"/>
          <w:sz w:val="24"/>
          <w:szCs w:val="24"/>
          <w:lang w:val="en-GB"/>
        </w:rPr>
        <w:t>. [Online] Available at: https://www.360researchreports.com/market-reports/wireless-speaker-market-201247 [Accessed 27 Nov. 2025].</w:t>
      </w:r>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t xml:space="preserve">Alam, Q. and Grose, R. (2022). Harvey Norman: A competitive business model. In </w:t>
      </w:r>
      <w:r w:rsidRPr="00005374">
        <w:rPr>
          <w:rFonts w:eastAsia="Times New Roman"/>
          <w:i/>
          <w:iCs/>
          <w:sz w:val="24"/>
          <w:szCs w:val="24"/>
          <w:highlight w:val="white"/>
          <w:lang w:val="en-GB"/>
        </w:rPr>
        <w:t>Regional Businesses in a Changing Global Economy</w:t>
      </w:r>
      <w:r w:rsidRPr="00005374">
        <w:rPr>
          <w:rFonts w:eastAsia="Times New Roman"/>
          <w:sz w:val="24"/>
          <w:szCs w:val="24"/>
          <w:highlight w:val="white"/>
          <w:lang w:val="en-GB"/>
        </w:rPr>
        <w:t xml:space="preserve"> (pp. 133-147). Routledge.</w:t>
      </w:r>
      <w:r w:rsidRPr="00005374">
        <w:rPr>
          <w:rFonts w:eastAsia="Times New Roman"/>
          <w:sz w:val="24"/>
          <w:szCs w:val="24"/>
          <w:lang w:val="en-GB"/>
        </w:rPr>
        <w:t xml:space="preserve"> </w:t>
      </w:r>
      <w:hyperlink r:id="rId18">
        <w:r w:rsidRPr="00005374">
          <w:rPr>
            <w:rFonts w:eastAsia="Times New Roman"/>
            <w:sz w:val="24"/>
            <w:szCs w:val="24"/>
            <w:highlight w:val="white"/>
            <w:u w:val="single"/>
            <w:lang w:val="en-GB"/>
          </w:rPr>
          <w:t>https://www.taylorfrancis.com/chapters/edit/10.4324/9781003256717-11/harvey-norman-quamrul-alam-robert-grose</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Anbacadvisors (2025) </w:t>
      </w:r>
      <w:r w:rsidRPr="00005374">
        <w:rPr>
          <w:rFonts w:eastAsia="Times New Roman"/>
          <w:i/>
          <w:iCs/>
          <w:sz w:val="24"/>
          <w:szCs w:val="24"/>
          <w:lang w:val="en-GB"/>
        </w:rPr>
        <w:t>Blog</w:t>
      </w:r>
      <w:r w:rsidRPr="00005374">
        <w:rPr>
          <w:rFonts w:eastAsia="Times New Roman"/>
          <w:sz w:val="24"/>
          <w:szCs w:val="24"/>
          <w:lang w:val="en-GB"/>
        </w:rPr>
        <w:t xml:space="preserve">, </w:t>
      </w:r>
      <w:r w:rsidRPr="00005374">
        <w:rPr>
          <w:rFonts w:eastAsia="Times New Roman"/>
          <w:i/>
          <w:iCs/>
          <w:sz w:val="24"/>
          <w:szCs w:val="24"/>
          <w:lang w:val="en-GB"/>
        </w:rPr>
        <w:t>India</w:t>
      </w:r>
      <w:r w:rsidRPr="00005374">
        <w:rPr>
          <w:rFonts w:eastAsia="Times New Roman"/>
          <w:sz w:val="24"/>
          <w:szCs w:val="24"/>
          <w:lang w:val="en-GB"/>
        </w:rPr>
        <w:t xml:space="preserve">. Available at: https://www.anbacadvisors.com/au/doing-business-in-australia-regulatory-basics-for-foreign-startups/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Apruzzese, M., Bruni, M.E., Musso, S. and Perboli, G. (2023). 5G and companion technologies as a boost in new business models for logistics and supply chain. </w:t>
      </w:r>
      <w:r w:rsidRPr="00005374">
        <w:rPr>
          <w:rFonts w:eastAsia="Times New Roman"/>
          <w:i/>
          <w:iCs/>
          <w:sz w:val="24"/>
          <w:szCs w:val="24"/>
          <w:lang w:val="en-GB"/>
        </w:rPr>
        <w:t>Sustainability</w:t>
      </w:r>
      <w:r w:rsidRPr="00005374">
        <w:rPr>
          <w:rFonts w:eastAsia="Times New Roman"/>
          <w:sz w:val="24"/>
          <w:szCs w:val="24"/>
          <w:lang w:val="en-GB"/>
        </w:rPr>
        <w:t xml:space="preserve">, </w:t>
      </w:r>
      <w:r w:rsidRPr="00005374">
        <w:rPr>
          <w:rFonts w:eastAsia="Times New Roman"/>
          <w:i/>
          <w:iCs/>
          <w:sz w:val="24"/>
          <w:szCs w:val="24"/>
          <w:lang w:val="en-GB"/>
        </w:rPr>
        <w:t>15</w:t>
      </w:r>
      <w:r w:rsidRPr="00005374">
        <w:rPr>
          <w:rFonts w:eastAsia="Times New Roman"/>
          <w:sz w:val="24"/>
          <w:szCs w:val="24"/>
          <w:lang w:val="en-GB"/>
        </w:rPr>
        <w:t xml:space="preserve">(15), p.11846. </w:t>
      </w:r>
      <w:hyperlink r:id="rId19">
        <w:r w:rsidRPr="00005374">
          <w:rPr>
            <w:rFonts w:eastAsia="Times New Roman"/>
            <w:sz w:val="24"/>
            <w:szCs w:val="24"/>
            <w:lang w:val="en-GB"/>
          </w:rPr>
          <w:t>https://www.mdpi.com/2071-1050/15/15/11846</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‌Arttu Purmonen, Jaakkola, E. and Harri Terho (2023). B2B customer journeys: Conceptualization and an integrative framework. </w:t>
      </w:r>
      <w:r w:rsidRPr="00005374">
        <w:rPr>
          <w:rFonts w:eastAsia="Times New Roman"/>
          <w:i/>
          <w:iCs/>
          <w:sz w:val="24"/>
          <w:szCs w:val="24"/>
          <w:lang w:val="en-GB"/>
        </w:rPr>
        <w:t>Industrial Marketing Management</w:t>
      </w:r>
      <w:r w:rsidRPr="00005374">
        <w:rPr>
          <w:rFonts w:eastAsia="Times New Roman"/>
          <w:sz w:val="24"/>
          <w:szCs w:val="24"/>
          <w:lang w:val="en-GB"/>
        </w:rPr>
        <w:t xml:space="preserve">, 113, pp.74–87. </w:t>
      </w:r>
      <w:hyperlink r:id="rId20">
        <w:r w:rsidRPr="00005374">
          <w:rPr>
            <w:rFonts w:eastAsia="Times New Roman"/>
            <w:sz w:val="24"/>
            <w:szCs w:val="24"/>
            <w:lang w:val="en-GB"/>
          </w:rPr>
          <w:t>https://www.sciencedirect.com/science/article/pii/S0019850123000974</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Bari, N., Chimhundu, R., and Chan, K.C. (2022). Dynamic capabilities to achieve corporate sustainability: a roadmap to sustained competitive advantage. </w:t>
      </w:r>
      <w:r w:rsidRPr="00005374">
        <w:rPr>
          <w:rFonts w:eastAsia="Times New Roman"/>
          <w:i/>
          <w:iCs/>
          <w:sz w:val="24"/>
          <w:szCs w:val="24"/>
          <w:lang w:val="en-GB"/>
        </w:rPr>
        <w:t>Sustainability</w:t>
      </w:r>
      <w:r w:rsidRPr="00005374">
        <w:rPr>
          <w:rFonts w:eastAsia="Times New Roman"/>
          <w:sz w:val="24"/>
          <w:szCs w:val="24"/>
          <w:lang w:val="en-GB"/>
        </w:rPr>
        <w:t xml:space="preserve">, </w:t>
      </w:r>
      <w:r w:rsidRPr="00005374">
        <w:rPr>
          <w:rFonts w:eastAsia="Times New Roman"/>
          <w:i/>
          <w:iCs/>
          <w:sz w:val="24"/>
          <w:szCs w:val="24"/>
          <w:lang w:val="en-GB"/>
        </w:rPr>
        <w:t>14</w:t>
      </w:r>
      <w:r w:rsidRPr="00005374">
        <w:rPr>
          <w:rFonts w:eastAsia="Times New Roman"/>
          <w:sz w:val="24"/>
          <w:szCs w:val="24"/>
          <w:lang w:val="en-GB"/>
        </w:rPr>
        <w:t xml:space="preserve">(3), p.1531. </w:t>
      </w:r>
      <w:hyperlink r:id="rId21">
        <w:r w:rsidRPr="00005374">
          <w:rPr>
            <w:rFonts w:eastAsia="Times New Roman"/>
            <w:sz w:val="24"/>
            <w:szCs w:val="24"/>
            <w:lang w:val="en-GB"/>
          </w:rPr>
          <w:t>https://www.mdpi.com/2071-1050/14/3/1531</w:t>
        </w:r>
      </w:hyperlink>
    </w:p>
    <w:p w:rsidR="00E10FF0" w:rsidRPr="00005374" w:rsidRDefault="00E10FF0" w:rsidP="00E10FF0">
      <w:pPr>
        <w:spacing w:before="280" w:after="280" w:line="360" w:lineRule="auto"/>
        <w:jc w:val="both"/>
        <w:rPr>
          <w:rFonts w:eastAsia="Times New Roman"/>
          <w:sz w:val="24"/>
          <w:szCs w:val="24"/>
          <w:lang w:val="en-GB"/>
        </w:rPr>
      </w:pPr>
      <w:r w:rsidRPr="00005374">
        <w:rPr>
          <w:rFonts w:eastAsia="Times New Roman"/>
          <w:sz w:val="24"/>
          <w:szCs w:val="24"/>
          <w:lang w:val="en-GB"/>
        </w:rPr>
        <w:t xml:space="preserve">BoAt Lifestyle (2025) </w:t>
      </w:r>
      <w:r w:rsidRPr="00005374">
        <w:rPr>
          <w:rFonts w:eastAsia="Times New Roman"/>
          <w:i/>
          <w:iCs/>
          <w:sz w:val="24"/>
          <w:szCs w:val="24"/>
          <w:lang w:val="en-GB"/>
        </w:rPr>
        <w:t>Boat - who are we?</w:t>
      </w:r>
      <w:r w:rsidRPr="00005374">
        <w:rPr>
          <w:rFonts w:eastAsia="Times New Roman"/>
          <w:sz w:val="24"/>
          <w:szCs w:val="24"/>
          <w:lang w:val="en-GB"/>
        </w:rPr>
        <w:t xml:space="preserve">, </w:t>
      </w:r>
      <w:r w:rsidRPr="00005374">
        <w:rPr>
          <w:rFonts w:eastAsia="Times New Roman"/>
          <w:i/>
          <w:iCs/>
          <w:sz w:val="24"/>
          <w:szCs w:val="24"/>
          <w:lang w:val="en-GB"/>
        </w:rPr>
        <w:t>boAt Lifestyle</w:t>
      </w:r>
      <w:r w:rsidRPr="00005374">
        <w:rPr>
          <w:rFonts w:eastAsia="Times New Roman"/>
          <w:sz w:val="24"/>
          <w:szCs w:val="24"/>
          <w:lang w:val="en-GB"/>
        </w:rPr>
        <w:t>. Available at: https://www.boat-lifestyle.com/pages/who-are-we?srsltid=AfmBOorP6XzGwLjib7n-MhuVv2-wA_GiCYS9WerVLxzzx3feDBbIi4DG (Accessed: 25 November 2025)</w:t>
      </w:r>
    </w:p>
    <w:p w:rsidR="00E10FF0" w:rsidRPr="00005374" w:rsidRDefault="00E10FF0" w:rsidP="00E10FF0">
      <w:pPr>
        <w:spacing w:after="240" w:line="360" w:lineRule="auto"/>
        <w:jc w:val="both"/>
        <w:rPr>
          <w:rFonts w:eastAsia="Times New Roman"/>
          <w:sz w:val="24"/>
          <w:szCs w:val="24"/>
          <w:lang w:val="en-GB"/>
        </w:rPr>
      </w:pPr>
      <w:r w:rsidRPr="00005374">
        <w:rPr>
          <w:rFonts w:eastAsia="Times New Roman"/>
          <w:sz w:val="24"/>
          <w:szCs w:val="24"/>
          <w:lang w:val="en-GB"/>
        </w:rPr>
        <w:t xml:space="preserve">BoatUS (2025). </w:t>
      </w:r>
      <w:r w:rsidRPr="00005374">
        <w:rPr>
          <w:rFonts w:eastAsia="Times New Roman"/>
          <w:i/>
          <w:iCs/>
          <w:sz w:val="24"/>
          <w:szCs w:val="24"/>
          <w:lang w:val="en-GB"/>
        </w:rPr>
        <w:t>BoatUS NPS &amp; Customer Reviews</w:t>
      </w:r>
      <w:r w:rsidRPr="00005374">
        <w:rPr>
          <w:rFonts w:eastAsia="Times New Roman"/>
          <w:sz w:val="24"/>
          <w:szCs w:val="24"/>
          <w:lang w:val="en-GB"/>
        </w:rPr>
        <w:t>. [Online] Comparably. Available at: https://www.comparably.com/brands/boat-us [Accessed 26 Nov. 2025].</w:t>
      </w:r>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lastRenderedPageBreak/>
        <w:t xml:space="preserve">Bruin, L. de (2021) </w:t>
      </w:r>
      <w:r w:rsidRPr="00005374">
        <w:rPr>
          <w:rFonts w:eastAsia="Times New Roman"/>
          <w:i/>
          <w:iCs/>
          <w:sz w:val="24"/>
          <w:szCs w:val="24"/>
          <w:highlight w:val="white"/>
          <w:lang w:val="en-GB"/>
        </w:rPr>
        <w:t>Porter’s generic strategies explained with examples: B2U</w:t>
      </w:r>
      <w:r w:rsidRPr="00005374">
        <w:rPr>
          <w:rFonts w:eastAsia="Times New Roman"/>
          <w:sz w:val="24"/>
          <w:szCs w:val="24"/>
          <w:highlight w:val="white"/>
          <w:lang w:val="en-GB"/>
        </w:rPr>
        <w:t xml:space="preserve">, </w:t>
      </w:r>
      <w:r w:rsidRPr="00005374">
        <w:rPr>
          <w:rFonts w:eastAsia="Times New Roman"/>
          <w:i/>
          <w:iCs/>
          <w:sz w:val="24"/>
          <w:szCs w:val="24"/>
          <w:highlight w:val="white"/>
          <w:lang w:val="en-GB"/>
        </w:rPr>
        <w:t>Business</w:t>
      </w:r>
      <w:r w:rsidRPr="00005374">
        <w:rPr>
          <w:rFonts w:eastAsia="Times New Roman"/>
          <w:sz w:val="24"/>
          <w:szCs w:val="24"/>
          <w:highlight w:val="white"/>
          <w:lang w:val="en-GB"/>
        </w:rPr>
        <w:t xml:space="preserve">. Available at: https://www.business-to-you.com/porter-generic-strategies-differentiation-cost-leadership-focus/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‌buildd. (2018). </w:t>
      </w:r>
      <w:r w:rsidRPr="00005374">
        <w:rPr>
          <w:rFonts w:eastAsia="Times New Roman"/>
          <w:i/>
          <w:iCs/>
          <w:sz w:val="24"/>
          <w:szCs w:val="24"/>
          <w:lang w:val="en-GB"/>
        </w:rPr>
        <w:t>boAt Marketing Strategy: How the company became the biggest audio superstore in India</w:t>
      </w:r>
      <w:r w:rsidRPr="00005374">
        <w:rPr>
          <w:rFonts w:eastAsia="Times New Roman"/>
          <w:sz w:val="24"/>
          <w:szCs w:val="24"/>
          <w:lang w:val="en-GB"/>
        </w:rPr>
        <w:t>. [Online] Available at: https://buildd.co/marketing/boat-marketing-strategy [Accessed 26 Nov. 2025].</w:t>
      </w:r>
    </w:p>
    <w:p w:rsidR="00E10FF0" w:rsidRPr="00005374" w:rsidRDefault="00E10FF0" w:rsidP="00E10FF0">
      <w:pPr>
        <w:spacing w:before="280" w:after="280" w:line="360" w:lineRule="auto"/>
        <w:jc w:val="both"/>
        <w:rPr>
          <w:rFonts w:eastAsia="Times New Roman"/>
          <w:sz w:val="24"/>
          <w:szCs w:val="24"/>
          <w:lang w:val="en-GB"/>
        </w:rPr>
      </w:pPr>
      <w:r w:rsidRPr="00005374">
        <w:rPr>
          <w:rFonts w:eastAsia="Times New Roman"/>
          <w:sz w:val="24"/>
          <w:szCs w:val="24"/>
          <w:lang w:val="en-GB"/>
        </w:rPr>
        <w:t xml:space="preserve">Business Standard (2025) </w:t>
      </w:r>
      <w:r w:rsidRPr="00005374">
        <w:rPr>
          <w:rFonts w:eastAsia="Times New Roman"/>
          <w:i/>
          <w:iCs/>
          <w:sz w:val="24"/>
          <w:szCs w:val="24"/>
          <w:lang w:val="en-GB"/>
        </w:rPr>
        <w:t>Boat posts fivefold revenue growth to ₹3,100 CR, returns to profit in FY25</w:t>
      </w:r>
      <w:r w:rsidRPr="00005374">
        <w:rPr>
          <w:rFonts w:eastAsia="Times New Roman"/>
          <w:sz w:val="24"/>
          <w:szCs w:val="24"/>
          <w:lang w:val="en-GB"/>
        </w:rPr>
        <w:t xml:space="preserve">, </w:t>
      </w:r>
      <w:r w:rsidRPr="00005374">
        <w:rPr>
          <w:rFonts w:eastAsia="Times New Roman"/>
          <w:i/>
          <w:iCs/>
          <w:sz w:val="24"/>
          <w:szCs w:val="24"/>
          <w:lang w:val="en-GB"/>
        </w:rPr>
        <w:t>Business Standard</w:t>
      </w:r>
      <w:r w:rsidRPr="00005374">
        <w:rPr>
          <w:rFonts w:eastAsia="Times New Roman"/>
          <w:sz w:val="24"/>
          <w:szCs w:val="24"/>
          <w:lang w:val="en-GB"/>
        </w:rPr>
        <w:t>. Available at: https://www.business-standard.com/companies/news/boat-revenue-fivefold-growth-fy25-profit-return-125111302039_1.html (Accessed: 25 November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Business-Standard (2025) </w:t>
      </w:r>
      <w:r w:rsidRPr="00005374">
        <w:rPr>
          <w:rFonts w:eastAsia="Times New Roman"/>
          <w:i/>
          <w:iCs/>
          <w:sz w:val="24"/>
          <w:szCs w:val="24"/>
          <w:lang w:val="en-GB"/>
        </w:rPr>
        <w:t>Boat posts fivefold revenue growth to ₹3,100 CR, returns to profit in FY25</w:t>
      </w:r>
      <w:r w:rsidRPr="00005374">
        <w:rPr>
          <w:rFonts w:eastAsia="Times New Roman"/>
          <w:sz w:val="24"/>
          <w:szCs w:val="24"/>
          <w:lang w:val="en-GB"/>
        </w:rPr>
        <w:t xml:space="preserve">, </w:t>
      </w:r>
      <w:r w:rsidRPr="00005374">
        <w:rPr>
          <w:rFonts w:eastAsia="Times New Roman"/>
          <w:i/>
          <w:iCs/>
          <w:sz w:val="24"/>
          <w:szCs w:val="24"/>
          <w:lang w:val="en-GB"/>
        </w:rPr>
        <w:t>Business Standard</w:t>
      </w:r>
      <w:r w:rsidRPr="00005374">
        <w:rPr>
          <w:rFonts w:eastAsia="Times New Roman"/>
          <w:sz w:val="24"/>
          <w:szCs w:val="24"/>
          <w:lang w:val="en-GB"/>
        </w:rPr>
        <w:t xml:space="preserve">. Available at: https://www.business-standard.com/companies/news/boat-revenue-fivefold-growth-fy25-profit-return-125111302039_1.html (Accessed: 08 December 2025). </w:t>
      </w:r>
    </w:p>
    <w:p w:rsidR="00E10FF0" w:rsidRPr="00005374" w:rsidRDefault="00E10FF0" w:rsidP="00E10FF0">
      <w:pPr>
        <w:spacing w:before="280" w:after="280" w:line="360" w:lineRule="auto"/>
        <w:jc w:val="both"/>
        <w:rPr>
          <w:rFonts w:eastAsia="Times New Roman"/>
          <w:sz w:val="24"/>
          <w:szCs w:val="24"/>
          <w:lang w:val="en-GB"/>
        </w:rPr>
      </w:pPr>
      <w:r w:rsidRPr="00005374">
        <w:rPr>
          <w:rFonts w:eastAsia="Times New Roman"/>
          <w:sz w:val="24"/>
          <w:szCs w:val="24"/>
          <w:lang w:val="en-GB"/>
        </w:rPr>
        <w:t xml:space="preserve">Casañ, M.J., Alier, M. and Llorens, A., (2021). A collaborative learning activity to analyze the sustainability of an innovation using PESTLE. </w:t>
      </w:r>
      <w:r w:rsidRPr="00005374">
        <w:rPr>
          <w:rFonts w:eastAsia="Times New Roman"/>
          <w:i/>
          <w:iCs/>
          <w:sz w:val="24"/>
          <w:szCs w:val="24"/>
          <w:lang w:val="en-GB"/>
        </w:rPr>
        <w:t>Sustainability</w:t>
      </w:r>
      <w:r w:rsidRPr="00005374">
        <w:rPr>
          <w:rFonts w:eastAsia="Times New Roman"/>
          <w:sz w:val="24"/>
          <w:szCs w:val="24"/>
          <w:lang w:val="en-GB"/>
        </w:rPr>
        <w:t xml:space="preserve">, </w:t>
      </w:r>
      <w:r w:rsidRPr="00005374">
        <w:rPr>
          <w:rFonts w:eastAsia="Times New Roman"/>
          <w:i/>
          <w:iCs/>
          <w:sz w:val="24"/>
          <w:szCs w:val="24"/>
          <w:lang w:val="en-GB"/>
        </w:rPr>
        <w:t>13</w:t>
      </w:r>
      <w:r w:rsidRPr="00005374">
        <w:rPr>
          <w:rFonts w:eastAsia="Times New Roman"/>
          <w:sz w:val="24"/>
          <w:szCs w:val="24"/>
          <w:lang w:val="en-GB"/>
        </w:rPr>
        <w:t>(16), p.8756.</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Chen, S. (2024). The impact of brand awareness on purchase intention. </w:t>
      </w:r>
      <w:r w:rsidRPr="00005374">
        <w:rPr>
          <w:rFonts w:eastAsia="Times New Roman"/>
          <w:i/>
          <w:iCs/>
          <w:sz w:val="24"/>
          <w:szCs w:val="24"/>
          <w:lang w:val="en-GB"/>
        </w:rPr>
        <w:t>Highlights in Business, Economics and Management</w:t>
      </w:r>
      <w:r w:rsidRPr="00005374">
        <w:rPr>
          <w:rFonts w:eastAsia="Times New Roman"/>
          <w:sz w:val="24"/>
          <w:szCs w:val="24"/>
          <w:lang w:val="en-GB"/>
        </w:rPr>
        <w:t xml:space="preserve">, </w:t>
      </w:r>
      <w:r w:rsidRPr="00005374">
        <w:rPr>
          <w:rFonts w:eastAsia="Times New Roman"/>
          <w:i/>
          <w:iCs/>
          <w:sz w:val="24"/>
          <w:szCs w:val="24"/>
          <w:lang w:val="en-GB"/>
        </w:rPr>
        <w:t>30</w:t>
      </w:r>
      <w:r w:rsidRPr="00005374">
        <w:rPr>
          <w:rFonts w:eastAsia="Times New Roman"/>
          <w:sz w:val="24"/>
          <w:szCs w:val="24"/>
          <w:lang w:val="en-GB"/>
        </w:rPr>
        <w:t>(1) .</w:t>
      </w:r>
      <w:hyperlink r:id="rId22">
        <w:r w:rsidRPr="00005374">
          <w:rPr>
            <w:rFonts w:eastAsia="Times New Roman"/>
            <w:sz w:val="24"/>
            <w:szCs w:val="24"/>
            <w:lang w:val="en-GB"/>
          </w:rPr>
          <w:t>https://pdfs.semanticscholar.org/1c6f/aa7c2bf9d8c4dfd78b2a136a043d5b9f20c6.pdf</w:t>
        </w:r>
      </w:hyperlink>
    </w:p>
    <w:p w:rsidR="00E10FF0" w:rsidRPr="00005374" w:rsidRDefault="00E10FF0" w:rsidP="00E10FF0">
      <w:pPr>
        <w:spacing w:after="160" w:line="360" w:lineRule="auto"/>
        <w:jc w:val="both"/>
        <w:rPr>
          <w:rFonts w:eastAsia="Times New Roman"/>
          <w:sz w:val="24"/>
          <w:szCs w:val="24"/>
          <w:lang w:val="en-GB"/>
        </w:rPr>
      </w:pPr>
      <w:r w:rsidRPr="00005374">
        <w:rPr>
          <w:rFonts w:eastAsia="Times New Roman"/>
          <w:sz w:val="24"/>
          <w:szCs w:val="24"/>
          <w:lang w:val="en-GB"/>
        </w:rPr>
        <w:t xml:space="preserve">Chopra, R., Bhardwaj, S., Baber, H. and Idris Sanusi, O. (2024). Navigating global horizons: a review of export promotion and foreign market entry strategies for small and medium enterprises (SMEs). </w:t>
      </w:r>
      <w:r w:rsidRPr="00005374">
        <w:rPr>
          <w:rFonts w:eastAsia="Times New Roman"/>
          <w:i/>
          <w:iCs/>
          <w:sz w:val="24"/>
          <w:szCs w:val="24"/>
          <w:lang w:val="en-GB"/>
        </w:rPr>
        <w:t>Journal of Business &amp; Industrial Marketing</w:t>
      </w:r>
      <w:r w:rsidRPr="00005374">
        <w:rPr>
          <w:rFonts w:eastAsia="Times New Roman"/>
          <w:sz w:val="24"/>
          <w:szCs w:val="24"/>
          <w:lang w:val="en-GB"/>
        </w:rPr>
        <w:t xml:space="preserve">, </w:t>
      </w:r>
      <w:r w:rsidRPr="00005374">
        <w:rPr>
          <w:rFonts w:eastAsia="Times New Roman"/>
          <w:i/>
          <w:iCs/>
          <w:sz w:val="24"/>
          <w:szCs w:val="24"/>
          <w:lang w:val="en-GB"/>
        </w:rPr>
        <w:t>39</w:t>
      </w:r>
      <w:r w:rsidRPr="00005374">
        <w:rPr>
          <w:rFonts w:eastAsia="Times New Roman"/>
          <w:sz w:val="24"/>
          <w:szCs w:val="24"/>
          <w:lang w:val="en-GB"/>
        </w:rPr>
        <w:t xml:space="preserve">(12), pp.2774-2790. </w:t>
      </w:r>
      <w:hyperlink r:id="rId23">
        <w:r w:rsidRPr="00005374">
          <w:rPr>
            <w:rFonts w:eastAsia="Times New Roman"/>
            <w:sz w:val="24"/>
            <w:szCs w:val="24"/>
            <w:shd w:val="clear" w:color="auto" w:fill="F7F7F7"/>
            <w:lang w:val="en-GB"/>
          </w:rPr>
          <w:t>https://doi.org/10.1108/JBIM-10-2023-0610</w:t>
        </w:r>
      </w:hyperlink>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t xml:space="preserve">Collins, M. (2024). </w:t>
      </w:r>
      <w:r w:rsidRPr="00005374">
        <w:rPr>
          <w:rFonts w:eastAsia="Times New Roman"/>
          <w:i/>
          <w:iCs/>
          <w:sz w:val="24"/>
          <w:szCs w:val="24"/>
          <w:highlight w:val="white"/>
          <w:lang w:val="en-GB"/>
        </w:rPr>
        <w:t>Corporate responsibility in 2023: Triple bottom line sustainability</w:t>
      </w:r>
      <w:r w:rsidRPr="00005374">
        <w:rPr>
          <w:rFonts w:eastAsia="Times New Roman"/>
          <w:sz w:val="24"/>
          <w:szCs w:val="24"/>
          <w:highlight w:val="white"/>
          <w:lang w:val="en-GB"/>
        </w:rPr>
        <w:t xml:space="preserve">, </w:t>
      </w:r>
      <w:r w:rsidRPr="00005374">
        <w:rPr>
          <w:rFonts w:eastAsia="Times New Roman"/>
          <w:i/>
          <w:iCs/>
          <w:sz w:val="24"/>
          <w:szCs w:val="24"/>
          <w:highlight w:val="white"/>
          <w:lang w:val="en-GB"/>
        </w:rPr>
        <w:t>Environment+Energy Leader</w:t>
      </w:r>
      <w:r w:rsidRPr="00005374">
        <w:rPr>
          <w:rFonts w:eastAsia="Times New Roman"/>
          <w:sz w:val="24"/>
          <w:szCs w:val="24"/>
          <w:highlight w:val="white"/>
          <w:lang w:val="en-GB"/>
        </w:rPr>
        <w:t xml:space="preserve">. Available at: https://www.environmentenergyleader.com/stories/corporate-responsibility-in-2023-triple-bottom-line-sustainability,3669 (Accessed: 08 December 2025). </w:t>
      </w:r>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lastRenderedPageBreak/>
        <w:t xml:space="preserve">Czinkota, M.R., Kotabe, M., Vrontis, D. and Shams, S.R. (2021). Designing effective promotion and advertising strategies. In </w:t>
      </w:r>
      <w:r w:rsidRPr="00005374">
        <w:rPr>
          <w:rFonts w:eastAsia="Times New Roman"/>
          <w:i/>
          <w:iCs/>
          <w:sz w:val="24"/>
          <w:szCs w:val="24"/>
          <w:highlight w:val="white"/>
          <w:lang w:val="en-GB"/>
        </w:rPr>
        <w:t>Marketing Management: Past, Present and Future</w:t>
      </w:r>
      <w:r w:rsidRPr="00005374">
        <w:rPr>
          <w:rFonts w:eastAsia="Times New Roman"/>
          <w:sz w:val="24"/>
          <w:szCs w:val="24"/>
          <w:highlight w:val="white"/>
          <w:lang w:val="en-GB"/>
        </w:rPr>
        <w:t xml:space="preserve"> (pp. 553-606). Cham: Springer International Publishing.</w:t>
      </w:r>
      <w:r w:rsidRPr="00005374">
        <w:rPr>
          <w:rFonts w:eastAsia="Times New Roman"/>
          <w:sz w:val="24"/>
          <w:szCs w:val="24"/>
          <w:lang w:val="en-GB"/>
        </w:rPr>
        <w:t xml:space="preserve"> </w:t>
      </w:r>
      <w:hyperlink r:id="rId24">
        <w:r w:rsidRPr="00005374">
          <w:rPr>
            <w:rFonts w:eastAsia="Times New Roman"/>
            <w:sz w:val="24"/>
            <w:szCs w:val="24"/>
            <w:highlight w:val="white"/>
            <w:u w:val="single"/>
            <w:lang w:val="en-GB"/>
          </w:rPr>
          <w:t>https://link.springer.com/chapter/10.1007/978-3-030-66916-4_12</w:t>
        </w:r>
      </w:hyperlink>
    </w:p>
    <w:p w:rsidR="00E10FF0" w:rsidRPr="00005374" w:rsidRDefault="00E10FF0" w:rsidP="00E10FF0">
      <w:pPr>
        <w:spacing w:before="240" w:after="160" w:line="360" w:lineRule="auto"/>
        <w:jc w:val="both"/>
        <w:rPr>
          <w:rFonts w:eastAsia="Times New Roman"/>
          <w:sz w:val="24"/>
          <w:szCs w:val="24"/>
          <w:lang w:val="en-GB"/>
        </w:rPr>
      </w:pPr>
      <w:r w:rsidRPr="00005374">
        <w:rPr>
          <w:rFonts w:eastAsia="Times New Roman"/>
          <w:sz w:val="24"/>
          <w:szCs w:val="24"/>
          <w:lang w:val="en-GB"/>
        </w:rPr>
        <w:t>‌Dcceew.gov.au. (2025). </w:t>
      </w:r>
      <w:r w:rsidRPr="00005374">
        <w:rPr>
          <w:rFonts w:eastAsia="Times New Roman"/>
          <w:i/>
          <w:iCs/>
          <w:sz w:val="24"/>
          <w:szCs w:val="24"/>
          <w:lang w:val="en-GB"/>
        </w:rPr>
        <w:t>Product stewardship in Australia - DCCEEW</w:t>
      </w:r>
      <w:r w:rsidRPr="00005374">
        <w:rPr>
          <w:rFonts w:eastAsia="Times New Roman"/>
          <w:sz w:val="24"/>
          <w:szCs w:val="24"/>
          <w:lang w:val="en-GB"/>
        </w:rPr>
        <w:t xml:space="preserve">. [online] Available at: https://www.dcceew.gov.au/environment/protection/waste/product-stewardship [Accessed 27 Nov. 2025]. </w:t>
      </w:r>
    </w:p>
    <w:p w:rsidR="00E10FF0" w:rsidRPr="00005374" w:rsidRDefault="00E10FF0" w:rsidP="00E10FF0">
      <w:pPr>
        <w:spacing w:after="240" w:line="360" w:lineRule="auto"/>
        <w:jc w:val="both"/>
        <w:rPr>
          <w:rFonts w:eastAsia="Times New Roman"/>
          <w:sz w:val="24"/>
          <w:szCs w:val="24"/>
          <w:lang w:val="en-GB"/>
        </w:rPr>
      </w:pPr>
      <w:r w:rsidRPr="00005374">
        <w:rPr>
          <w:rFonts w:eastAsia="Times New Roman"/>
          <w:sz w:val="24"/>
          <w:szCs w:val="24"/>
          <w:lang w:val="en-GB"/>
        </w:rPr>
        <w:t xml:space="preserve">Economictimes (2023). </w:t>
      </w:r>
      <w:r w:rsidRPr="00005374">
        <w:rPr>
          <w:rFonts w:eastAsia="Times New Roman"/>
          <w:i/>
          <w:iCs/>
          <w:sz w:val="24"/>
          <w:szCs w:val="24"/>
          <w:lang w:val="en-GB"/>
        </w:rPr>
        <w:t>Indian market growing at a good pace; international blueprint by FY25: Boat cofounder Aman Gupta</w:t>
      </w:r>
      <w:r w:rsidRPr="00005374">
        <w:rPr>
          <w:rFonts w:eastAsia="Times New Roman"/>
          <w:sz w:val="24"/>
          <w:szCs w:val="24"/>
          <w:lang w:val="en-GB"/>
        </w:rPr>
        <w:t>. [Online] The Economic Times. Available at: https://economictimes.indiatimes.com/tech/technology/indian-market-growing-at-good-pace-international-blueprint-by-fy25-boat-cofounder-aman-gupta/articleshow/102054911.cms?from=mdr [Accessed 26 Nov.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‌Editor (2024). </w:t>
      </w:r>
      <w:r w:rsidRPr="00005374">
        <w:rPr>
          <w:rFonts w:eastAsia="Times New Roman"/>
          <w:i/>
          <w:iCs/>
          <w:sz w:val="24"/>
          <w:szCs w:val="24"/>
          <w:lang w:val="en-GB"/>
        </w:rPr>
        <w:t>Forecast on 5G subscribers in Australia - TelecomLead</w:t>
      </w:r>
      <w:r w:rsidRPr="00005374">
        <w:rPr>
          <w:rFonts w:eastAsia="Times New Roman"/>
          <w:sz w:val="24"/>
          <w:szCs w:val="24"/>
          <w:lang w:val="en-GB"/>
        </w:rPr>
        <w:t>. [Online] TelecomLead. Available at: https://telecomlead.com/telecom-statistics/forecast-on-5g-subscribers-in-australia-117263 [Accessed 26 Nov.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EESS (2025) </w:t>
      </w:r>
      <w:r w:rsidRPr="00005374">
        <w:rPr>
          <w:rFonts w:eastAsia="Times New Roman"/>
          <w:i/>
          <w:iCs/>
          <w:sz w:val="24"/>
          <w:szCs w:val="24"/>
          <w:lang w:val="en-GB"/>
        </w:rPr>
        <w:t>EESS</w:t>
      </w:r>
      <w:r w:rsidRPr="00005374">
        <w:rPr>
          <w:rFonts w:eastAsia="Times New Roman"/>
          <w:sz w:val="24"/>
          <w:szCs w:val="24"/>
          <w:lang w:val="en-GB"/>
        </w:rPr>
        <w:t xml:space="preserve">. Available at: https://www.eess.gov.au/safety-requirements/essential-safety-criteria/ (Accessed: 08 December 2025). </w:t>
      </w:r>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t xml:space="preserve">Egeli, G. Z., &amp; Kurgun, H. (2021). Wearable technologies: Kinesthetic dimension in enriching tourist experience. </w:t>
      </w:r>
      <w:r w:rsidRPr="00005374">
        <w:rPr>
          <w:rFonts w:eastAsia="Times New Roman"/>
          <w:i/>
          <w:iCs/>
          <w:sz w:val="24"/>
          <w:szCs w:val="24"/>
          <w:highlight w:val="white"/>
          <w:lang w:val="en-GB"/>
        </w:rPr>
        <w:t>University of South Florida (USF) M3 Publishing</w:t>
      </w:r>
      <w:r w:rsidRPr="00005374">
        <w:rPr>
          <w:rFonts w:eastAsia="Times New Roman"/>
          <w:sz w:val="24"/>
          <w:szCs w:val="24"/>
          <w:highlight w:val="white"/>
          <w:lang w:val="en-GB"/>
        </w:rPr>
        <w:t xml:space="preserve">, </w:t>
      </w:r>
      <w:r w:rsidRPr="00005374">
        <w:rPr>
          <w:rFonts w:eastAsia="Times New Roman"/>
          <w:i/>
          <w:iCs/>
          <w:sz w:val="24"/>
          <w:szCs w:val="24"/>
          <w:highlight w:val="white"/>
          <w:lang w:val="en-GB"/>
        </w:rPr>
        <w:t>18</w:t>
      </w:r>
      <w:r w:rsidRPr="00005374">
        <w:rPr>
          <w:rFonts w:eastAsia="Times New Roman"/>
          <w:sz w:val="24"/>
          <w:szCs w:val="24"/>
          <w:highlight w:val="white"/>
          <w:lang w:val="en-GB"/>
        </w:rPr>
        <w:t>(9781732127586), 4.</w:t>
      </w:r>
      <w:r w:rsidRPr="00005374">
        <w:rPr>
          <w:rFonts w:eastAsia="Times New Roman"/>
          <w:sz w:val="24"/>
          <w:szCs w:val="24"/>
          <w:lang w:val="en-GB"/>
        </w:rPr>
        <w:t xml:space="preserve"> </w:t>
      </w:r>
      <w:hyperlink r:id="rId25">
        <w:r w:rsidRPr="00005374">
          <w:rPr>
            <w:rFonts w:eastAsia="Times New Roman"/>
            <w:sz w:val="24"/>
            <w:szCs w:val="24"/>
            <w:highlight w:val="white"/>
            <w:u w:val="single"/>
            <w:lang w:val="en-GB"/>
          </w:rPr>
          <w:t>https://digitalcommons.usf.edu/m3publishing/vol18/iss9781732127586/4/</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Eierle, B., Hartlieb, S., Hay, D.C., Niemi, L., and Ojala, H. (2022). External factors and the pricing of audit services: A systematic review of the archival literature using a PESTLE analysis. </w:t>
      </w:r>
      <w:r w:rsidRPr="00005374">
        <w:rPr>
          <w:rFonts w:eastAsia="Times New Roman"/>
          <w:i/>
          <w:iCs/>
          <w:sz w:val="24"/>
          <w:szCs w:val="24"/>
          <w:lang w:val="en-GB"/>
        </w:rPr>
        <w:t>Auditing: A Journal of Practice &amp; Theory</w:t>
      </w:r>
      <w:r w:rsidRPr="00005374">
        <w:rPr>
          <w:rFonts w:eastAsia="Times New Roman"/>
          <w:sz w:val="24"/>
          <w:szCs w:val="24"/>
          <w:lang w:val="en-GB"/>
        </w:rPr>
        <w:t xml:space="preserve">, </w:t>
      </w:r>
      <w:r w:rsidRPr="00005374">
        <w:rPr>
          <w:rFonts w:eastAsia="Times New Roman"/>
          <w:i/>
          <w:iCs/>
          <w:sz w:val="24"/>
          <w:szCs w:val="24"/>
          <w:lang w:val="en-GB"/>
        </w:rPr>
        <w:t>41</w:t>
      </w:r>
      <w:r w:rsidRPr="00005374">
        <w:rPr>
          <w:rFonts w:eastAsia="Times New Roman"/>
          <w:sz w:val="24"/>
          <w:szCs w:val="24"/>
          <w:lang w:val="en-GB"/>
        </w:rPr>
        <w:t>(3), pp.95-119.</w:t>
      </w:r>
    </w:p>
    <w:p w:rsidR="00E10FF0" w:rsidRPr="00005374" w:rsidRDefault="00E10FF0" w:rsidP="00E10FF0">
      <w:pPr>
        <w:spacing w:before="280" w:after="280" w:line="360" w:lineRule="auto"/>
        <w:jc w:val="both"/>
        <w:rPr>
          <w:rFonts w:eastAsia="Times New Roman"/>
          <w:sz w:val="24"/>
          <w:szCs w:val="24"/>
          <w:lang w:val="en-GB"/>
        </w:rPr>
      </w:pPr>
      <w:r w:rsidRPr="00005374">
        <w:rPr>
          <w:rFonts w:eastAsia="Times New Roman"/>
          <w:sz w:val="24"/>
          <w:szCs w:val="24"/>
          <w:lang w:val="en-GB"/>
        </w:rPr>
        <w:t xml:space="preserve">ENS Economic Bureau (2025). </w:t>
      </w:r>
      <w:r w:rsidRPr="00005374">
        <w:rPr>
          <w:rFonts w:eastAsia="Times New Roman"/>
          <w:i/>
          <w:iCs/>
          <w:sz w:val="24"/>
          <w:szCs w:val="24"/>
          <w:lang w:val="en-GB"/>
        </w:rPr>
        <w:t>Boat turns profitable in FY25 after two years of losses</w:t>
      </w:r>
      <w:r w:rsidRPr="00005374">
        <w:rPr>
          <w:rFonts w:eastAsia="Times New Roman"/>
          <w:sz w:val="24"/>
          <w:szCs w:val="24"/>
          <w:lang w:val="en-GB"/>
        </w:rPr>
        <w:t xml:space="preserve">, </w:t>
      </w:r>
      <w:r w:rsidRPr="00005374">
        <w:rPr>
          <w:rFonts w:eastAsia="Times New Roman"/>
          <w:i/>
          <w:iCs/>
          <w:sz w:val="24"/>
          <w:szCs w:val="24"/>
          <w:lang w:val="en-GB"/>
        </w:rPr>
        <w:t>The New Indian Express</w:t>
      </w:r>
      <w:r w:rsidRPr="00005374">
        <w:rPr>
          <w:rFonts w:eastAsia="Times New Roman"/>
          <w:sz w:val="24"/>
          <w:szCs w:val="24"/>
          <w:lang w:val="en-GB"/>
        </w:rPr>
        <w:t xml:space="preserve">. Available at: </w:t>
      </w:r>
      <w:r w:rsidRPr="00005374">
        <w:rPr>
          <w:rFonts w:eastAsia="Times New Roman"/>
          <w:sz w:val="24"/>
          <w:szCs w:val="24"/>
          <w:lang w:val="en-GB"/>
        </w:rPr>
        <w:lastRenderedPageBreak/>
        <w:t>https://www.newindianexpress.com/business/2025/Oct/06/boat-turns-profitable-in-fy25-after-two-years-of-losses (Accessed: 25 November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Fintechbiznews (2025). </w:t>
      </w:r>
      <w:r w:rsidRPr="00005374">
        <w:rPr>
          <w:rFonts w:eastAsia="Times New Roman"/>
          <w:i/>
          <w:iCs/>
          <w:sz w:val="24"/>
          <w:szCs w:val="24"/>
          <w:lang w:val="en-GB"/>
        </w:rPr>
        <w:t>You may also be interested in</w:t>
      </w:r>
      <w:r w:rsidRPr="00005374">
        <w:rPr>
          <w:rFonts w:eastAsia="Times New Roman"/>
          <w:sz w:val="24"/>
          <w:szCs w:val="24"/>
          <w:lang w:val="en-GB"/>
        </w:rPr>
        <w:t xml:space="preserve">, </w:t>
      </w:r>
      <w:r w:rsidRPr="00005374">
        <w:rPr>
          <w:rFonts w:eastAsia="Times New Roman"/>
          <w:i/>
          <w:iCs/>
          <w:sz w:val="24"/>
          <w:szCs w:val="24"/>
          <w:lang w:val="en-GB"/>
        </w:rPr>
        <w:t>boAt Sails On Long-Term Sustainable Growth Path</w:t>
      </w:r>
      <w:r w:rsidRPr="00005374">
        <w:rPr>
          <w:rFonts w:eastAsia="Times New Roman"/>
          <w:sz w:val="24"/>
          <w:szCs w:val="24"/>
          <w:lang w:val="en-GB"/>
        </w:rPr>
        <w:t xml:space="preserve">. Available at: https://www.fintechbiznews.com/fintech-technology/boat-sails-on-long-term-sustainable-growth-path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Future Market Insights (2025). </w:t>
      </w:r>
      <w:r w:rsidRPr="00005374">
        <w:rPr>
          <w:rFonts w:eastAsia="Times New Roman"/>
          <w:i/>
          <w:iCs/>
          <w:sz w:val="24"/>
          <w:szCs w:val="24"/>
          <w:lang w:val="en-GB"/>
        </w:rPr>
        <w:t>Wearable Electronics Market: Global Market Analysis Report - 2035</w:t>
      </w:r>
      <w:r w:rsidRPr="00005374">
        <w:rPr>
          <w:rFonts w:eastAsia="Times New Roman"/>
          <w:sz w:val="24"/>
          <w:szCs w:val="24"/>
          <w:lang w:val="en-GB"/>
        </w:rPr>
        <w:t xml:space="preserve">, </w:t>
      </w:r>
      <w:r w:rsidRPr="00005374">
        <w:rPr>
          <w:rFonts w:eastAsia="Times New Roman"/>
          <w:i/>
          <w:iCs/>
          <w:sz w:val="24"/>
          <w:szCs w:val="24"/>
          <w:lang w:val="en-GB"/>
        </w:rPr>
        <w:t>Future Market Insights</w:t>
      </w:r>
      <w:r w:rsidRPr="00005374">
        <w:rPr>
          <w:rFonts w:eastAsia="Times New Roman"/>
          <w:sz w:val="24"/>
          <w:szCs w:val="24"/>
          <w:lang w:val="en-GB"/>
        </w:rPr>
        <w:t>. Available at: https://www.futuremarketinsights.com/reports/global-wearable-electronics-market (Accessed: 26 November 2025).</w:t>
      </w:r>
    </w:p>
    <w:p w:rsidR="00E10FF0" w:rsidRPr="00005374" w:rsidRDefault="00E10FF0" w:rsidP="00E10FF0">
      <w:pPr>
        <w:spacing w:before="280" w:after="280" w:line="360" w:lineRule="auto"/>
        <w:jc w:val="both"/>
        <w:rPr>
          <w:rFonts w:eastAsia="Times New Roman"/>
          <w:sz w:val="24"/>
          <w:szCs w:val="24"/>
          <w:lang w:val="en-GB"/>
        </w:rPr>
      </w:pPr>
      <w:r w:rsidRPr="00005374">
        <w:rPr>
          <w:rFonts w:eastAsia="Times New Roman"/>
          <w:sz w:val="24"/>
          <w:szCs w:val="24"/>
          <w:lang w:val="en-GB"/>
        </w:rPr>
        <w:t xml:space="preserve">Guido, G., Ugolini, M.M., and Sestino, A. (2022). Active ageing of elderly consumers: insights and opportunities for future business strategies. </w:t>
      </w:r>
      <w:r w:rsidRPr="00005374">
        <w:rPr>
          <w:rFonts w:eastAsia="Times New Roman"/>
          <w:i/>
          <w:iCs/>
          <w:sz w:val="24"/>
          <w:szCs w:val="24"/>
          <w:lang w:val="en-GB"/>
        </w:rPr>
        <w:t>SN Business &amp; Economics</w:t>
      </w:r>
      <w:r w:rsidRPr="00005374">
        <w:rPr>
          <w:rFonts w:eastAsia="Times New Roman"/>
          <w:sz w:val="24"/>
          <w:szCs w:val="24"/>
          <w:lang w:val="en-GB"/>
        </w:rPr>
        <w:t xml:space="preserve">, </w:t>
      </w:r>
      <w:r w:rsidRPr="00005374">
        <w:rPr>
          <w:rFonts w:eastAsia="Times New Roman"/>
          <w:i/>
          <w:iCs/>
          <w:sz w:val="24"/>
          <w:szCs w:val="24"/>
          <w:lang w:val="en-GB"/>
        </w:rPr>
        <w:t>2</w:t>
      </w:r>
      <w:r w:rsidRPr="00005374">
        <w:rPr>
          <w:rFonts w:eastAsia="Times New Roman"/>
          <w:sz w:val="24"/>
          <w:szCs w:val="24"/>
          <w:lang w:val="en-GB"/>
        </w:rPr>
        <w:t xml:space="preserve">(1), p.8. </w:t>
      </w:r>
      <w:hyperlink r:id="rId26">
        <w:r w:rsidRPr="00005374">
          <w:rPr>
            <w:rFonts w:eastAsia="Times New Roman"/>
            <w:sz w:val="24"/>
            <w:szCs w:val="24"/>
            <w:lang w:val="en-GB"/>
          </w:rPr>
          <w:t>https://link.springer.com/article/10.1007/S43546-021-00180-4</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Hao, J., Richey Jr, R.G., Morgan, T.R. and Slazinik, I.M., (2024). The BORIS experience: evaluating omnichannel returns and repurchase intention. </w:t>
      </w:r>
      <w:r w:rsidRPr="00005374">
        <w:rPr>
          <w:rFonts w:eastAsia="Times New Roman"/>
          <w:i/>
          <w:iCs/>
          <w:sz w:val="24"/>
          <w:szCs w:val="24"/>
          <w:lang w:val="en-GB"/>
        </w:rPr>
        <w:t>International Journal of Physical Distribution &amp; Logistics Management</w:t>
      </w:r>
      <w:r w:rsidRPr="00005374">
        <w:rPr>
          <w:rFonts w:eastAsia="Times New Roman"/>
          <w:sz w:val="24"/>
          <w:szCs w:val="24"/>
          <w:lang w:val="en-GB"/>
        </w:rPr>
        <w:t xml:space="preserve">, </w:t>
      </w:r>
      <w:r w:rsidRPr="00005374">
        <w:rPr>
          <w:rFonts w:eastAsia="Times New Roman"/>
          <w:i/>
          <w:iCs/>
          <w:sz w:val="24"/>
          <w:szCs w:val="24"/>
          <w:lang w:val="en-GB"/>
        </w:rPr>
        <w:t>54</w:t>
      </w:r>
      <w:r w:rsidRPr="00005374">
        <w:rPr>
          <w:rFonts w:eastAsia="Times New Roman"/>
          <w:sz w:val="24"/>
          <w:szCs w:val="24"/>
          <w:lang w:val="en-GB"/>
        </w:rPr>
        <w:t xml:space="preserve">(11), pp.44-81. </w:t>
      </w:r>
      <w:hyperlink r:id="rId27">
        <w:r w:rsidRPr="00005374">
          <w:rPr>
            <w:rFonts w:eastAsia="Times New Roman"/>
            <w:sz w:val="24"/>
            <w:szCs w:val="24"/>
            <w:lang w:val="en-GB"/>
          </w:rPr>
          <w:t>https://www.emerald.com/ijpdlm/article/54/11/44/1233922/The-BORIS-experience-evaluating-omnichannel</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Hargrave, M. (2025). </w:t>
      </w:r>
      <w:r w:rsidRPr="00005374">
        <w:rPr>
          <w:rFonts w:eastAsia="Times New Roman"/>
          <w:i/>
          <w:iCs/>
          <w:sz w:val="24"/>
          <w:szCs w:val="24"/>
          <w:lang w:val="en-GB"/>
        </w:rPr>
        <w:t>Understanding Joint Ventures (jvs): Purpose, benefits, and examples</w:t>
      </w:r>
      <w:r w:rsidRPr="00005374">
        <w:rPr>
          <w:rFonts w:eastAsia="Times New Roman"/>
          <w:sz w:val="24"/>
          <w:szCs w:val="24"/>
          <w:lang w:val="en-GB"/>
        </w:rPr>
        <w:t xml:space="preserve">, </w:t>
      </w:r>
      <w:r w:rsidRPr="00005374">
        <w:rPr>
          <w:rFonts w:eastAsia="Times New Roman"/>
          <w:i/>
          <w:iCs/>
          <w:sz w:val="24"/>
          <w:szCs w:val="24"/>
          <w:lang w:val="en-GB"/>
        </w:rPr>
        <w:t>Investopedia</w:t>
      </w:r>
      <w:r w:rsidRPr="00005374">
        <w:rPr>
          <w:rFonts w:eastAsia="Times New Roman"/>
          <w:sz w:val="24"/>
          <w:szCs w:val="24"/>
          <w:lang w:val="en-GB"/>
        </w:rPr>
        <w:t xml:space="preserve">. Available at: https://www.investopedia.com/terms/j/jointventure.asp (Accessed: 26 November 2025). </w:t>
      </w:r>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t xml:space="preserve">He, W., (2024). The Nexus of Market Competition and Pricing Strategies. In </w:t>
      </w:r>
      <w:r w:rsidRPr="00005374">
        <w:rPr>
          <w:rFonts w:eastAsia="Times New Roman"/>
          <w:i/>
          <w:iCs/>
          <w:sz w:val="24"/>
          <w:szCs w:val="24"/>
          <w:highlight w:val="white"/>
          <w:lang w:val="en-GB"/>
        </w:rPr>
        <w:t>2024 9th International Conference on Social Sciences and Economic Development (ICSSED 2024)</w:t>
      </w:r>
      <w:r w:rsidRPr="00005374">
        <w:rPr>
          <w:rFonts w:eastAsia="Times New Roman"/>
          <w:sz w:val="24"/>
          <w:szCs w:val="24"/>
          <w:highlight w:val="white"/>
          <w:lang w:val="en-GB"/>
        </w:rPr>
        <w:t xml:space="preserve"> (pp. 32-38). Atlantis Press.</w:t>
      </w:r>
      <w:hyperlink r:id="rId28">
        <w:r w:rsidRPr="00005374">
          <w:rPr>
            <w:rFonts w:eastAsia="Times New Roman"/>
            <w:sz w:val="24"/>
            <w:szCs w:val="24"/>
            <w:highlight w:val="white"/>
            <w:u w:val="single"/>
            <w:lang w:val="en-GB"/>
          </w:rPr>
          <w:t>https://www.atlantis-press.com/proceedings/icssed-24/126001655</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Hughes, C. (2023). </w:t>
      </w:r>
      <w:r w:rsidRPr="00005374">
        <w:rPr>
          <w:rFonts w:eastAsia="Times New Roman"/>
          <w:i/>
          <w:iCs/>
          <w:sz w:val="24"/>
          <w:szCs w:val="24"/>
          <w:lang w:val="en-GB"/>
        </w:rPr>
        <w:t>Australia: Smartphone penetration rate 2026</w:t>
      </w:r>
      <w:r w:rsidRPr="00005374">
        <w:rPr>
          <w:rFonts w:eastAsia="Times New Roman"/>
          <w:sz w:val="24"/>
          <w:szCs w:val="24"/>
          <w:lang w:val="en-GB"/>
        </w:rPr>
        <w:t xml:space="preserve">, </w:t>
      </w:r>
      <w:r w:rsidRPr="00005374">
        <w:rPr>
          <w:rFonts w:eastAsia="Times New Roman"/>
          <w:i/>
          <w:iCs/>
          <w:sz w:val="24"/>
          <w:szCs w:val="24"/>
          <w:lang w:val="en-GB"/>
        </w:rPr>
        <w:t>Statista</w:t>
      </w:r>
      <w:r w:rsidRPr="00005374">
        <w:rPr>
          <w:rFonts w:eastAsia="Times New Roman"/>
          <w:sz w:val="24"/>
          <w:szCs w:val="24"/>
          <w:lang w:val="en-GB"/>
        </w:rPr>
        <w:t>. Available at: https://www.statista.com/statistics/321477/smartphone-user-penetration-in-</w:t>
      </w:r>
      <w:r w:rsidRPr="00005374">
        <w:rPr>
          <w:rFonts w:eastAsia="Times New Roman"/>
          <w:sz w:val="24"/>
          <w:szCs w:val="24"/>
          <w:lang w:val="en-GB"/>
        </w:rPr>
        <w:lastRenderedPageBreak/>
        <w:t xml:space="preserve">australia/?srsltid=AfmBOope2upvwyBa_v9GEdXEgo7lwj0aPd_U0DFEH8N0CaRVgLSsL9Tw (Accessed: 26 November 2025). </w:t>
      </w:r>
    </w:p>
    <w:p w:rsidR="00E10FF0" w:rsidRPr="00005374" w:rsidRDefault="00E10FF0" w:rsidP="00E10FF0">
      <w:pPr>
        <w:spacing w:after="240" w:line="360" w:lineRule="auto"/>
        <w:jc w:val="both"/>
        <w:rPr>
          <w:rFonts w:eastAsia="Times New Roman"/>
          <w:sz w:val="24"/>
          <w:szCs w:val="24"/>
          <w:lang w:val="en-GB"/>
        </w:rPr>
      </w:pPr>
      <w:r w:rsidRPr="00005374">
        <w:rPr>
          <w:rFonts w:eastAsia="Times New Roman"/>
          <w:sz w:val="24"/>
          <w:szCs w:val="24"/>
          <w:lang w:val="en-GB"/>
        </w:rPr>
        <w:t xml:space="preserve">Indian Retailer (2024). </w:t>
      </w:r>
      <w:r w:rsidRPr="00005374">
        <w:rPr>
          <w:rFonts w:eastAsia="Times New Roman"/>
          <w:i/>
          <w:iCs/>
          <w:sz w:val="24"/>
          <w:szCs w:val="24"/>
          <w:lang w:val="en-GB"/>
        </w:rPr>
        <w:t>{D2C 100} How boAt’s Digital-First Approach is Changing the Game</w:t>
      </w:r>
      <w:r w:rsidRPr="00005374">
        <w:rPr>
          <w:rFonts w:eastAsia="Times New Roman"/>
          <w:sz w:val="24"/>
          <w:szCs w:val="24"/>
          <w:lang w:val="en-GB"/>
        </w:rPr>
        <w:t>. [Online] Available at: https://www.indianretailer.com/article/d2c-new-commerce/perspectives/d2c-100-how-boats-digital-first-approach-changing-game.</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Jaipuria, T. (2025) </w:t>
      </w:r>
      <w:r w:rsidRPr="00005374">
        <w:rPr>
          <w:rFonts w:eastAsia="Times New Roman"/>
          <w:i/>
          <w:iCs/>
          <w:sz w:val="24"/>
          <w:szCs w:val="24"/>
          <w:lang w:val="en-GB"/>
        </w:rPr>
        <w:t>Boat’s turnaround: ₹60 crore profit, ₹3,000 crore revenue in FY25 - CNBC TV18</w:t>
      </w:r>
      <w:r w:rsidRPr="00005374">
        <w:rPr>
          <w:rFonts w:eastAsia="Times New Roman"/>
          <w:sz w:val="24"/>
          <w:szCs w:val="24"/>
          <w:lang w:val="en-GB"/>
        </w:rPr>
        <w:t xml:space="preserve">, </w:t>
      </w:r>
      <w:r w:rsidRPr="00005374">
        <w:rPr>
          <w:rFonts w:eastAsia="Times New Roman"/>
          <w:i/>
          <w:iCs/>
          <w:sz w:val="24"/>
          <w:szCs w:val="24"/>
          <w:lang w:val="en-GB"/>
        </w:rPr>
        <w:t>CNBCTV18</w:t>
      </w:r>
      <w:r w:rsidRPr="00005374">
        <w:rPr>
          <w:rFonts w:eastAsia="Times New Roman"/>
          <w:sz w:val="24"/>
          <w:szCs w:val="24"/>
          <w:lang w:val="en-GB"/>
        </w:rPr>
        <w:t xml:space="preserve">. Available at: https://www.cnbctv18.com/business/startup/boats-turnaround-profitable-fy25-rs-60-cr-profit-revenues-%E2%82%B93000-cr-19704046.htm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Keskin, H., Ayar Şentürk, H., Tatoglu, E., Gölgeci, I., Kalaycioglu, O. and Etlioglu, H.T., (2021). The simultaneous effect of firm capabilities and competitive strategies on export performance: the role of competitive advantages and competitive intensity. </w:t>
      </w:r>
      <w:r w:rsidRPr="00005374">
        <w:rPr>
          <w:rFonts w:eastAsia="Times New Roman"/>
          <w:i/>
          <w:iCs/>
          <w:sz w:val="24"/>
          <w:szCs w:val="24"/>
          <w:lang w:val="en-GB"/>
        </w:rPr>
        <w:t>International Marketing Review</w:t>
      </w:r>
      <w:r w:rsidRPr="00005374">
        <w:rPr>
          <w:rFonts w:eastAsia="Times New Roman"/>
          <w:sz w:val="24"/>
          <w:szCs w:val="24"/>
          <w:lang w:val="en-GB"/>
        </w:rPr>
        <w:t xml:space="preserve">, </w:t>
      </w:r>
      <w:r w:rsidRPr="00005374">
        <w:rPr>
          <w:rFonts w:eastAsia="Times New Roman"/>
          <w:i/>
          <w:iCs/>
          <w:sz w:val="24"/>
          <w:szCs w:val="24"/>
          <w:lang w:val="en-GB"/>
        </w:rPr>
        <w:t>38</w:t>
      </w:r>
      <w:r w:rsidRPr="00005374">
        <w:rPr>
          <w:rFonts w:eastAsia="Times New Roman"/>
          <w:sz w:val="24"/>
          <w:szCs w:val="24"/>
          <w:lang w:val="en-GB"/>
        </w:rPr>
        <w:t xml:space="preserve">(6), pp.1242-1266. </w:t>
      </w:r>
      <w:hyperlink r:id="rId29">
        <w:r w:rsidRPr="00005374">
          <w:rPr>
            <w:rFonts w:eastAsia="Times New Roman"/>
            <w:sz w:val="24"/>
            <w:szCs w:val="24"/>
            <w:shd w:val="clear" w:color="auto" w:fill="F7F7F7"/>
            <w:lang w:val="en-GB"/>
          </w:rPr>
          <w:t>https://doi.org/10.1108/IMR-09-2019-0227</w:t>
        </w:r>
      </w:hyperlink>
    </w:p>
    <w:p w:rsidR="00E10FF0" w:rsidRPr="00005374" w:rsidRDefault="00E10FF0" w:rsidP="00E10FF0">
      <w:pPr>
        <w:spacing w:line="360" w:lineRule="auto"/>
        <w:jc w:val="both"/>
        <w:rPr>
          <w:rFonts w:eastAsia="Times New Roman"/>
          <w:sz w:val="24"/>
          <w:szCs w:val="24"/>
          <w:highlight w:val="white"/>
          <w:lang w:val="en-GB"/>
        </w:rPr>
      </w:pPr>
      <w:r w:rsidRPr="00005374">
        <w:rPr>
          <w:rFonts w:eastAsia="Times New Roman"/>
          <w:sz w:val="24"/>
          <w:szCs w:val="24"/>
          <w:highlight w:val="white"/>
          <w:lang w:val="en-GB"/>
        </w:rPr>
        <w:t xml:space="preserve">La Torre, M., Botes, V.L., Dumay, J. and Odendaal, E., (2021). Protecting a new Achilles heel: the role of auditors within the practice of data protection. </w:t>
      </w:r>
      <w:r w:rsidRPr="00005374">
        <w:rPr>
          <w:rFonts w:eastAsia="Times New Roman"/>
          <w:i/>
          <w:iCs/>
          <w:sz w:val="24"/>
          <w:szCs w:val="24"/>
          <w:highlight w:val="white"/>
          <w:lang w:val="en-GB"/>
        </w:rPr>
        <w:t>Managerial Auditing Journal</w:t>
      </w:r>
      <w:r w:rsidRPr="00005374">
        <w:rPr>
          <w:rFonts w:eastAsia="Times New Roman"/>
          <w:sz w:val="24"/>
          <w:szCs w:val="24"/>
          <w:highlight w:val="white"/>
          <w:lang w:val="en-GB"/>
        </w:rPr>
        <w:t xml:space="preserve">, </w:t>
      </w:r>
      <w:r w:rsidRPr="00005374">
        <w:rPr>
          <w:rFonts w:eastAsia="Times New Roman"/>
          <w:i/>
          <w:iCs/>
          <w:sz w:val="24"/>
          <w:szCs w:val="24"/>
          <w:highlight w:val="white"/>
          <w:lang w:val="en-GB"/>
        </w:rPr>
        <w:t>36</w:t>
      </w:r>
      <w:r w:rsidRPr="00005374">
        <w:rPr>
          <w:rFonts w:eastAsia="Times New Roman"/>
          <w:sz w:val="24"/>
          <w:szCs w:val="24"/>
          <w:highlight w:val="white"/>
          <w:lang w:val="en-GB"/>
        </w:rPr>
        <w:t>(2), pp.218-239.</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lexology.com, (2024). </w:t>
      </w:r>
      <w:r w:rsidRPr="00005374">
        <w:rPr>
          <w:rFonts w:eastAsia="Times New Roman"/>
          <w:i/>
          <w:iCs/>
          <w:sz w:val="24"/>
          <w:szCs w:val="24"/>
          <w:lang w:val="en-GB"/>
        </w:rPr>
        <w:t>Australian Anti-Bribery Legislation Comes into Effect: Key Measures for Compliance for Australian Companies...</w:t>
      </w:r>
      <w:r w:rsidRPr="00005374">
        <w:rPr>
          <w:rFonts w:eastAsia="Times New Roman"/>
          <w:sz w:val="24"/>
          <w:szCs w:val="24"/>
          <w:lang w:val="en-GB"/>
        </w:rPr>
        <w:t xml:space="preserve"> [Online] Lexology. Available at: https://www.lexology.com/library/detail.aspx?g=c0d43c13-fe0f-40e7-a4a1-2f055898605a [Accessed 26 Nov. 2025].</w:t>
      </w:r>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t xml:space="preserve">Libai, B., Rosario, A.B., Beichert, M., Donkers, B., Haenlein, M., Hofstetter, R., Kannan, P.K., van der Lans, R., Lanz, A., Li, H.A. and Mayzlin, D., (2025). Influencer marketing unlocked: Understanding the value chains driving the creator economy. </w:t>
      </w:r>
      <w:r w:rsidRPr="00005374">
        <w:rPr>
          <w:rFonts w:eastAsia="Times New Roman"/>
          <w:i/>
          <w:iCs/>
          <w:sz w:val="24"/>
          <w:szCs w:val="24"/>
          <w:highlight w:val="white"/>
          <w:lang w:val="en-GB"/>
        </w:rPr>
        <w:t>Journal of the Academy of Marketing Science</w:t>
      </w:r>
      <w:r w:rsidRPr="00005374">
        <w:rPr>
          <w:rFonts w:eastAsia="Times New Roman"/>
          <w:sz w:val="24"/>
          <w:szCs w:val="24"/>
          <w:highlight w:val="white"/>
          <w:lang w:val="en-GB"/>
        </w:rPr>
        <w:t xml:space="preserve">, </w:t>
      </w:r>
      <w:r w:rsidRPr="00005374">
        <w:rPr>
          <w:rFonts w:eastAsia="Times New Roman"/>
          <w:i/>
          <w:iCs/>
          <w:sz w:val="24"/>
          <w:szCs w:val="24"/>
          <w:highlight w:val="white"/>
          <w:lang w:val="en-GB"/>
        </w:rPr>
        <w:t>53</w:t>
      </w:r>
      <w:r w:rsidRPr="00005374">
        <w:rPr>
          <w:rFonts w:eastAsia="Times New Roman"/>
          <w:sz w:val="24"/>
          <w:szCs w:val="24"/>
          <w:highlight w:val="white"/>
          <w:lang w:val="en-GB"/>
        </w:rPr>
        <w:t>(1), pp.4-28.</w:t>
      </w:r>
    </w:p>
    <w:p w:rsidR="00E10FF0" w:rsidRPr="00005374" w:rsidRDefault="00E10FF0" w:rsidP="00E10FF0">
      <w:pPr>
        <w:spacing w:before="240" w:after="160" w:line="360" w:lineRule="auto"/>
        <w:jc w:val="both"/>
        <w:rPr>
          <w:rFonts w:eastAsia="Times New Roman"/>
          <w:sz w:val="24"/>
          <w:szCs w:val="24"/>
          <w:lang w:val="en-GB"/>
        </w:rPr>
      </w:pPr>
      <w:r w:rsidRPr="00005374">
        <w:rPr>
          <w:rFonts w:eastAsia="Times New Roman"/>
          <w:sz w:val="24"/>
          <w:szCs w:val="24"/>
          <w:lang w:val="en-GB"/>
        </w:rPr>
        <w:t>‌LinkedIn.com. (2025). </w:t>
      </w:r>
      <w:r w:rsidRPr="00005374">
        <w:rPr>
          <w:rFonts w:eastAsia="Times New Roman"/>
          <w:i/>
          <w:iCs/>
          <w:sz w:val="24"/>
          <w:szCs w:val="24"/>
          <w:lang w:val="en-GB"/>
        </w:rPr>
        <w:t>LinkedIn</w:t>
      </w:r>
      <w:r w:rsidRPr="00005374">
        <w:rPr>
          <w:rFonts w:eastAsia="Times New Roman"/>
          <w:sz w:val="24"/>
          <w:szCs w:val="24"/>
          <w:lang w:val="en-GB"/>
        </w:rPr>
        <w:t>. [Online] Available at: https://www.linkedin.com/posts/beingbeyond_ipo-boat-groww-activity-7393943812638670848-Y8IL/ [Accessed 27 Nov.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lastRenderedPageBreak/>
        <w:t xml:space="preserve">Livemint, (2025). </w:t>
      </w:r>
      <w:r w:rsidRPr="00005374">
        <w:rPr>
          <w:rFonts w:eastAsia="Times New Roman"/>
          <w:i/>
          <w:iCs/>
          <w:sz w:val="24"/>
          <w:szCs w:val="24"/>
          <w:lang w:val="en-GB"/>
        </w:rPr>
        <w:t>Boat returns to profitability after 2 years; posts ₹60 cr profit in FY25: Company Business News</w:t>
      </w:r>
      <w:r w:rsidRPr="00005374">
        <w:rPr>
          <w:rFonts w:eastAsia="Times New Roman"/>
          <w:sz w:val="24"/>
          <w:szCs w:val="24"/>
          <w:lang w:val="en-GB"/>
        </w:rPr>
        <w:t xml:space="preserve">, </w:t>
      </w:r>
      <w:r w:rsidRPr="00005374">
        <w:rPr>
          <w:rFonts w:eastAsia="Times New Roman"/>
          <w:i/>
          <w:iCs/>
          <w:sz w:val="24"/>
          <w:szCs w:val="24"/>
          <w:lang w:val="en-GB"/>
        </w:rPr>
        <w:t>mint</w:t>
      </w:r>
      <w:r w:rsidRPr="00005374">
        <w:rPr>
          <w:rFonts w:eastAsia="Times New Roman"/>
          <w:sz w:val="24"/>
          <w:szCs w:val="24"/>
          <w:lang w:val="en-GB"/>
        </w:rPr>
        <w:t xml:space="preserve">. Available at: https://www.livemint.com/companies/company-results/boat-returns-to-profitability-after-2-years-posts-rs-60-cr-profit-in-fy25-11759750881639.html (Accessed: 26 November 2025). </w:t>
      </w:r>
    </w:p>
    <w:p w:rsidR="00E10FF0" w:rsidRPr="00005374" w:rsidRDefault="00E10FF0" w:rsidP="00E10FF0">
      <w:pPr>
        <w:spacing w:after="240" w:line="360" w:lineRule="auto"/>
        <w:jc w:val="both"/>
        <w:rPr>
          <w:rFonts w:eastAsia="Times New Roman"/>
          <w:sz w:val="24"/>
          <w:szCs w:val="24"/>
          <w:lang w:val="en-GB"/>
        </w:rPr>
      </w:pPr>
      <w:r w:rsidRPr="00005374">
        <w:rPr>
          <w:rFonts w:eastAsia="Times New Roman"/>
          <w:sz w:val="24"/>
          <w:szCs w:val="24"/>
          <w:lang w:val="en-GB"/>
        </w:rPr>
        <w:t xml:space="preserve">Lowyinstitute.org, (2025). </w:t>
      </w:r>
      <w:r w:rsidRPr="00005374">
        <w:rPr>
          <w:rFonts w:eastAsia="Times New Roman"/>
          <w:i/>
          <w:iCs/>
          <w:sz w:val="24"/>
          <w:szCs w:val="24"/>
          <w:lang w:val="en-GB"/>
        </w:rPr>
        <w:t>Australia - Lowy Institute Asia Power Index</w:t>
      </w:r>
      <w:r w:rsidRPr="00005374">
        <w:rPr>
          <w:rFonts w:eastAsia="Times New Roman"/>
          <w:sz w:val="24"/>
          <w:szCs w:val="24"/>
          <w:lang w:val="en-GB"/>
        </w:rPr>
        <w:t>. [online] Lowyinstitute.org. Available at: https://power.lowyinstitute.org/countries/australia/ [Accessed 26 Nov.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‌Maher, C. (2024). </w:t>
      </w:r>
      <w:r w:rsidRPr="00005374">
        <w:rPr>
          <w:rFonts w:eastAsia="Times New Roman"/>
          <w:i/>
          <w:iCs/>
          <w:sz w:val="24"/>
          <w:szCs w:val="24"/>
          <w:lang w:val="en-GB"/>
        </w:rPr>
        <w:t>Trade mark registration: How to register a trademark in Australia</w:t>
      </w:r>
      <w:r w:rsidRPr="00005374">
        <w:rPr>
          <w:rFonts w:eastAsia="Times New Roman"/>
          <w:sz w:val="24"/>
          <w:szCs w:val="24"/>
          <w:lang w:val="en-GB"/>
        </w:rPr>
        <w:t>. [Online] Markster. Available at: https://www.markster.com.au/post/trademark-registration-guide-australia [Accessed 26 Nov.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Manchanada, K. (2025) </w:t>
      </w:r>
      <w:r w:rsidRPr="00005374">
        <w:rPr>
          <w:rFonts w:eastAsia="Times New Roman"/>
          <w:i/>
          <w:iCs/>
          <w:sz w:val="24"/>
          <w:szCs w:val="24"/>
          <w:lang w:val="en-GB"/>
        </w:rPr>
        <w:t>Boat makes turnaround in FY25 with rs 60 cr profit</w:t>
      </w:r>
      <w:r w:rsidRPr="00005374">
        <w:rPr>
          <w:rFonts w:eastAsia="Times New Roman"/>
          <w:sz w:val="24"/>
          <w:szCs w:val="24"/>
          <w:lang w:val="en-GB"/>
        </w:rPr>
        <w:t xml:space="preserve">, </w:t>
      </w:r>
      <w:r w:rsidRPr="00005374">
        <w:rPr>
          <w:rFonts w:eastAsia="Times New Roman"/>
          <w:i/>
          <w:iCs/>
          <w:sz w:val="24"/>
          <w:szCs w:val="24"/>
          <w:lang w:val="en-GB"/>
        </w:rPr>
        <w:t>Entrackr</w:t>
      </w:r>
      <w:r w:rsidRPr="00005374">
        <w:rPr>
          <w:rFonts w:eastAsia="Times New Roman"/>
          <w:sz w:val="24"/>
          <w:szCs w:val="24"/>
          <w:lang w:val="en-GB"/>
        </w:rPr>
        <w:t xml:space="preserve">. Available at: https://entrackr.com/fintrackr/boat-makes-turnaround-in-fy25-with-rs-60-cr-profit-9986751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Marcos, A.M.B.D.F. and Coelho, A.F.D.M., (2022). Service quality, customer satisfaction and customer value: holistic determinants of loyalty and word-of-mouth in services. </w:t>
      </w:r>
      <w:r w:rsidRPr="00005374">
        <w:rPr>
          <w:rFonts w:eastAsia="Times New Roman"/>
          <w:i/>
          <w:iCs/>
          <w:sz w:val="24"/>
          <w:szCs w:val="24"/>
          <w:lang w:val="en-GB"/>
        </w:rPr>
        <w:t>The TQM Journal</w:t>
      </w:r>
      <w:r w:rsidRPr="00005374">
        <w:rPr>
          <w:rFonts w:eastAsia="Times New Roman"/>
          <w:sz w:val="24"/>
          <w:szCs w:val="24"/>
          <w:lang w:val="en-GB"/>
        </w:rPr>
        <w:t xml:space="preserve">, </w:t>
      </w:r>
      <w:r w:rsidRPr="00005374">
        <w:rPr>
          <w:rFonts w:eastAsia="Times New Roman"/>
          <w:i/>
          <w:iCs/>
          <w:sz w:val="24"/>
          <w:szCs w:val="24"/>
          <w:lang w:val="en-GB"/>
        </w:rPr>
        <w:t>34</w:t>
      </w:r>
      <w:r w:rsidRPr="00005374">
        <w:rPr>
          <w:rFonts w:eastAsia="Times New Roman"/>
          <w:sz w:val="24"/>
          <w:szCs w:val="24"/>
          <w:lang w:val="en-GB"/>
        </w:rPr>
        <w:t xml:space="preserve">(5), pp.957-978. </w:t>
      </w:r>
      <w:hyperlink r:id="rId30">
        <w:r w:rsidRPr="00005374">
          <w:rPr>
            <w:rFonts w:eastAsia="Times New Roman"/>
            <w:sz w:val="24"/>
            <w:szCs w:val="24"/>
            <w:lang w:val="en-GB"/>
          </w:rPr>
          <w:t>https://www.emerald.com/tqm/article-abstract/34/5/957/380572/Service-quality-customer-satisfaction-and-customer?redirectedFrom=fulltext</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Mordor Intelligence, (2025). </w:t>
      </w:r>
      <w:r w:rsidRPr="00005374">
        <w:rPr>
          <w:rFonts w:eastAsia="Times New Roman"/>
          <w:i/>
          <w:iCs/>
          <w:sz w:val="24"/>
          <w:szCs w:val="24"/>
          <w:lang w:val="en-GB"/>
        </w:rPr>
        <w:t>Australia wearables market - size, share &amp; statistics</w:t>
      </w:r>
      <w:r w:rsidRPr="00005374">
        <w:rPr>
          <w:rFonts w:eastAsia="Times New Roman"/>
          <w:sz w:val="24"/>
          <w:szCs w:val="24"/>
          <w:lang w:val="en-GB"/>
        </w:rPr>
        <w:t xml:space="preserve">, </w:t>
      </w:r>
      <w:r w:rsidRPr="00005374">
        <w:rPr>
          <w:rFonts w:eastAsia="Times New Roman"/>
          <w:i/>
          <w:iCs/>
          <w:sz w:val="24"/>
          <w:szCs w:val="24"/>
          <w:lang w:val="en-GB"/>
        </w:rPr>
        <w:t>Mordor Intelligence</w:t>
      </w:r>
      <w:r w:rsidRPr="00005374">
        <w:rPr>
          <w:rFonts w:eastAsia="Times New Roman"/>
          <w:sz w:val="24"/>
          <w:szCs w:val="24"/>
          <w:lang w:val="en-GB"/>
        </w:rPr>
        <w:t xml:space="preserve">. Available at: https://www.mordorintelligence.com/industry-reports/australia-wearables-market (Accessed: 26 November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Mordorintelligence (2025) </w:t>
      </w:r>
      <w:r w:rsidRPr="00005374">
        <w:rPr>
          <w:rFonts w:eastAsia="Times New Roman"/>
          <w:i/>
          <w:iCs/>
          <w:sz w:val="24"/>
          <w:szCs w:val="24"/>
          <w:lang w:val="en-GB"/>
        </w:rPr>
        <w:t>India smart wearable market: Size, share, research, and Trends Review</w:t>
      </w:r>
      <w:r w:rsidRPr="00005374">
        <w:rPr>
          <w:rFonts w:eastAsia="Times New Roman"/>
          <w:sz w:val="24"/>
          <w:szCs w:val="24"/>
          <w:lang w:val="en-GB"/>
        </w:rPr>
        <w:t xml:space="preserve">, </w:t>
      </w:r>
      <w:r w:rsidRPr="00005374">
        <w:rPr>
          <w:rFonts w:eastAsia="Times New Roman"/>
          <w:i/>
          <w:iCs/>
          <w:sz w:val="24"/>
          <w:szCs w:val="24"/>
          <w:lang w:val="en-GB"/>
        </w:rPr>
        <w:t>Mordor Intelligence</w:t>
      </w:r>
      <w:r w:rsidRPr="00005374">
        <w:rPr>
          <w:rFonts w:eastAsia="Times New Roman"/>
          <w:sz w:val="24"/>
          <w:szCs w:val="24"/>
          <w:lang w:val="en-GB"/>
        </w:rPr>
        <w:t xml:space="preserve">. Available at: https://www.mordorintelligence.com/industry-reports/india-smart-wearable-market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lastRenderedPageBreak/>
        <w:t xml:space="preserve">Morshed, A., (2024). Strategic working capital management in Polish SMES: Navigating risk and reward for enhanced financial performance. </w:t>
      </w:r>
      <w:r w:rsidRPr="00005374">
        <w:rPr>
          <w:rFonts w:eastAsia="Times New Roman"/>
          <w:i/>
          <w:iCs/>
          <w:sz w:val="24"/>
          <w:szCs w:val="24"/>
          <w:lang w:val="en-GB"/>
        </w:rPr>
        <w:t>Investment Management &amp; Financial Innovations</w:t>
      </w:r>
      <w:r w:rsidRPr="00005374">
        <w:rPr>
          <w:rFonts w:eastAsia="Times New Roman"/>
          <w:sz w:val="24"/>
          <w:szCs w:val="24"/>
          <w:lang w:val="en-GB"/>
        </w:rPr>
        <w:t xml:space="preserve">, </w:t>
      </w:r>
      <w:r w:rsidRPr="00005374">
        <w:rPr>
          <w:rFonts w:eastAsia="Times New Roman"/>
          <w:i/>
          <w:iCs/>
          <w:sz w:val="24"/>
          <w:szCs w:val="24"/>
          <w:lang w:val="en-GB"/>
        </w:rPr>
        <w:t>21</w:t>
      </w:r>
      <w:r w:rsidRPr="00005374">
        <w:rPr>
          <w:rFonts w:eastAsia="Times New Roman"/>
          <w:sz w:val="24"/>
          <w:szCs w:val="24"/>
          <w:lang w:val="en-GB"/>
        </w:rPr>
        <w:t xml:space="preserve">(2), p.253. </w:t>
      </w:r>
      <w:hyperlink r:id="rId31">
        <w:r w:rsidRPr="00005374">
          <w:rPr>
            <w:rFonts w:eastAsia="Times New Roman"/>
            <w:sz w:val="24"/>
            <w:szCs w:val="24"/>
            <w:lang w:val="en-GB"/>
          </w:rPr>
          <w:t>https://www.businessperspectives.org/images/pdf/applications/publishing/templates/article/assets/20109/IMFI_2024_02_Morshed.pdf</w:t>
        </w:r>
      </w:hyperlink>
    </w:p>
    <w:p w:rsidR="00E10FF0" w:rsidRPr="00005374" w:rsidRDefault="00E10FF0" w:rsidP="00E10FF0">
      <w:pPr>
        <w:spacing w:line="360" w:lineRule="auto"/>
        <w:jc w:val="both"/>
        <w:rPr>
          <w:rFonts w:eastAsia="Times New Roman"/>
          <w:sz w:val="24"/>
          <w:szCs w:val="24"/>
          <w:highlight w:val="white"/>
          <w:lang w:val="en-GB"/>
        </w:rPr>
      </w:pPr>
      <w:r w:rsidRPr="00005374">
        <w:rPr>
          <w:rFonts w:eastAsia="Times New Roman"/>
          <w:sz w:val="24"/>
          <w:szCs w:val="24"/>
          <w:highlight w:val="white"/>
          <w:lang w:val="en-GB"/>
        </w:rPr>
        <w:t xml:space="preserve">Nicolini, E., (2022). Built Environment and Wellbeing—Standards, Multi-Criteria Evaluation Methods, Certifications. </w:t>
      </w:r>
      <w:r w:rsidRPr="00005374">
        <w:rPr>
          <w:rFonts w:eastAsia="Times New Roman"/>
          <w:i/>
          <w:iCs/>
          <w:sz w:val="24"/>
          <w:szCs w:val="24"/>
          <w:highlight w:val="white"/>
          <w:lang w:val="en-GB"/>
        </w:rPr>
        <w:t>Sustainability</w:t>
      </w:r>
      <w:r w:rsidRPr="00005374">
        <w:rPr>
          <w:rFonts w:eastAsia="Times New Roman"/>
          <w:sz w:val="24"/>
          <w:szCs w:val="24"/>
          <w:highlight w:val="white"/>
          <w:lang w:val="en-GB"/>
        </w:rPr>
        <w:t xml:space="preserve">, </w:t>
      </w:r>
      <w:r w:rsidRPr="00005374">
        <w:rPr>
          <w:rFonts w:eastAsia="Times New Roman"/>
          <w:i/>
          <w:iCs/>
          <w:sz w:val="24"/>
          <w:szCs w:val="24"/>
          <w:highlight w:val="white"/>
          <w:lang w:val="en-GB"/>
        </w:rPr>
        <w:t>14</w:t>
      </w:r>
      <w:r w:rsidRPr="00005374">
        <w:rPr>
          <w:rFonts w:eastAsia="Times New Roman"/>
          <w:sz w:val="24"/>
          <w:szCs w:val="24"/>
          <w:highlight w:val="white"/>
          <w:lang w:val="en-GB"/>
        </w:rPr>
        <w:t>(8), p.4754.</w:t>
      </w:r>
      <w:r w:rsidRPr="00005374">
        <w:rPr>
          <w:rFonts w:eastAsia="Times New Roman"/>
          <w:sz w:val="24"/>
          <w:szCs w:val="24"/>
          <w:lang w:val="en-GB"/>
        </w:rPr>
        <w:t xml:space="preserve"> </w:t>
      </w:r>
      <w:hyperlink r:id="rId32">
        <w:r w:rsidRPr="00005374">
          <w:rPr>
            <w:rFonts w:eastAsia="Times New Roman"/>
            <w:sz w:val="24"/>
            <w:szCs w:val="24"/>
            <w:highlight w:val="white"/>
            <w:u w:val="single"/>
            <w:lang w:val="en-GB"/>
          </w:rPr>
          <w:t>https://www.mdpi.com/2071-1050/14/8/4754</w:t>
        </w:r>
      </w:hyperlink>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t>Noe, S., (2023). Household Recycling Behaviour in Metropolitan Australia: A Social Practice Theory Perspective.</w:t>
      </w:r>
      <w:r w:rsidRPr="00005374">
        <w:rPr>
          <w:rFonts w:eastAsia="Times New Roman"/>
          <w:sz w:val="24"/>
          <w:szCs w:val="24"/>
          <w:lang w:val="en-GB"/>
        </w:rPr>
        <w:t xml:space="preserve"> </w:t>
      </w:r>
      <w:hyperlink r:id="rId33" w:anchor="attach_additional_files">
        <w:r w:rsidRPr="00005374">
          <w:rPr>
            <w:rFonts w:eastAsia="Times New Roman"/>
            <w:sz w:val="24"/>
            <w:szCs w:val="24"/>
            <w:highlight w:val="white"/>
            <w:u w:val="single"/>
            <w:lang w:val="en-GB"/>
          </w:rPr>
          <w:t>https://researchonline.nd.edu.au/398/#attach_additional_files</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Osborne, S.P., Powell, M., Cui, T. and Strokosch, K., (2022). Value creation in the public service ecosystem: An integrative framework. </w:t>
      </w:r>
      <w:r w:rsidRPr="00005374">
        <w:rPr>
          <w:rFonts w:eastAsia="Times New Roman"/>
          <w:i/>
          <w:iCs/>
          <w:sz w:val="24"/>
          <w:szCs w:val="24"/>
          <w:lang w:val="en-GB"/>
        </w:rPr>
        <w:t>Public Administration Review</w:t>
      </w:r>
      <w:r w:rsidRPr="00005374">
        <w:rPr>
          <w:rFonts w:eastAsia="Times New Roman"/>
          <w:sz w:val="24"/>
          <w:szCs w:val="24"/>
          <w:lang w:val="en-GB"/>
        </w:rPr>
        <w:t xml:space="preserve">, </w:t>
      </w:r>
      <w:r w:rsidRPr="00005374">
        <w:rPr>
          <w:rFonts w:eastAsia="Times New Roman"/>
          <w:i/>
          <w:iCs/>
          <w:sz w:val="24"/>
          <w:szCs w:val="24"/>
          <w:lang w:val="en-GB"/>
        </w:rPr>
        <w:t>82</w:t>
      </w:r>
      <w:r w:rsidRPr="00005374">
        <w:rPr>
          <w:rFonts w:eastAsia="Times New Roman"/>
          <w:sz w:val="24"/>
          <w:szCs w:val="24"/>
          <w:lang w:val="en-GB"/>
        </w:rPr>
        <w:t>(4), pp.634-645.</w:t>
      </w:r>
      <w:hyperlink r:id="rId34">
        <w:r w:rsidRPr="00005374">
          <w:rPr>
            <w:rFonts w:eastAsia="Times New Roman"/>
            <w:sz w:val="24"/>
            <w:szCs w:val="24"/>
            <w:lang w:val="en-GB"/>
          </w:rPr>
          <w:t>https://onlinelibrary.wiley.com/doi/full/10.1111/puar.13474</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Rtsprofessionalstudy (2023) </w:t>
      </w:r>
      <w:r w:rsidRPr="00005374">
        <w:rPr>
          <w:rFonts w:eastAsia="Times New Roman"/>
          <w:i/>
          <w:iCs/>
          <w:sz w:val="24"/>
          <w:szCs w:val="24"/>
          <w:lang w:val="en-GB"/>
        </w:rPr>
        <w:t>India’s overall exports cross an all time high of US$ 750 billion in the 75th year of Independence: Sh. Piyush Goyal</w:t>
      </w:r>
      <w:r w:rsidRPr="00005374">
        <w:rPr>
          <w:rFonts w:eastAsia="Times New Roman"/>
          <w:sz w:val="24"/>
          <w:szCs w:val="24"/>
          <w:lang w:val="en-GB"/>
        </w:rPr>
        <w:t xml:space="preserve">, </w:t>
      </w:r>
      <w:r w:rsidRPr="00005374">
        <w:rPr>
          <w:rFonts w:eastAsia="Times New Roman"/>
          <w:i/>
          <w:iCs/>
          <w:sz w:val="24"/>
          <w:szCs w:val="24"/>
          <w:lang w:val="en-GB"/>
        </w:rPr>
        <w:t>RTS Professional Study -</w:t>
      </w:r>
      <w:r w:rsidRPr="00005374">
        <w:rPr>
          <w:rFonts w:eastAsia="Times New Roman"/>
          <w:sz w:val="24"/>
          <w:szCs w:val="24"/>
          <w:lang w:val="en-GB"/>
        </w:rPr>
        <w:t xml:space="preserve">. Available at: https://rtsprofessionalstudy.com/indias-overall-exports-cross-an-all-time-high-of-us-750-billion-in-the-75th-year-of-independence-sh-piyush-goyal/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Saxena, D. (2022). </w:t>
      </w:r>
      <w:r w:rsidRPr="00005374">
        <w:rPr>
          <w:rFonts w:eastAsia="Times New Roman"/>
          <w:i/>
          <w:iCs/>
          <w:sz w:val="24"/>
          <w:szCs w:val="24"/>
          <w:lang w:val="en-GB"/>
        </w:rPr>
        <w:t>Modes of entry into international business [advantages &amp; disadvantages]</w:t>
      </w:r>
      <w:r w:rsidRPr="00005374">
        <w:rPr>
          <w:rFonts w:eastAsia="Times New Roman"/>
          <w:sz w:val="24"/>
          <w:szCs w:val="24"/>
          <w:lang w:val="en-GB"/>
        </w:rPr>
        <w:t xml:space="preserve">, </w:t>
      </w:r>
      <w:r w:rsidRPr="00005374">
        <w:rPr>
          <w:rFonts w:eastAsia="Times New Roman"/>
          <w:i/>
          <w:iCs/>
          <w:sz w:val="24"/>
          <w:szCs w:val="24"/>
          <w:lang w:val="en-GB"/>
        </w:rPr>
        <w:t>Super Heuristics</w:t>
      </w:r>
      <w:r w:rsidRPr="00005374">
        <w:rPr>
          <w:rFonts w:eastAsia="Times New Roman"/>
          <w:sz w:val="24"/>
          <w:szCs w:val="24"/>
          <w:lang w:val="en-GB"/>
        </w:rPr>
        <w:t xml:space="preserve">. Available at: https://www.superheuristics.com/5-modes-of-entry-into-international-markets/ (Accessed: 26 November 2025). </w:t>
      </w:r>
    </w:p>
    <w:p w:rsidR="00E10FF0" w:rsidRPr="00005374" w:rsidRDefault="00E10FF0" w:rsidP="00E10FF0">
      <w:pPr>
        <w:spacing w:line="360" w:lineRule="auto"/>
        <w:jc w:val="both"/>
        <w:rPr>
          <w:rFonts w:eastAsia="Times New Roman"/>
          <w:sz w:val="24"/>
          <w:szCs w:val="24"/>
          <w:highlight w:val="white"/>
          <w:lang w:val="en-GB"/>
        </w:rPr>
      </w:pPr>
      <w:r w:rsidRPr="00005374">
        <w:rPr>
          <w:rFonts w:eastAsia="Times New Roman"/>
          <w:sz w:val="24"/>
          <w:szCs w:val="24"/>
          <w:highlight w:val="white"/>
          <w:lang w:val="en-GB"/>
        </w:rPr>
        <w:t xml:space="preserve">Seyi-Lande, O.B., Arowogbadamu, A.A.G. and Oziri, S.T., (2022). Cross-Functional Key Performance Indicator Frameworks for Driving Organizational Alignment and Sustainable Business Growth. </w:t>
      </w:r>
      <w:r w:rsidRPr="00005374">
        <w:rPr>
          <w:rFonts w:eastAsia="Times New Roman"/>
          <w:i/>
          <w:iCs/>
          <w:sz w:val="24"/>
          <w:szCs w:val="24"/>
          <w:highlight w:val="white"/>
          <w:lang w:val="en-GB"/>
        </w:rPr>
        <w:t>International Journal of Multidisciplinary Futuristic Development</w:t>
      </w:r>
      <w:r w:rsidRPr="00005374">
        <w:rPr>
          <w:rFonts w:eastAsia="Times New Roman"/>
          <w:sz w:val="24"/>
          <w:szCs w:val="24"/>
          <w:highlight w:val="white"/>
          <w:lang w:val="en-GB"/>
        </w:rPr>
        <w:t xml:space="preserve">, </w:t>
      </w:r>
      <w:r w:rsidRPr="00005374">
        <w:rPr>
          <w:rFonts w:eastAsia="Times New Roman"/>
          <w:i/>
          <w:iCs/>
          <w:sz w:val="24"/>
          <w:szCs w:val="24"/>
          <w:highlight w:val="white"/>
          <w:lang w:val="en-GB"/>
        </w:rPr>
        <w:t>1</w:t>
      </w:r>
      <w:r w:rsidRPr="00005374">
        <w:rPr>
          <w:rFonts w:eastAsia="Times New Roman"/>
          <w:sz w:val="24"/>
          <w:szCs w:val="24"/>
          <w:highlight w:val="white"/>
          <w:lang w:val="en-GB"/>
        </w:rPr>
        <w:t>(2), pp.1-18.</w:t>
      </w:r>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highlight w:val="white"/>
          <w:lang w:val="en-GB"/>
        </w:rPr>
        <w:lastRenderedPageBreak/>
        <w:t xml:space="preserve">Shehab, M.J., Kassem, I., Kutty, A.A., Kucukvar, M., Onat, N. and Khattab, T., (2021). 5G networks towards smart and sustainable cities: A review of recent developments, applications and future perspectives. </w:t>
      </w:r>
      <w:r w:rsidRPr="00005374">
        <w:rPr>
          <w:rFonts w:eastAsia="Times New Roman"/>
          <w:i/>
          <w:iCs/>
          <w:sz w:val="24"/>
          <w:szCs w:val="24"/>
          <w:highlight w:val="white"/>
          <w:lang w:val="en-GB"/>
        </w:rPr>
        <w:t>IEEe Access</w:t>
      </w:r>
      <w:r w:rsidRPr="00005374">
        <w:rPr>
          <w:rFonts w:eastAsia="Times New Roman"/>
          <w:sz w:val="24"/>
          <w:szCs w:val="24"/>
          <w:highlight w:val="white"/>
          <w:lang w:val="en-GB"/>
        </w:rPr>
        <w:t xml:space="preserve">, </w:t>
      </w:r>
      <w:r w:rsidRPr="00005374">
        <w:rPr>
          <w:rFonts w:eastAsia="Times New Roman"/>
          <w:i/>
          <w:iCs/>
          <w:sz w:val="24"/>
          <w:szCs w:val="24"/>
          <w:highlight w:val="white"/>
          <w:lang w:val="en-GB"/>
        </w:rPr>
        <w:t>10</w:t>
      </w:r>
      <w:r w:rsidRPr="00005374">
        <w:rPr>
          <w:rFonts w:eastAsia="Times New Roman"/>
          <w:sz w:val="24"/>
          <w:szCs w:val="24"/>
          <w:highlight w:val="white"/>
          <w:lang w:val="en-GB"/>
        </w:rPr>
        <w:t>, pp.2987-3006.</w:t>
      </w:r>
      <w:hyperlink r:id="rId35">
        <w:r w:rsidRPr="00005374">
          <w:rPr>
            <w:rFonts w:eastAsia="Times New Roman"/>
            <w:sz w:val="24"/>
            <w:szCs w:val="24"/>
            <w:highlight w:val="white"/>
            <w:u w:val="single"/>
            <w:lang w:val="en-GB"/>
          </w:rPr>
          <w:t>https://ieeexplore.ieee.org/abstract/document/9665730</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Statista (2025) </w:t>
      </w:r>
      <w:r w:rsidRPr="00005374">
        <w:rPr>
          <w:rFonts w:eastAsia="Times New Roman"/>
          <w:i/>
          <w:iCs/>
          <w:sz w:val="24"/>
          <w:szCs w:val="24"/>
          <w:lang w:val="en-GB"/>
        </w:rPr>
        <w:t>Australia: Smartphone penetration rate 2026</w:t>
      </w:r>
      <w:r w:rsidRPr="00005374">
        <w:rPr>
          <w:rFonts w:eastAsia="Times New Roman"/>
          <w:sz w:val="24"/>
          <w:szCs w:val="24"/>
          <w:lang w:val="en-GB"/>
        </w:rPr>
        <w:t xml:space="preserve">, </w:t>
      </w:r>
      <w:r w:rsidRPr="00005374">
        <w:rPr>
          <w:rFonts w:eastAsia="Times New Roman"/>
          <w:i/>
          <w:iCs/>
          <w:sz w:val="24"/>
          <w:szCs w:val="24"/>
          <w:lang w:val="en-GB"/>
        </w:rPr>
        <w:t>Statista</w:t>
      </w:r>
      <w:r w:rsidRPr="00005374">
        <w:rPr>
          <w:rFonts w:eastAsia="Times New Roman"/>
          <w:sz w:val="24"/>
          <w:szCs w:val="24"/>
          <w:lang w:val="en-GB"/>
        </w:rPr>
        <w:t xml:space="preserve">. Available at: https://www.statista.com/statistics/321477/smartphone-user-penetration-in-australia/?srsltid=AfmBOorJMSndnqpi3wjWsnPdJEbNif-C2ulV7F7Xx8zUV9TKS77FSYro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‌Statista (2025). </w:t>
      </w:r>
      <w:r w:rsidRPr="00005374">
        <w:rPr>
          <w:rFonts w:eastAsia="Times New Roman"/>
          <w:i/>
          <w:iCs/>
          <w:sz w:val="24"/>
          <w:szCs w:val="24"/>
          <w:lang w:val="en-GB"/>
        </w:rPr>
        <w:t>GDP per capita, by country 2025| Statista</w:t>
      </w:r>
      <w:r w:rsidRPr="00005374">
        <w:rPr>
          <w:rFonts w:eastAsia="Times New Roman"/>
          <w:sz w:val="24"/>
          <w:szCs w:val="24"/>
          <w:lang w:val="en-GB"/>
        </w:rPr>
        <w:t>. [online] Available at: https://www.statista.com/statistics/270180/countries-with-the-largest-gross-domestic-product-gdp-per-capita/?srsltid=AfmBOor38fqTn92k8GEJkApcXn0zQSJ3kjEDaNhdH0-A3SKgZ4bM4GyM [Accessed 26 Nov. 2025].‌</w:t>
      </w:r>
    </w:p>
    <w:p w:rsidR="00E10FF0" w:rsidRPr="00005374" w:rsidRDefault="00E10FF0" w:rsidP="00E10FF0">
      <w:pPr>
        <w:spacing w:after="240" w:line="360" w:lineRule="auto"/>
        <w:jc w:val="both"/>
        <w:rPr>
          <w:rFonts w:eastAsia="Times New Roman"/>
          <w:sz w:val="24"/>
          <w:szCs w:val="24"/>
          <w:lang w:val="en-GB"/>
        </w:rPr>
      </w:pPr>
      <w:r w:rsidRPr="00005374">
        <w:rPr>
          <w:rFonts w:eastAsia="Times New Roman"/>
          <w:sz w:val="24"/>
          <w:szCs w:val="24"/>
          <w:lang w:val="en-GB"/>
        </w:rPr>
        <w:t xml:space="preserve">Statista. (2023). </w:t>
      </w:r>
      <w:r w:rsidRPr="00005374">
        <w:rPr>
          <w:rFonts w:eastAsia="Times New Roman"/>
          <w:i/>
          <w:iCs/>
          <w:sz w:val="24"/>
          <w:szCs w:val="24"/>
          <w:lang w:val="en-GB"/>
        </w:rPr>
        <w:t>Australia: smartphone penetration rate 2026| Statista</w:t>
      </w:r>
      <w:r w:rsidRPr="00005374">
        <w:rPr>
          <w:rFonts w:eastAsia="Times New Roman"/>
          <w:sz w:val="24"/>
          <w:szCs w:val="24"/>
          <w:lang w:val="en-GB"/>
        </w:rPr>
        <w:t>. [online] Available at: https://www.statista.com/statistics/321477/smartphone-user-penetration-in-australia/?srsltid=AfmBOopJI-L0K1jKn7wK2FR_koGZ7MAsqZyUBWUHuMojB18t3_n8K9iu [Accessed 26 Nov.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The Strategy Institute (2025) </w:t>
      </w:r>
      <w:r w:rsidRPr="00005374">
        <w:rPr>
          <w:rFonts w:eastAsia="Times New Roman"/>
          <w:i/>
          <w:iCs/>
          <w:sz w:val="24"/>
          <w:szCs w:val="24"/>
          <w:lang w:val="en-GB"/>
        </w:rPr>
        <w:t>The Ansoff Matrix: A powerful tool for business strategy and Growth</w:t>
      </w:r>
      <w:r w:rsidRPr="00005374">
        <w:rPr>
          <w:rFonts w:eastAsia="Times New Roman"/>
          <w:sz w:val="24"/>
          <w:szCs w:val="24"/>
          <w:lang w:val="en-GB"/>
        </w:rPr>
        <w:t xml:space="preserve">, </w:t>
      </w:r>
      <w:r w:rsidRPr="00005374">
        <w:rPr>
          <w:rFonts w:eastAsia="Times New Roman"/>
          <w:i/>
          <w:iCs/>
          <w:sz w:val="24"/>
          <w:szCs w:val="24"/>
          <w:lang w:val="en-GB"/>
        </w:rPr>
        <w:t>The Strategy Institute</w:t>
      </w:r>
      <w:r w:rsidRPr="00005374">
        <w:rPr>
          <w:rFonts w:eastAsia="Times New Roman"/>
          <w:sz w:val="24"/>
          <w:szCs w:val="24"/>
          <w:lang w:val="en-GB"/>
        </w:rPr>
        <w:t xml:space="preserve">. Available at: https://www.thestrategyinstitute.org/insights/the-ansoff-matrix-a-powerful-tool-for-business-strategy-and-growth (Accessed: 08 December 2025). </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Tjemkes, B., Vos, P. and Burgers, K., (2023). </w:t>
      </w:r>
      <w:r w:rsidRPr="00005374">
        <w:rPr>
          <w:rFonts w:eastAsia="Times New Roman"/>
          <w:i/>
          <w:iCs/>
          <w:sz w:val="24"/>
          <w:szCs w:val="24"/>
          <w:lang w:val="en-GB"/>
        </w:rPr>
        <w:t>Strategic alliance management</w:t>
      </w:r>
      <w:r w:rsidRPr="00005374">
        <w:rPr>
          <w:rFonts w:eastAsia="Times New Roman"/>
          <w:sz w:val="24"/>
          <w:szCs w:val="24"/>
          <w:lang w:val="en-GB"/>
        </w:rPr>
        <w:t>. Routledge.</w:t>
      </w:r>
      <w:hyperlink r:id="rId36">
        <w:r w:rsidRPr="00005374">
          <w:rPr>
            <w:rFonts w:eastAsia="Times New Roman"/>
            <w:sz w:val="24"/>
            <w:szCs w:val="24"/>
            <w:lang w:val="en-GB"/>
          </w:rPr>
          <w:t>https://www.taylorfrancis.com/books/mono/10.4324/9781003222187/strategic-alliance-management-brian-tjemkes-pepijn-vos-koen-burgers</w:t>
        </w:r>
      </w:hyperlink>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t xml:space="preserve">Tracxn, (2025). </w:t>
      </w:r>
      <w:r w:rsidRPr="00005374">
        <w:rPr>
          <w:rFonts w:eastAsia="Times New Roman"/>
          <w:i/>
          <w:iCs/>
          <w:sz w:val="24"/>
          <w:szCs w:val="24"/>
          <w:lang w:val="en-GB"/>
        </w:rPr>
        <w:t>Boat - 2025 company profile, team, funding, competitors &amp; financials - tracxn</w:t>
      </w:r>
      <w:r w:rsidRPr="00005374">
        <w:rPr>
          <w:rFonts w:eastAsia="Times New Roman"/>
          <w:sz w:val="24"/>
          <w:szCs w:val="24"/>
          <w:lang w:val="en-GB"/>
        </w:rPr>
        <w:t xml:space="preserve">, </w:t>
      </w:r>
      <w:r w:rsidRPr="00005374">
        <w:rPr>
          <w:rFonts w:eastAsia="Times New Roman"/>
          <w:i/>
          <w:iCs/>
          <w:sz w:val="24"/>
          <w:szCs w:val="24"/>
          <w:lang w:val="en-GB"/>
        </w:rPr>
        <w:t>tracxn.com</w:t>
      </w:r>
      <w:r w:rsidRPr="00005374">
        <w:rPr>
          <w:rFonts w:eastAsia="Times New Roman"/>
          <w:sz w:val="24"/>
          <w:szCs w:val="24"/>
          <w:lang w:val="en-GB"/>
        </w:rPr>
        <w:t>. Available at: https://tracxn.com/d/companies/boat/__1-6OVEvWhIXhXscfbwOm0-i2W0wUXlKyhF6rf5bSZCI (Accessed: 26 November 2025).</w:t>
      </w:r>
    </w:p>
    <w:p w:rsidR="00E10FF0" w:rsidRPr="00005374" w:rsidRDefault="00E10FF0" w:rsidP="00E10FF0">
      <w:pPr>
        <w:spacing w:before="240" w:after="240" w:line="360" w:lineRule="auto"/>
        <w:jc w:val="both"/>
        <w:rPr>
          <w:rFonts w:eastAsia="Times New Roman"/>
          <w:sz w:val="24"/>
          <w:szCs w:val="24"/>
          <w:lang w:val="en-GB"/>
        </w:rPr>
      </w:pPr>
      <w:r w:rsidRPr="00005374">
        <w:rPr>
          <w:rFonts w:eastAsia="Times New Roman"/>
          <w:sz w:val="24"/>
          <w:szCs w:val="24"/>
          <w:lang w:val="en-GB"/>
        </w:rPr>
        <w:lastRenderedPageBreak/>
        <w:t xml:space="preserve">Tradingeconomics, (2025). </w:t>
      </w:r>
      <w:r w:rsidRPr="00005374">
        <w:rPr>
          <w:rFonts w:eastAsia="Times New Roman"/>
          <w:i/>
          <w:iCs/>
          <w:sz w:val="24"/>
          <w:szCs w:val="24"/>
          <w:lang w:val="en-GB"/>
        </w:rPr>
        <w:t>Australia GDP per capita</w:t>
      </w:r>
      <w:r w:rsidRPr="00005374">
        <w:rPr>
          <w:rFonts w:eastAsia="Times New Roman"/>
          <w:sz w:val="24"/>
          <w:szCs w:val="24"/>
          <w:lang w:val="en-GB"/>
        </w:rPr>
        <w:t xml:space="preserve">. Available at: https://tradingeconomics.com/australia/gdp-per-capita (Accessed: 26 November 2025). </w:t>
      </w:r>
    </w:p>
    <w:p w:rsidR="00E10FF0" w:rsidRPr="00005374" w:rsidRDefault="00E10FF0" w:rsidP="00E10FF0">
      <w:pPr>
        <w:spacing w:before="240" w:after="240" w:line="360" w:lineRule="auto"/>
        <w:jc w:val="both"/>
        <w:rPr>
          <w:rFonts w:eastAsia="Times New Roman"/>
          <w:sz w:val="24"/>
          <w:szCs w:val="24"/>
          <w:highlight w:val="white"/>
          <w:lang w:val="en-GB"/>
        </w:rPr>
      </w:pPr>
      <w:r w:rsidRPr="00005374">
        <w:rPr>
          <w:rFonts w:eastAsia="Times New Roman"/>
          <w:sz w:val="24"/>
          <w:szCs w:val="24"/>
          <w:lang w:val="en-GB"/>
        </w:rPr>
        <w:t xml:space="preserve">‌Vic.gov.au. (2025). </w:t>
      </w:r>
      <w:r w:rsidRPr="00005374">
        <w:rPr>
          <w:rFonts w:eastAsia="Times New Roman"/>
          <w:i/>
          <w:iCs/>
          <w:sz w:val="24"/>
          <w:szCs w:val="24"/>
          <w:lang w:val="en-GB"/>
        </w:rPr>
        <w:t>EESS legislation and regulations</w:t>
      </w:r>
      <w:r w:rsidRPr="00005374">
        <w:rPr>
          <w:rFonts w:eastAsia="Times New Roman"/>
          <w:sz w:val="24"/>
          <w:szCs w:val="24"/>
          <w:lang w:val="en-GB"/>
        </w:rPr>
        <w:t>. [Online] Available at: https://www.energysafe.vic.gov.au/industry-guidance/electrical/appliances-equipment-and-manufacurers/eess-legislation-and-regulations [Accessed 26 Nov. 2025]</w:t>
      </w:r>
    </w:p>
    <w:p w:rsidR="00E10FF0" w:rsidRPr="00005374" w:rsidRDefault="00E10FF0" w:rsidP="00E10FF0">
      <w:pPr>
        <w:spacing w:before="240" w:after="240" w:line="360" w:lineRule="auto"/>
        <w:jc w:val="both"/>
        <w:rPr>
          <w:rFonts w:ascii="Times New Roman" w:eastAsia="Times New Roman" w:hAnsi="Times New Roman" w:cs="Times New Roman"/>
          <w:sz w:val="24"/>
          <w:szCs w:val="24"/>
          <w:lang w:val="en-GB"/>
        </w:rPr>
      </w:pPr>
    </w:p>
    <w:p w:rsidR="00E10FF0" w:rsidRPr="00005374" w:rsidRDefault="00E10FF0" w:rsidP="00E10FF0">
      <w:pPr>
        <w:spacing w:before="240" w:after="240" w:line="360" w:lineRule="auto"/>
        <w:jc w:val="both"/>
        <w:rPr>
          <w:rFonts w:ascii="Times New Roman" w:eastAsia="Times New Roman" w:hAnsi="Times New Roman" w:cs="Times New Roman"/>
          <w:sz w:val="24"/>
          <w:szCs w:val="24"/>
          <w:lang w:val="en-GB"/>
        </w:rPr>
      </w:pPr>
    </w:p>
    <w:p w:rsidR="00E10FF0" w:rsidRPr="00005374" w:rsidRDefault="00E10FF0" w:rsidP="00E10FF0">
      <w:pPr>
        <w:spacing w:before="240" w:after="240" w:line="360" w:lineRule="auto"/>
        <w:jc w:val="both"/>
        <w:rPr>
          <w:rFonts w:ascii="Times New Roman" w:eastAsia="Times New Roman" w:hAnsi="Times New Roman" w:cs="Times New Roman"/>
          <w:sz w:val="24"/>
          <w:szCs w:val="24"/>
          <w:lang w:val="en-GB"/>
        </w:rPr>
      </w:pPr>
    </w:p>
    <w:p w:rsidR="00E10FF0" w:rsidRPr="00005374" w:rsidRDefault="00E10FF0" w:rsidP="00E10FF0">
      <w:pPr>
        <w:spacing w:line="360" w:lineRule="auto"/>
        <w:jc w:val="both"/>
        <w:rPr>
          <w:rFonts w:ascii="Times New Roman" w:eastAsia="Times New Roman" w:hAnsi="Times New Roman" w:cs="Times New Roman"/>
          <w:sz w:val="24"/>
          <w:szCs w:val="24"/>
          <w:lang w:val="en-GB"/>
        </w:rPr>
      </w:pPr>
    </w:p>
    <w:p w:rsidR="00221A77" w:rsidRDefault="00221A77"/>
    <w:sectPr w:rsidR="00221A77" w:rsidSect="00106699">
      <w:footerReference w:type="default" r:id="rId37"/>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9257618"/>
      <w:docPartObj>
        <w:docPartGallery w:val="Page Numbers (Bottom of Page)"/>
        <w:docPartUnique/>
      </w:docPartObj>
    </w:sdtPr>
    <w:sdtEndPr>
      <w:rPr>
        <w:color w:val="000000" w:themeColor="text1"/>
        <w:spacing w:val="60"/>
        <w:sz w:val="20"/>
      </w:rPr>
    </w:sdtEndPr>
    <w:sdtContent>
      <w:p w:rsidR="00106699" w:rsidRPr="003E69B4" w:rsidRDefault="00106699">
        <w:pPr>
          <w:pStyle w:val="Footer"/>
          <w:pBdr>
            <w:top w:val="single" w:sz="4" w:space="1" w:color="D9D9D9" w:themeColor="background1" w:themeShade="D9"/>
          </w:pBdr>
          <w:jc w:val="right"/>
          <w:rPr>
            <w:color w:val="000000" w:themeColor="text1"/>
            <w:sz w:val="20"/>
          </w:rPr>
        </w:pPr>
        <w:r w:rsidRPr="003E69B4">
          <w:rPr>
            <w:color w:val="000000" w:themeColor="text1"/>
            <w:sz w:val="20"/>
          </w:rPr>
          <w:fldChar w:fldCharType="begin"/>
        </w:r>
        <w:r w:rsidRPr="003E69B4">
          <w:rPr>
            <w:color w:val="000000" w:themeColor="text1"/>
            <w:sz w:val="20"/>
          </w:rPr>
          <w:instrText xml:space="preserve"> PAGE   \* MERGEFORMAT </w:instrText>
        </w:r>
        <w:r w:rsidRPr="003E69B4">
          <w:rPr>
            <w:color w:val="000000" w:themeColor="text1"/>
            <w:sz w:val="20"/>
          </w:rPr>
          <w:fldChar w:fldCharType="separate"/>
        </w:r>
        <w:r w:rsidR="00A12F2E">
          <w:rPr>
            <w:noProof/>
            <w:color w:val="000000" w:themeColor="text1"/>
            <w:sz w:val="20"/>
          </w:rPr>
          <w:t>1</w:t>
        </w:r>
        <w:r w:rsidRPr="003E69B4">
          <w:rPr>
            <w:noProof/>
            <w:color w:val="000000" w:themeColor="text1"/>
            <w:sz w:val="20"/>
          </w:rPr>
          <w:fldChar w:fldCharType="end"/>
        </w:r>
        <w:r w:rsidRPr="003E69B4">
          <w:rPr>
            <w:color w:val="000000" w:themeColor="text1"/>
            <w:sz w:val="20"/>
          </w:rPr>
          <w:t xml:space="preserve"> | </w:t>
        </w:r>
        <w:r w:rsidRPr="003E69B4">
          <w:rPr>
            <w:color w:val="000000" w:themeColor="text1"/>
            <w:spacing w:val="60"/>
            <w:sz w:val="20"/>
          </w:rPr>
          <w:t>Page</w:t>
        </w:r>
      </w:p>
    </w:sdtContent>
  </w:sdt>
  <w:p w:rsidR="00106699" w:rsidRDefault="00106699">
    <w:pPr>
      <w:pStyle w:val="Footer"/>
    </w:pPr>
  </w:p>
</w:ft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D33CC"/>
    <w:multiLevelType w:val="multilevel"/>
    <w:tmpl w:val="A12ED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A44CB9"/>
    <w:multiLevelType w:val="multilevel"/>
    <w:tmpl w:val="1F125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334816"/>
    <w:multiLevelType w:val="multilevel"/>
    <w:tmpl w:val="691A8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B4635A"/>
    <w:multiLevelType w:val="multilevel"/>
    <w:tmpl w:val="7BD86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10006F"/>
    <w:multiLevelType w:val="multilevel"/>
    <w:tmpl w:val="9514A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086FD2"/>
    <w:multiLevelType w:val="multilevel"/>
    <w:tmpl w:val="1DF82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3B2E6E"/>
    <w:multiLevelType w:val="multilevel"/>
    <w:tmpl w:val="BBE288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670804"/>
    <w:multiLevelType w:val="multilevel"/>
    <w:tmpl w:val="5D6695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DFB3003"/>
    <w:multiLevelType w:val="multilevel"/>
    <w:tmpl w:val="1ECE2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DB72F8D"/>
    <w:multiLevelType w:val="multilevel"/>
    <w:tmpl w:val="BD04EB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30F38C6"/>
    <w:multiLevelType w:val="multilevel"/>
    <w:tmpl w:val="903AA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E423091"/>
    <w:multiLevelType w:val="multilevel"/>
    <w:tmpl w:val="0A2C9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0A00C2D"/>
    <w:multiLevelType w:val="multilevel"/>
    <w:tmpl w:val="ACC23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A548ED"/>
    <w:multiLevelType w:val="multilevel"/>
    <w:tmpl w:val="CE54E8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A915BB7"/>
    <w:multiLevelType w:val="multilevel"/>
    <w:tmpl w:val="A10A6A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B680721"/>
    <w:multiLevelType w:val="multilevel"/>
    <w:tmpl w:val="70587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1"/>
  </w:num>
  <w:num w:numId="2">
    <w:abstractNumId w:val="14"/>
  </w:num>
  <w:num w:numId="3">
    <w:abstractNumId w:val="15"/>
  </w:num>
  <w:num w:numId="4">
    <w:abstractNumId w:val="7"/>
  </w:num>
  <w:num w:numId="5">
    <w:abstractNumId w:val="2"/>
  </w:num>
  <w:num w:numId="6">
    <w:abstractNumId w:val="3"/>
  </w:num>
  <w:num w:numId="7">
    <w:abstractNumId w:val="1"/>
  </w:num>
  <w:num w:numId="8">
    <w:abstractNumId w:val="8"/>
  </w:num>
  <w:num w:numId="9">
    <w:abstractNumId w:val="0"/>
  </w:num>
  <w:num w:numId="10">
    <w:abstractNumId w:val="6"/>
  </w:num>
  <w:num w:numId="11">
    <w:abstractNumId w:val="5"/>
  </w:num>
  <w:num w:numId="12">
    <w:abstractNumId w:val="10"/>
  </w:num>
  <w:num w:numId="13">
    <w:abstractNumId w:val="9"/>
  </w:num>
  <w:num w:numId="14">
    <w:abstractNumId w:val="4"/>
  </w:num>
  <w:num w:numId="15">
    <w:abstractNumId w:val="12"/>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0FF0"/>
    <w:rsid w:val="00106699"/>
    <w:rsid w:val="00221A77"/>
    <w:rsid w:val="007E5008"/>
    <w:rsid w:val="00A12F2E"/>
    <w:rsid w:val="00E10F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E7C72"/>
  <w15:chartTrackingRefBased/>
  <w15:docId w15:val="{813494FC-527D-4C60-8F93-C92B84A9D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0FF0"/>
    <w:pPr>
      <w:spacing w:after="0" w:line="276" w:lineRule="auto"/>
    </w:pPr>
    <w:rPr>
      <w:rFonts w:ascii="Arial" w:eastAsia="Arial" w:hAnsi="Arial" w:cs="Arial"/>
      <w:lang w:val="en"/>
    </w:rPr>
  </w:style>
  <w:style w:type="paragraph" w:styleId="Heading1">
    <w:name w:val="heading 1"/>
    <w:basedOn w:val="Normal"/>
    <w:next w:val="Normal"/>
    <w:link w:val="Heading1Char"/>
    <w:autoRedefine/>
    <w:uiPriority w:val="9"/>
    <w:qFormat/>
    <w:rsid w:val="00E10FF0"/>
    <w:pPr>
      <w:keepNext/>
      <w:keepLines/>
      <w:spacing w:before="280" w:line="360" w:lineRule="auto"/>
      <w:jc w:val="both"/>
      <w:outlineLvl w:val="0"/>
    </w:pPr>
    <w:rPr>
      <w:rFonts w:eastAsia="Times New Roman" w:cs="Times New Roman"/>
      <w:b/>
      <w:bCs/>
      <w:sz w:val="28"/>
      <w:szCs w:val="28"/>
    </w:rPr>
  </w:style>
  <w:style w:type="paragraph" w:styleId="Heading2">
    <w:name w:val="heading 2"/>
    <w:basedOn w:val="Normal"/>
    <w:next w:val="Normal"/>
    <w:link w:val="Heading2Char"/>
    <w:autoRedefine/>
    <w:uiPriority w:val="9"/>
    <w:unhideWhenUsed/>
    <w:qFormat/>
    <w:rsid w:val="00E10FF0"/>
    <w:pPr>
      <w:keepNext/>
      <w:keepLines/>
      <w:spacing w:before="120" w:line="360" w:lineRule="auto"/>
      <w:jc w:val="both"/>
      <w:outlineLvl w:val="1"/>
    </w:pPr>
    <w:rPr>
      <w:rFonts w:eastAsia="Times New Roman" w:cs="Times New Roman"/>
      <w:b/>
      <w:bCs/>
      <w:sz w:val="24"/>
      <w:szCs w:val="24"/>
    </w:rPr>
  </w:style>
  <w:style w:type="paragraph" w:styleId="Heading3">
    <w:name w:val="heading 3"/>
    <w:basedOn w:val="Normal"/>
    <w:next w:val="Normal"/>
    <w:link w:val="Heading3Char"/>
    <w:uiPriority w:val="9"/>
    <w:semiHidden/>
    <w:unhideWhenUsed/>
    <w:qFormat/>
    <w:rsid w:val="00E10FF0"/>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rsid w:val="00E10FF0"/>
    <w:pPr>
      <w:keepNext/>
      <w:keepLines/>
      <w:spacing w:before="280" w:after="80"/>
      <w:outlineLvl w:val="3"/>
    </w:pPr>
    <w:rPr>
      <w:color w:val="666666"/>
      <w:sz w:val="24"/>
      <w:szCs w:val="24"/>
    </w:rPr>
  </w:style>
  <w:style w:type="paragraph" w:styleId="Heading5">
    <w:name w:val="heading 5"/>
    <w:basedOn w:val="Normal"/>
    <w:next w:val="Normal"/>
    <w:link w:val="Heading5Char"/>
    <w:uiPriority w:val="9"/>
    <w:semiHidden/>
    <w:unhideWhenUsed/>
    <w:qFormat/>
    <w:rsid w:val="00E10FF0"/>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rsid w:val="00E10FF0"/>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FF0"/>
    <w:rPr>
      <w:rFonts w:ascii="Arial" w:eastAsia="Times New Roman" w:hAnsi="Arial" w:cs="Times New Roman"/>
      <w:b/>
      <w:bCs/>
      <w:sz w:val="28"/>
      <w:szCs w:val="28"/>
      <w:lang w:val="en"/>
    </w:rPr>
  </w:style>
  <w:style w:type="character" w:customStyle="1" w:styleId="Heading2Char">
    <w:name w:val="Heading 2 Char"/>
    <w:basedOn w:val="DefaultParagraphFont"/>
    <w:link w:val="Heading2"/>
    <w:uiPriority w:val="9"/>
    <w:rsid w:val="00E10FF0"/>
    <w:rPr>
      <w:rFonts w:ascii="Arial" w:eastAsia="Times New Roman" w:hAnsi="Arial" w:cs="Times New Roman"/>
      <w:b/>
      <w:bCs/>
      <w:sz w:val="24"/>
      <w:szCs w:val="24"/>
      <w:lang w:val="en"/>
    </w:rPr>
  </w:style>
  <w:style w:type="character" w:customStyle="1" w:styleId="Heading3Char">
    <w:name w:val="Heading 3 Char"/>
    <w:basedOn w:val="DefaultParagraphFont"/>
    <w:link w:val="Heading3"/>
    <w:uiPriority w:val="9"/>
    <w:semiHidden/>
    <w:rsid w:val="00E10FF0"/>
    <w:rPr>
      <w:rFonts w:ascii="Arial" w:eastAsia="Arial" w:hAnsi="Arial" w:cs="Arial"/>
      <w:color w:val="434343"/>
      <w:sz w:val="28"/>
      <w:szCs w:val="28"/>
      <w:lang w:val="en"/>
    </w:rPr>
  </w:style>
  <w:style w:type="character" w:customStyle="1" w:styleId="Heading4Char">
    <w:name w:val="Heading 4 Char"/>
    <w:basedOn w:val="DefaultParagraphFont"/>
    <w:link w:val="Heading4"/>
    <w:uiPriority w:val="9"/>
    <w:semiHidden/>
    <w:rsid w:val="00E10FF0"/>
    <w:rPr>
      <w:rFonts w:ascii="Arial" w:eastAsia="Arial" w:hAnsi="Arial" w:cs="Arial"/>
      <w:color w:val="666666"/>
      <w:sz w:val="24"/>
      <w:szCs w:val="24"/>
      <w:lang w:val="en"/>
    </w:rPr>
  </w:style>
  <w:style w:type="character" w:customStyle="1" w:styleId="Heading5Char">
    <w:name w:val="Heading 5 Char"/>
    <w:basedOn w:val="DefaultParagraphFont"/>
    <w:link w:val="Heading5"/>
    <w:uiPriority w:val="9"/>
    <w:semiHidden/>
    <w:rsid w:val="00E10FF0"/>
    <w:rPr>
      <w:rFonts w:ascii="Arial" w:eastAsia="Arial" w:hAnsi="Arial" w:cs="Arial"/>
      <w:color w:val="666666"/>
      <w:lang w:val="en"/>
    </w:rPr>
  </w:style>
  <w:style w:type="character" w:customStyle="1" w:styleId="Heading6Char">
    <w:name w:val="Heading 6 Char"/>
    <w:basedOn w:val="DefaultParagraphFont"/>
    <w:link w:val="Heading6"/>
    <w:uiPriority w:val="9"/>
    <w:semiHidden/>
    <w:rsid w:val="00E10FF0"/>
    <w:rPr>
      <w:rFonts w:ascii="Arial" w:eastAsia="Arial" w:hAnsi="Arial" w:cs="Arial"/>
      <w:i/>
      <w:iCs/>
      <w:color w:val="666666"/>
      <w:lang w:val="en"/>
    </w:rPr>
  </w:style>
  <w:style w:type="paragraph" w:styleId="Title">
    <w:name w:val="Title"/>
    <w:basedOn w:val="Normal"/>
    <w:next w:val="Normal"/>
    <w:link w:val="TitleChar"/>
    <w:uiPriority w:val="10"/>
    <w:qFormat/>
    <w:rsid w:val="00E10FF0"/>
    <w:pPr>
      <w:keepNext/>
      <w:keepLines/>
      <w:spacing w:after="60"/>
    </w:pPr>
    <w:rPr>
      <w:sz w:val="52"/>
      <w:szCs w:val="52"/>
    </w:rPr>
  </w:style>
  <w:style w:type="character" w:customStyle="1" w:styleId="TitleChar">
    <w:name w:val="Title Char"/>
    <w:basedOn w:val="DefaultParagraphFont"/>
    <w:link w:val="Title"/>
    <w:uiPriority w:val="10"/>
    <w:rsid w:val="00E10FF0"/>
    <w:rPr>
      <w:rFonts w:ascii="Arial" w:eastAsia="Arial" w:hAnsi="Arial" w:cs="Arial"/>
      <w:sz w:val="52"/>
      <w:szCs w:val="52"/>
      <w:lang w:val="en"/>
    </w:rPr>
  </w:style>
  <w:style w:type="paragraph" w:styleId="TOCHeading">
    <w:name w:val="TOC Heading"/>
    <w:basedOn w:val="Heading1"/>
    <w:next w:val="Normal"/>
    <w:uiPriority w:val="39"/>
    <w:unhideWhenUsed/>
    <w:qFormat/>
    <w:rsid w:val="00E10FF0"/>
    <w:p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E10FF0"/>
    <w:pPr>
      <w:spacing w:after="100"/>
    </w:pPr>
  </w:style>
  <w:style w:type="paragraph" w:styleId="TOC2">
    <w:name w:val="toc 2"/>
    <w:basedOn w:val="Normal"/>
    <w:next w:val="Normal"/>
    <w:autoRedefine/>
    <w:uiPriority w:val="39"/>
    <w:unhideWhenUsed/>
    <w:rsid w:val="00E10FF0"/>
    <w:pPr>
      <w:spacing w:after="100"/>
      <w:ind w:left="220"/>
    </w:pPr>
  </w:style>
  <w:style w:type="character" w:styleId="Hyperlink">
    <w:name w:val="Hyperlink"/>
    <w:basedOn w:val="DefaultParagraphFont"/>
    <w:uiPriority w:val="99"/>
    <w:unhideWhenUsed/>
    <w:rsid w:val="00E10FF0"/>
    <w:rPr>
      <w:color w:val="0563C1" w:themeColor="hyperlink"/>
      <w:u w:val="single"/>
    </w:rPr>
  </w:style>
  <w:style w:type="paragraph" w:styleId="Subtitle">
    <w:name w:val="Subtitle"/>
    <w:basedOn w:val="Normal"/>
    <w:next w:val="Normal"/>
    <w:link w:val="SubtitleChar"/>
    <w:uiPriority w:val="11"/>
    <w:qFormat/>
    <w:rsid w:val="00E10FF0"/>
    <w:pPr>
      <w:keepNext/>
      <w:keepLines/>
      <w:spacing w:after="320"/>
    </w:pPr>
    <w:rPr>
      <w:color w:val="666666"/>
      <w:sz w:val="30"/>
      <w:szCs w:val="30"/>
    </w:rPr>
  </w:style>
  <w:style w:type="character" w:customStyle="1" w:styleId="SubtitleChar">
    <w:name w:val="Subtitle Char"/>
    <w:basedOn w:val="DefaultParagraphFont"/>
    <w:link w:val="Subtitle"/>
    <w:uiPriority w:val="11"/>
    <w:rsid w:val="00E10FF0"/>
    <w:rPr>
      <w:rFonts w:ascii="Arial" w:eastAsia="Arial" w:hAnsi="Arial" w:cs="Arial"/>
      <w:color w:val="666666"/>
      <w:sz w:val="30"/>
      <w:szCs w:val="30"/>
      <w:lang w:val="en"/>
    </w:rPr>
  </w:style>
  <w:style w:type="paragraph" w:styleId="Header">
    <w:name w:val="header"/>
    <w:basedOn w:val="Normal"/>
    <w:link w:val="HeaderChar"/>
    <w:uiPriority w:val="99"/>
    <w:unhideWhenUsed/>
    <w:rsid w:val="00E10FF0"/>
    <w:pPr>
      <w:tabs>
        <w:tab w:val="center" w:pos="4513"/>
        <w:tab w:val="right" w:pos="9026"/>
      </w:tabs>
      <w:spacing w:line="240" w:lineRule="auto"/>
    </w:pPr>
  </w:style>
  <w:style w:type="character" w:customStyle="1" w:styleId="HeaderChar">
    <w:name w:val="Header Char"/>
    <w:basedOn w:val="DefaultParagraphFont"/>
    <w:link w:val="Header"/>
    <w:uiPriority w:val="99"/>
    <w:rsid w:val="00E10FF0"/>
    <w:rPr>
      <w:rFonts w:ascii="Arial" w:eastAsia="Arial" w:hAnsi="Arial" w:cs="Arial"/>
      <w:lang w:val="en"/>
    </w:rPr>
  </w:style>
  <w:style w:type="paragraph" w:styleId="Footer">
    <w:name w:val="footer"/>
    <w:basedOn w:val="Normal"/>
    <w:link w:val="FooterChar"/>
    <w:uiPriority w:val="99"/>
    <w:unhideWhenUsed/>
    <w:rsid w:val="00E10FF0"/>
    <w:pPr>
      <w:tabs>
        <w:tab w:val="center" w:pos="4513"/>
        <w:tab w:val="right" w:pos="9026"/>
      </w:tabs>
      <w:spacing w:line="240" w:lineRule="auto"/>
    </w:pPr>
  </w:style>
  <w:style w:type="character" w:customStyle="1" w:styleId="FooterChar">
    <w:name w:val="Footer Char"/>
    <w:basedOn w:val="DefaultParagraphFont"/>
    <w:link w:val="Footer"/>
    <w:uiPriority w:val="99"/>
    <w:rsid w:val="00E10FF0"/>
    <w:rPr>
      <w:rFonts w:ascii="Arial" w:eastAsia="Arial" w:hAnsi="Arial" w:cs="Arial"/>
      <w:lang w:val="en"/>
    </w:rPr>
  </w:style>
  <w:style w:type="character" w:customStyle="1" w:styleId="CommentTextChar">
    <w:name w:val="Comment Text Char"/>
    <w:basedOn w:val="DefaultParagraphFont"/>
    <w:link w:val="CommentText"/>
    <w:uiPriority w:val="99"/>
    <w:semiHidden/>
    <w:rsid w:val="00E10FF0"/>
    <w:rPr>
      <w:rFonts w:ascii="Arial" w:eastAsia="Arial" w:hAnsi="Arial" w:cs="Arial"/>
      <w:sz w:val="20"/>
      <w:szCs w:val="20"/>
      <w:lang w:val="en"/>
    </w:rPr>
  </w:style>
  <w:style w:type="paragraph" w:styleId="CommentText">
    <w:name w:val="annotation text"/>
    <w:basedOn w:val="Normal"/>
    <w:link w:val="CommentTextChar"/>
    <w:uiPriority w:val="99"/>
    <w:semiHidden/>
    <w:unhideWhenUsed/>
    <w:rsid w:val="00E10FF0"/>
    <w:pPr>
      <w:spacing w:line="240" w:lineRule="auto"/>
    </w:pPr>
    <w:rPr>
      <w:sz w:val="20"/>
      <w:szCs w:val="20"/>
    </w:rPr>
  </w:style>
  <w:style w:type="character" w:customStyle="1" w:styleId="CommentSubjectChar">
    <w:name w:val="Comment Subject Char"/>
    <w:basedOn w:val="CommentTextChar"/>
    <w:link w:val="CommentSubject"/>
    <w:uiPriority w:val="99"/>
    <w:semiHidden/>
    <w:rsid w:val="00E10FF0"/>
    <w:rPr>
      <w:rFonts w:ascii="Arial" w:eastAsia="Arial" w:hAnsi="Arial" w:cs="Arial"/>
      <w:b/>
      <w:bCs/>
      <w:sz w:val="20"/>
      <w:szCs w:val="20"/>
      <w:lang w:val="en"/>
    </w:rPr>
  </w:style>
  <w:style w:type="paragraph" w:styleId="CommentSubject">
    <w:name w:val="annotation subject"/>
    <w:basedOn w:val="CommentText"/>
    <w:next w:val="CommentText"/>
    <w:link w:val="CommentSubjectChar"/>
    <w:uiPriority w:val="99"/>
    <w:semiHidden/>
    <w:unhideWhenUsed/>
    <w:rsid w:val="00E10FF0"/>
    <w:rPr>
      <w:b/>
      <w:bCs/>
    </w:rPr>
  </w:style>
  <w:style w:type="character" w:customStyle="1" w:styleId="BalloonTextChar">
    <w:name w:val="Balloon Text Char"/>
    <w:basedOn w:val="DefaultParagraphFont"/>
    <w:link w:val="BalloonText"/>
    <w:uiPriority w:val="99"/>
    <w:semiHidden/>
    <w:rsid w:val="00E10FF0"/>
    <w:rPr>
      <w:rFonts w:ascii="Segoe UI" w:eastAsia="Arial" w:hAnsi="Segoe UI" w:cs="Segoe UI"/>
      <w:sz w:val="18"/>
      <w:szCs w:val="18"/>
      <w:lang w:val="en"/>
    </w:rPr>
  </w:style>
  <w:style w:type="paragraph" w:styleId="BalloonText">
    <w:name w:val="Balloon Text"/>
    <w:basedOn w:val="Normal"/>
    <w:link w:val="BalloonTextChar"/>
    <w:uiPriority w:val="99"/>
    <w:semiHidden/>
    <w:unhideWhenUsed/>
    <w:rsid w:val="00E10FF0"/>
    <w:pPr>
      <w:spacing w:line="240" w:lineRule="auto"/>
    </w:pPr>
    <w:rPr>
      <w:rFonts w:ascii="Segoe UI" w:hAnsi="Segoe UI" w:cs="Segoe UI"/>
      <w:sz w:val="18"/>
      <w:szCs w:val="18"/>
    </w:rPr>
  </w:style>
  <w:style w:type="paragraph" w:styleId="ListParagraph">
    <w:name w:val="List Paragraph"/>
    <w:basedOn w:val="Normal"/>
    <w:uiPriority w:val="34"/>
    <w:qFormat/>
    <w:rsid w:val="007E50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www.taylorfrancis.com/chapters/edit/10.4324/9781003256717-11/harvey-norman-quamrul-alam-robert-grose" TargetMode="External"/><Relationship Id="rId26" Type="http://schemas.openxmlformats.org/officeDocument/2006/relationships/hyperlink" Target="https://link.springer.com/article/10.1007/S43546-021-00180-4" TargetMode="External"/><Relationship Id="rId39" Type="http://schemas.openxmlformats.org/officeDocument/2006/relationships/theme" Target="theme/theme1.xml"/><Relationship Id="rId21" Type="http://schemas.openxmlformats.org/officeDocument/2006/relationships/hyperlink" Target="https://www.mdpi.com/2071-1050/14/3/1531" TargetMode="External"/><Relationship Id="rId34" Type="http://schemas.openxmlformats.org/officeDocument/2006/relationships/hyperlink" Target="https://onlinelibrary.wiley.com/doi/full/10.1111/puar.13474"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digitalcommons.usf.edu/m3publishing/vol18/iss9781732127586/4/" TargetMode="External"/><Relationship Id="rId33" Type="http://schemas.openxmlformats.org/officeDocument/2006/relationships/hyperlink" Target="https://researchonline.nd.edu.au/398/"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sciencedirect.com/science/article/pii/S0019850123000974" TargetMode="External"/><Relationship Id="rId29" Type="http://schemas.openxmlformats.org/officeDocument/2006/relationships/hyperlink" Target="https://doi.org/10.1108/IMR-09-2019-0227"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link.springer.com/chapter/10.1007/978-3-030-66916-4_12" TargetMode="External"/><Relationship Id="rId32" Type="http://schemas.openxmlformats.org/officeDocument/2006/relationships/hyperlink" Target="https://www.mdpi.com/2071-1050/14/8/4754" TargetMode="External"/><Relationship Id="rId37" Type="http://schemas.openxmlformats.org/officeDocument/2006/relationships/footer" Target="footer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doi.org/10.1108/JBIM-10-2023-0610" TargetMode="External"/><Relationship Id="rId28" Type="http://schemas.openxmlformats.org/officeDocument/2006/relationships/hyperlink" Target="https://www.atlantis-press.com/proceedings/icssed-24/126001655" TargetMode="External"/><Relationship Id="rId36" Type="http://schemas.openxmlformats.org/officeDocument/2006/relationships/hyperlink" Target="https://www.taylorfrancis.com/books/mono/10.4324/9781003222187/strategic-alliance-management-brian-tjemkes-pepijn-vos-koen-burgers" TargetMode="External"/><Relationship Id="rId10" Type="http://schemas.openxmlformats.org/officeDocument/2006/relationships/image" Target="media/image6.png"/><Relationship Id="rId19" Type="http://schemas.openxmlformats.org/officeDocument/2006/relationships/hyperlink" Target="https://www.mdpi.com/2071-1050/15/15/11846" TargetMode="External"/><Relationship Id="rId31" Type="http://schemas.openxmlformats.org/officeDocument/2006/relationships/hyperlink" Target="https://www.businessperspectives.org/images/pdf/applications/publishing/templates/article/assets/20109/IMFI_2024_02_Morshed.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pdfs.semanticscholar.org/1c6f/aa7c2bf9d8c4dfd78b2a136a043d5b9f20c6.pdf" TargetMode="External"/><Relationship Id="rId27" Type="http://schemas.openxmlformats.org/officeDocument/2006/relationships/hyperlink" Target="https://www.emerald.com/ijpdlm/article/54/11/44/1233922/The-BORIS-experience-evaluating-omnichannel" TargetMode="External"/><Relationship Id="rId30" Type="http://schemas.openxmlformats.org/officeDocument/2006/relationships/hyperlink" Target="https://www.emerald.com/tqm/article-abstract/34/5/957/380572/Service-quality-customer-satisfaction-and-customer?redirectedFrom=fulltext" TargetMode="External"/><Relationship Id="rId35" Type="http://schemas.openxmlformats.org/officeDocument/2006/relationships/hyperlink" Target="https://ieeexplore.ieee.org/abstract/document/9665730"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37</Pages>
  <Words>8404</Words>
  <Characters>47907</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c:creator>
  <cp:keywords/>
  <dc:description/>
  <cp:lastModifiedBy>AB</cp:lastModifiedBy>
  <cp:revision>2</cp:revision>
  <dcterms:created xsi:type="dcterms:W3CDTF">2025-12-21T22:39:00Z</dcterms:created>
  <dcterms:modified xsi:type="dcterms:W3CDTF">2025-12-21T23:30:00Z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587d0ed8-d685-4f06-ac7d-db48e5f2f7f4</vt:lpwstr>
  </property>
</Properties>
</file>