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D8E41" w14:textId="31F3FC8B" w:rsidR="007724B0" w:rsidRDefault="007724B0" w:rsidP="007724B0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Name: Hajira Bibi Zaman</w:t>
      </w:r>
    </w:p>
    <w:p w14:paraId="45B660AC" w14:textId="4C16602F" w:rsidR="007724B0" w:rsidRDefault="007724B0" w:rsidP="007724B0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Student Number: 2325655</w:t>
      </w:r>
    </w:p>
    <w:p w14:paraId="6502562D" w14:textId="54DC42DD" w:rsidR="007724B0" w:rsidRDefault="007724B0" w:rsidP="007724B0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Module: Empowering The Older Person</w:t>
      </w:r>
    </w:p>
    <w:p w14:paraId="106F5EA4" w14:textId="32CF7D60" w:rsidR="007724B0" w:rsidRDefault="007724B0" w:rsidP="007724B0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Module Code: </w:t>
      </w:r>
      <w:r w:rsidRPr="007724B0">
        <w:rPr>
          <w:b/>
          <w:bCs/>
          <w:sz w:val="26"/>
          <w:szCs w:val="26"/>
        </w:rPr>
        <w:t>BMHP6027</w:t>
      </w:r>
    </w:p>
    <w:p w14:paraId="74E65768" w14:textId="5650E64E" w:rsidR="007724B0" w:rsidRDefault="007724B0" w:rsidP="007724B0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Assignment Title: </w:t>
      </w:r>
      <w:r w:rsidRPr="007724B0">
        <w:rPr>
          <w:b/>
          <w:bCs/>
          <w:sz w:val="26"/>
          <w:szCs w:val="26"/>
        </w:rPr>
        <w:t>Component 2: Debate / Discussion</w:t>
      </w:r>
    </w:p>
    <w:p w14:paraId="48966C97" w14:textId="56A0146F" w:rsidR="007724B0" w:rsidRDefault="007724B0" w:rsidP="007724B0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Lecturer: </w:t>
      </w:r>
      <w:r w:rsidRPr="007724B0">
        <w:rPr>
          <w:b/>
          <w:bCs/>
          <w:sz w:val="26"/>
          <w:szCs w:val="26"/>
        </w:rPr>
        <w:t xml:space="preserve">Kennedy </w:t>
      </w:r>
      <w:proofErr w:type="spellStart"/>
      <w:r w:rsidRPr="007724B0">
        <w:rPr>
          <w:b/>
          <w:bCs/>
          <w:sz w:val="26"/>
          <w:szCs w:val="26"/>
        </w:rPr>
        <w:t>Obohwemu</w:t>
      </w:r>
      <w:proofErr w:type="spellEnd"/>
    </w:p>
    <w:p w14:paraId="73DFF4B4" w14:textId="77777777" w:rsidR="007724B0" w:rsidRDefault="007724B0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br w:type="page"/>
      </w:r>
    </w:p>
    <w:p w14:paraId="1BD80BFD" w14:textId="2FD75B8D" w:rsidR="007724B0" w:rsidRPr="007724B0" w:rsidRDefault="007724B0" w:rsidP="007724B0">
      <w:pPr>
        <w:jc w:val="both"/>
        <w:rPr>
          <w:b/>
          <w:bCs/>
          <w:sz w:val="26"/>
          <w:szCs w:val="26"/>
        </w:rPr>
      </w:pPr>
      <w:r w:rsidRPr="007724B0">
        <w:rPr>
          <w:b/>
          <w:bCs/>
          <w:sz w:val="26"/>
          <w:szCs w:val="26"/>
        </w:rPr>
        <w:lastRenderedPageBreak/>
        <w:t xml:space="preserve">Reference List </w:t>
      </w:r>
    </w:p>
    <w:p w14:paraId="00F2488B" w14:textId="5355C0F3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t xml:space="preserve">Alzheimer's Society (2024) </w:t>
      </w:r>
      <w:r w:rsidRPr="00A25FBA">
        <w:rPr>
          <w:i/>
          <w:iCs/>
          <w:sz w:val="26"/>
          <w:szCs w:val="26"/>
        </w:rPr>
        <w:t>Dementia statistics hub</w:t>
      </w:r>
      <w:r w:rsidRPr="00A25FBA">
        <w:rPr>
          <w:sz w:val="26"/>
          <w:szCs w:val="26"/>
        </w:rPr>
        <w:t xml:space="preserve">. Available at: </w:t>
      </w:r>
      <w:hyperlink r:id="rId4" w:tgtFrame="_new" w:history="1">
        <w:r w:rsidRPr="00A25FBA">
          <w:rPr>
            <w:rStyle w:val="Hyperlink"/>
            <w:sz w:val="26"/>
            <w:szCs w:val="26"/>
          </w:rPr>
          <w:t>https://www.alzheimers.org.uk</w:t>
        </w:r>
      </w:hyperlink>
      <w:r w:rsidRPr="00A25FBA">
        <w:rPr>
          <w:sz w:val="26"/>
          <w:szCs w:val="26"/>
        </w:rPr>
        <w:t xml:space="preserve"> (Accessed: 22 June 2026).</w:t>
      </w:r>
    </w:p>
    <w:p w14:paraId="69D5B943" w14:textId="77777777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t xml:space="preserve">Bartlett, R. and O'Connor, D. (2010) </w:t>
      </w:r>
      <w:r w:rsidRPr="00A25FBA">
        <w:rPr>
          <w:i/>
          <w:iCs/>
          <w:sz w:val="26"/>
          <w:szCs w:val="26"/>
        </w:rPr>
        <w:t>Broadening the dementia debate: Towards social citizenship</w:t>
      </w:r>
      <w:r w:rsidRPr="00A25FBA">
        <w:rPr>
          <w:sz w:val="26"/>
          <w:szCs w:val="26"/>
        </w:rPr>
        <w:t>. Bristol: Policy Press.</w:t>
      </w:r>
    </w:p>
    <w:p w14:paraId="47312518" w14:textId="77777777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t xml:space="preserve">Beauchamp, T.L. and Childress, </w:t>
      </w:r>
      <w:proofErr w:type="spellStart"/>
      <w:r w:rsidRPr="00A25FBA">
        <w:rPr>
          <w:sz w:val="26"/>
          <w:szCs w:val="26"/>
        </w:rPr>
        <w:t>J.F</w:t>
      </w:r>
      <w:proofErr w:type="spellEnd"/>
      <w:r w:rsidRPr="00A25FBA">
        <w:rPr>
          <w:sz w:val="26"/>
          <w:szCs w:val="26"/>
        </w:rPr>
        <w:t xml:space="preserve">. (2019) </w:t>
      </w:r>
      <w:r w:rsidRPr="00A25FBA">
        <w:rPr>
          <w:i/>
          <w:iCs/>
          <w:sz w:val="26"/>
          <w:szCs w:val="26"/>
        </w:rPr>
        <w:t>Principles of biomedical ethics</w:t>
      </w:r>
      <w:r w:rsidRPr="00A25FBA">
        <w:rPr>
          <w:sz w:val="26"/>
          <w:szCs w:val="26"/>
        </w:rPr>
        <w:t xml:space="preserve">. 8th </w:t>
      </w:r>
      <w:proofErr w:type="spellStart"/>
      <w:r w:rsidRPr="00A25FBA">
        <w:rPr>
          <w:sz w:val="26"/>
          <w:szCs w:val="26"/>
        </w:rPr>
        <w:t>edn</w:t>
      </w:r>
      <w:proofErr w:type="spellEnd"/>
      <w:r w:rsidRPr="00A25FBA">
        <w:rPr>
          <w:sz w:val="26"/>
          <w:szCs w:val="26"/>
        </w:rPr>
        <w:t>. New York: Oxford University Press.</w:t>
      </w:r>
    </w:p>
    <w:p w14:paraId="4368E249" w14:textId="77777777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t xml:space="preserve">Berridge, C. (2017) 'Active subjects of passive monitoring', </w:t>
      </w:r>
      <w:r w:rsidRPr="00A25FBA">
        <w:rPr>
          <w:i/>
          <w:iCs/>
          <w:sz w:val="26"/>
          <w:szCs w:val="26"/>
        </w:rPr>
        <w:t>Journal of Aging Studies</w:t>
      </w:r>
      <w:r w:rsidRPr="00A25FBA">
        <w:rPr>
          <w:sz w:val="26"/>
          <w:szCs w:val="26"/>
        </w:rPr>
        <w:t>, 42, pp. 1–8.</w:t>
      </w:r>
    </w:p>
    <w:p w14:paraId="29BDD8D2" w14:textId="77777777" w:rsidR="007724B0" w:rsidRPr="00A25FBA" w:rsidRDefault="007724B0" w:rsidP="007724B0">
      <w:pPr>
        <w:jc w:val="both"/>
        <w:rPr>
          <w:sz w:val="26"/>
          <w:szCs w:val="26"/>
        </w:rPr>
      </w:pPr>
      <w:proofErr w:type="spellStart"/>
      <w:r w:rsidRPr="00A25FBA">
        <w:rPr>
          <w:sz w:val="26"/>
          <w:szCs w:val="26"/>
        </w:rPr>
        <w:t>Bjørneby</w:t>
      </w:r>
      <w:proofErr w:type="spellEnd"/>
      <w:r w:rsidRPr="00A25FBA">
        <w:rPr>
          <w:sz w:val="26"/>
          <w:szCs w:val="26"/>
        </w:rPr>
        <w:t xml:space="preserve">, S., </w:t>
      </w:r>
      <w:proofErr w:type="spellStart"/>
      <w:r w:rsidRPr="00A25FBA">
        <w:rPr>
          <w:sz w:val="26"/>
          <w:szCs w:val="26"/>
        </w:rPr>
        <w:t>Topo</w:t>
      </w:r>
      <w:proofErr w:type="spellEnd"/>
      <w:r w:rsidRPr="00A25FBA">
        <w:rPr>
          <w:sz w:val="26"/>
          <w:szCs w:val="26"/>
        </w:rPr>
        <w:t xml:space="preserve">, P. and Holthe, T. (2004) 'Technology, ethics and dementia care', </w:t>
      </w:r>
      <w:r w:rsidRPr="00A25FBA">
        <w:rPr>
          <w:i/>
          <w:iCs/>
          <w:sz w:val="26"/>
          <w:szCs w:val="26"/>
        </w:rPr>
        <w:t>Journal of Assistive Technologies</w:t>
      </w:r>
      <w:r w:rsidRPr="00A25FBA">
        <w:rPr>
          <w:sz w:val="26"/>
          <w:szCs w:val="26"/>
        </w:rPr>
        <w:t>, 2(3), pp. 25–34.</w:t>
      </w:r>
    </w:p>
    <w:p w14:paraId="7333C302" w14:textId="77777777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t xml:space="preserve">Cahill, S., </w:t>
      </w:r>
      <w:proofErr w:type="spellStart"/>
      <w:r w:rsidRPr="00A25FBA">
        <w:rPr>
          <w:sz w:val="26"/>
          <w:szCs w:val="26"/>
        </w:rPr>
        <w:t>Macijauskiene</w:t>
      </w:r>
      <w:proofErr w:type="spellEnd"/>
      <w:r w:rsidRPr="00A25FBA">
        <w:rPr>
          <w:sz w:val="26"/>
          <w:szCs w:val="26"/>
        </w:rPr>
        <w:t xml:space="preserve">, J., Nygård, A.M., Faulkner, J.P. and Hagen, I. (2007) 'Technology in dementia care', </w:t>
      </w:r>
      <w:r w:rsidRPr="00A25FBA">
        <w:rPr>
          <w:i/>
          <w:iCs/>
          <w:sz w:val="26"/>
          <w:szCs w:val="26"/>
        </w:rPr>
        <w:t>Technology and Disability</w:t>
      </w:r>
      <w:r w:rsidRPr="00A25FBA">
        <w:rPr>
          <w:sz w:val="26"/>
          <w:szCs w:val="26"/>
        </w:rPr>
        <w:t>, 19(2–3), pp. 55–60.</w:t>
      </w:r>
    </w:p>
    <w:p w14:paraId="23CD11F3" w14:textId="77777777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t>Data Protection Act 2018. London: The Stationery Office.</w:t>
      </w:r>
    </w:p>
    <w:p w14:paraId="0D365240" w14:textId="77777777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t xml:space="preserve">Department of Health (2005) </w:t>
      </w:r>
      <w:r w:rsidRPr="00A25FBA">
        <w:rPr>
          <w:i/>
          <w:iCs/>
          <w:sz w:val="26"/>
          <w:szCs w:val="26"/>
        </w:rPr>
        <w:t>Mental Capacity Act 2005</w:t>
      </w:r>
      <w:r w:rsidRPr="00A25FBA">
        <w:rPr>
          <w:sz w:val="26"/>
          <w:szCs w:val="26"/>
        </w:rPr>
        <w:t>. London: The Stationery Office.</w:t>
      </w:r>
    </w:p>
    <w:p w14:paraId="77FE12D9" w14:textId="77777777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t xml:space="preserve">Dewing, J. (2007) 'Participation and consent in dementia care', </w:t>
      </w:r>
      <w:r w:rsidRPr="00A25FBA">
        <w:rPr>
          <w:i/>
          <w:iCs/>
          <w:sz w:val="26"/>
          <w:szCs w:val="26"/>
        </w:rPr>
        <w:t>Dementia</w:t>
      </w:r>
      <w:r w:rsidRPr="00A25FBA">
        <w:rPr>
          <w:sz w:val="26"/>
          <w:szCs w:val="26"/>
        </w:rPr>
        <w:t>, 6(1), pp. 11–25.</w:t>
      </w:r>
    </w:p>
    <w:p w14:paraId="69261879" w14:textId="77777777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t xml:space="preserve">Gallagher, A. (2017) </w:t>
      </w:r>
      <w:r w:rsidRPr="00A25FBA">
        <w:rPr>
          <w:i/>
          <w:iCs/>
          <w:sz w:val="26"/>
          <w:szCs w:val="26"/>
        </w:rPr>
        <w:t>The ethics of dignity</w:t>
      </w:r>
      <w:r w:rsidRPr="00A25FBA">
        <w:rPr>
          <w:sz w:val="26"/>
          <w:szCs w:val="26"/>
        </w:rPr>
        <w:t>. Oxford: Oxford University Press.</w:t>
      </w:r>
    </w:p>
    <w:p w14:paraId="7585CDB8" w14:textId="77777777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t xml:space="preserve">HM Government (1998) </w:t>
      </w:r>
      <w:r w:rsidRPr="00A25FBA">
        <w:rPr>
          <w:i/>
          <w:iCs/>
          <w:sz w:val="26"/>
          <w:szCs w:val="26"/>
        </w:rPr>
        <w:t>Human Rights Act 1998</w:t>
      </w:r>
      <w:r w:rsidRPr="00A25FBA">
        <w:rPr>
          <w:sz w:val="26"/>
          <w:szCs w:val="26"/>
        </w:rPr>
        <w:t>. London: The Stationery Office.</w:t>
      </w:r>
    </w:p>
    <w:p w14:paraId="2931FE09" w14:textId="77777777" w:rsidR="007724B0" w:rsidRPr="00A25FBA" w:rsidRDefault="007724B0" w:rsidP="007724B0">
      <w:pPr>
        <w:jc w:val="both"/>
        <w:rPr>
          <w:sz w:val="26"/>
          <w:szCs w:val="26"/>
        </w:rPr>
      </w:pPr>
      <w:proofErr w:type="spellStart"/>
      <w:r w:rsidRPr="00A25FBA">
        <w:rPr>
          <w:sz w:val="26"/>
          <w:szCs w:val="26"/>
        </w:rPr>
        <w:t>Kitwood</w:t>
      </w:r>
      <w:proofErr w:type="spellEnd"/>
      <w:r w:rsidRPr="00A25FBA">
        <w:rPr>
          <w:sz w:val="26"/>
          <w:szCs w:val="26"/>
        </w:rPr>
        <w:t xml:space="preserve">, T. (1997) </w:t>
      </w:r>
      <w:r w:rsidRPr="00A25FBA">
        <w:rPr>
          <w:i/>
          <w:iCs/>
          <w:sz w:val="26"/>
          <w:szCs w:val="26"/>
        </w:rPr>
        <w:t>Dementia reconsidered: The person comes first</w:t>
      </w:r>
      <w:r w:rsidRPr="00A25FBA">
        <w:rPr>
          <w:sz w:val="26"/>
          <w:szCs w:val="26"/>
        </w:rPr>
        <w:t>. Buckingham: Open University Press.</w:t>
      </w:r>
    </w:p>
    <w:p w14:paraId="7DEB7236" w14:textId="77777777" w:rsidR="007724B0" w:rsidRPr="00A25FBA" w:rsidRDefault="007724B0" w:rsidP="007724B0">
      <w:pPr>
        <w:jc w:val="both"/>
        <w:rPr>
          <w:sz w:val="26"/>
          <w:szCs w:val="26"/>
        </w:rPr>
      </w:pPr>
      <w:proofErr w:type="spellStart"/>
      <w:r w:rsidRPr="00A25FBA">
        <w:rPr>
          <w:sz w:val="26"/>
          <w:szCs w:val="26"/>
        </w:rPr>
        <w:t>Niemeijer</w:t>
      </w:r>
      <w:proofErr w:type="spellEnd"/>
      <w:r w:rsidRPr="00A25FBA">
        <w:rPr>
          <w:sz w:val="26"/>
          <w:szCs w:val="26"/>
        </w:rPr>
        <w:t xml:space="preserve">, A.R., </w:t>
      </w:r>
      <w:proofErr w:type="spellStart"/>
      <w:r w:rsidRPr="00A25FBA">
        <w:rPr>
          <w:sz w:val="26"/>
          <w:szCs w:val="26"/>
        </w:rPr>
        <w:t>Depla</w:t>
      </w:r>
      <w:proofErr w:type="spellEnd"/>
      <w:r w:rsidRPr="00A25FBA">
        <w:rPr>
          <w:sz w:val="26"/>
          <w:szCs w:val="26"/>
        </w:rPr>
        <w:t xml:space="preserve">, </w:t>
      </w:r>
      <w:proofErr w:type="spellStart"/>
      <w:r w:rsidRPr="00A25FBA">
        <w:rPr>
          <w:sz w:val="26"/>
          <w:szCs w:val="26"/>
        </w:rPr>
        <w:t>M.F.I.A</w:t>
      </w:r>
      <w:proofErr w:type="spellEnd"/>
      <w:r w:rsidRPr="00A25FBA">
        <w:rPr>
          <w:sz w:val="26"/>
          <w:szCs w:val="26"/>
        </w:rPr>
        <w:t xml:space="preserve">., Frederiks, </w:t>
      </w:r>
      <w:proofErr w:type="spellStart"/>
      <w:r w:rsidRPr="00A25FBA">
        <w:rPr>
          <w:sz w:val="26"/>
          <w:szCs w:val="26"/>
        </w:rPr>
        <w:t>B.J.M</w:t>
      </w:r>
      <w:proofErr w:type="spellEnd"/>
      <w:r w:rsidRPr="00A25FBA">
        <w:rPr>
          <w:sz w:val="26"/>
          <w:szCs w:val="26"/>
        </w:rPr>
        <w:t xml:space="preserve">., Francke, A.L. and Hertogh, </w:t>
      </w:r>
      <w:proofErr w:type="spellStart"/>
      <w:r w:rsidRPr="00A25FBA">
        <w:rPr>
          <w:sz w:val="26"/>
          <w:szCs w:val="26"/>
        </w:rPr>
        <w:t>C.M.P.M</w:t>
      </w:r>
      <w:proofErr w:type="spellEnd"/>
      <w:r w:rsidRPr="00A25FBA">
        <w:rPr>
          <w:sz w:val="26"/>
          <w:szCs w:val="26"/>
        </w:rPr>
        <w:t xml:space="preserve">. (2010) 'The use of surveillance technology in residential care', </w:t>
      </w:r>
      <w:r w:rsidRPr="00A25FBA">
        <w:rPr>
          <w:i/>
          <w:iCs/>
          <w:sz w:val="26"/>
          <w:szCs w:val="26"/>
        </w:rPr>
        <w:t>American Journal of Nursing</w:t>
      </w:r>
      <w:r w:rsidRPr="00A25FBA">
        <w:rPr>
          <w:sz w:val="26"/>
          <w:szCs w:val="26"/>
        </w:rPr>
        <w:t>, 110(5), pp. 42–49.</w:t>
      </w:r>
    </w:p>
    <w:p w14:paraId="4C8984BE" w14:textId="77777777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t xml:space="preserve">Nuffield Council on Bioethics (2009) </w:t>
      </w:r>
      <w:r w:rsidRPr="00A25FBA">
        <w:rPr>
          <w:i/>
          <w:iCs/>
          <w:sz w:val="26"/>
          <w:szCs w:val="26"/>
        </w:rPr>
        <w:t>Dementia: Ethical issues</w:t>
      </w:r>
      <w:r w:rsidRPr="00A25FBA">
        <w:rPr>
          <w:sz w:val="26"/>
          <w:szCs w:val="26"/>
        </w:rPr>
        <w:t xml:space="preserve">. Available at: </w:t>
      </w:r>
      <w:hyperlink r:id="rId5" w:tgtFrame="_new" w:history="1">
        <w:r w:rsidRPr="00A25FBA">
          <w:rPr>
            <w:rStyle w:val="Hyperlink"/>
            <w:sz w:val="26"/>
            <w:szCs w:val="26"/>
          </w:rPr>
          <w:t>https://www.nuffieldbioethics.org</w:t>
        </w:r>
      </w:hyperlink>
      <w:r w:rsidRPr="00A25FBA">
        <w:rPr>
          <w:sz w:val="26"/>
          <w:szCs w:val="26"/>
        </w:rPr>
        <w:t xml:space="preserve"> (Accessed: 22 June 2026).</w:t>
      </w:r>
    </w:p>
    <w:p w14:paraId="52B64211" w14:textId="77777777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t xml:space="preserve">Oliver, M. (1990) </w:t>
      </w:r>
      <w:r w:rsidRPr="00A25FBA">
        <w:rPr>
          <w:i/>
          <w:iCs/>
          <w:sz w:val="26"/>
          <w:szCs w:val="26"/>
        </w:rPr>
        <w:t>The politics of disablement</w:t>
      </w:r>
      <w:r w:rsidRPr="00A25FBA">
        <w:rPr>
          <w:sz w:val="26"/>
          <w:szCs w:val="26"/>
        </w:rPr>
        <w:t>. London: Macmillan.</w:t>
      </w:r>
    </w:p>
    <w:p w14:paraId="3511663C" w14:textId="77777777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t xml:space="preserve">Percival, J. and Hanson, J. (2006) </w:t>
      </w:r>
      <w:r w:rsidRPr="00A25FBA">
        <w:rPr>
          <w:i/>
          <w:iCs/>
          <w:sz w:val="26"/>
          <w:szCs w:val="26"/>
        </w:rPr>
        <w:t>Big brother or brave new world? Telecare and older people</w:t>
      </w:r>
      <w:r w:rsidRPr="00A25FBA">
        <w:rPr>
          <w:sz w:val="26"/>
          <w:szCs w:val="26"/>
        </w:rPr>
        <w:t>. Bristol: Policy Press.</w:t>
      </w:r>
    </w:p>
    <w:p w14:paraId="778BE063" w14:textId="77777777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t xml:space="preserve">Sixsmith, A. and Sixsmith, J. (2008) 'Ageing in place in the United Kingdom', </w:t>
      </w:r>
      <w:r w:rsidRPr="00A25FBA">
        <w:rPr>
          <w:i/>
          <w:iCs/>
          <w:sz w:val="26"/>
          <w:szCs w:val="26"/>
        </w:rPr>
        <w:t>Ageing International</w:t>
      </w:r>
      <w:r w:rsidRPr="00A25FBA">
        <w:rPr>
          <w:sz w:val="26"/>
          <w:szCs w:val="26"/>
        </w:rPr>
        <w:t>, 32(3), pp. 219–235.</w:t>
      </w:r>
    </w:p>
    <w:p w14:paraId="4C2C38F0" w14:textId="77777777" w:rsidR="007724B0" w:rsidRPr="00A25FBA" w:rsidRDefault="007724B0" w:rsidP="007724B0">
      <w:pPr>
        <w:jc w:val="both"/>
        <w:rPr>
          <w:sz w:val="26"/>
          <w:szCs w:val="26"/>
        </w:rPr>
      </w:pPr>
      <w:proofErr w:type="spellStart"/>
      <w:r w:rsidRPr="00A25FBA">
        <w:rPr>
          <w:sz w:val="26"/>
          <w:szCs w:val="26"/>
        </w:rPr>
        <w:t>Topo</w:t>
      </w:r>
      <w:proofErr w:type="spellEnd"/>
      <w:r w:rsidRPr="00A25FBA">
        <w:rPr>
          <w:sz w:val="26"/>
          <w:szCs w:val="26"/>
        </w:rPr>
        <w:t xml:space="preserve">, P. (2009) 'Technology studies to meet the needs of people with dementia and their caregivers', </w:t>
      </w:r>
      <w:r w:rsidRPr="00A25FBA">
        <w:rPr>
          <w:i/>
          <w:iCs/>
          <w:sz w:val="26"/>
          <w:szCs w:val="26"/>
        </w:rPr>
        <w:t>Journal of Applied Gerontology</w:t>
      </w:r>
      <w:r w:rsidRPr="00A25FBA">
        <w:rPr>
          <w:sz w:val="26"/>
          <w:szCs w:val="26"/>
        </w:rPr>
        <w:t>, 28(1), pp. 5–37.</w:t>
      </w:r>
    </w:p>
    <w:p w14:paraId="57913C82" w14:textId="77777777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lastRenderedPageBreak/>
        <w:t xml:space="preserve">United Kingdom (2021) </w:t>
      </w:r>
      <w:r w:rsidRPr="00A25FBA">
        <w:rPr>
          <w:i/>
          <w:iCs/>
          <w:sz w:val="26"/>
          <w:szCs w:val="26"/>
        </w:rPr>
        <w:t>UK General Data Protection Regulation (UK GDPR)</w:t>
      </w:r>
      <w:r w:rsidRPr="00A25FBA">
        <w:rPr>
          <w:sz w:val="26"/>
          <w:szCs w:val="26"/>
        </w:rPr>
        <w:t xml:space="preserve">. Available at: </w:t>
      </w:r>
      <w:hyperlink r:id="rId6" w:tgtFrame="_new" w:history="1">
        <w:r w:rsidRPr="00A25FBA">
          <w:rPr>
            <w:rStyle w:val="Hyperlink"/>
            <w:sz w:val="26"/>
            <w:szCs w:val="26"/>
          </w:rPr>
          <w:t>https://www.legislation.gov.uk</w:t>
        </w:r>
      </w:hyperlink>
      <w:r w:rsidRPr="00A25FBA">
        <w:rPr>
          <w:sz w:val="26"/>
          <w:szCs w:val="26"/>
        </w:rPr>
        <w:t xml:space="preserve"> (Accessed: 22 June 2026).</w:t>
      </w:r>
    </w:p>
    <w:p w14:paraId="79CB2196" w14:textId="77777777" w:rsidR="007724B0" w:rsidRPr="00A25FBA" w:rsidRDefault="007724B0" w:rsidP="007724B0">
      <w:pPr>
        <w:jc w:val="both"/>
        <w:rPr>
          <w:sz w:val="26"/>
          <w:szCs w:val="26"/>
        </w:rPr>
      </w:pPr>
      <w:r w:rsidRPr="00A25FBA">
        <w:rPr>
          <w:sz w:val="26"/>
          <w:szCs w:val="26"/>
        </w:rPr>
        <w:t xml:space="preserve">United Nations (2006) </w:t>
      </w:r>
      <w:r w:rsidRPr="00A25FBA">
        <w:rPr>
          <w:i/>
          <w:iCs/>
          <w:sz w:val="26"/>
          <w:szCs w:val="26"/>
        </w:rPr>
        <w:t>Convention on the Rights of Persons with Disabilities</w:t>
      </w:r>
      <w:r w:rsidRPr="00A25FBA">
        <w:rPr>
          <w:sz w:val="26"/>
          <w:szCs w:val="26"/>
        </w:rPr>
        <w:t xml:space="preserve">. Available at: </w:t>
      </w:r>
      <w:hyperlink r:id="rId7" w:tgtFrame="_new" w:history="1">
        <w:r w:rsidRPr="00A25FBA">
          <w:rPr>
            <w:rStyle w:val="Hyperlink"/>
            <w:sz w:val="26"/>
            <w:szCs w:val="26"/>
          </w:rPr>
          <w:t>https://www.un.org/development/desa/disabilities/convention-on-the-rights-of-persons-with-disabilities.html</w:t>
        </w:r>
      </w:hyperlink>
      <w:r w:rsidRPr="00A25FBA">
        <w:rPr>
          <w:sz w:val="26"/>
          <w:szCs w:val="26"/>
        </w:rPr>
        <w:t xml:space="preserve"> (Accessed: 22 June 2026).</w:t>
      </w:r>
    </w:p>
    <w:p w14:paraId="00D479F2" w14:textId="77777777" w:rsidR="007724B0" w:rsidRPr="00A25FBA" w:rsidRDefault="007724B0" w:rsidP="007724B0">
      <w:pPr>
        <w:jc w:val="both"/>
        <w:rPr>
          <w:sz w:val="26"/>
          <w:szCs w:val="26"/>
        </w:rPr>
      </w:pPr>
    </w:p>
    <w:p w14:paraId="08B8FCA3" w14:textId="77777777" w:rsidR="00784E90" w:rsidRDefault="00784E90"/>
    <w:sectPr w:rsidR="00784E90" w:rsidSect="007724B0">
      <w:footerReference w:type="default" r:id="rId8"/>
      <w:pgSz w:w="11906" w:h="16838"/>
      <w:pgMar w:top="1134" w:right="1134" w:bottom="1134" w:left="992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7884359"/>
      <w:docPartObj>
        <w:docPartGallery w:val="Page Numbers (Bottom of Page)"/>
        <w:docPartUnique/>
      </w:docPartObj>
    </w:sdtPr>
    <w:sdtEndPr>
      <w:rPr>
        <w:noProof/>
        <w:sz w:val="24"/>
        <w:szCs w:val="24"/>
      </w:rPr>
    </w:sdtEndPr>
    <w:sdtContent>
      <w:p w14:paraId="7256F587" w14:textId="77777777" w:rsidR="007724B0" w:rsidRPr="00A25FBA" w:rsidRDefault="007724B0">
        <w:pPr>
          <w:pStyle w:val="Footer"/>
          <w:jc w:val="right"/>
          <w:rPr>
            <w:sz w:val="24"/>
            <w:szCs w:val="24"/>
          </w:rPr>
        </w:pPr>
        <w:r w:rsidRPr="00A25FBA">
          <w:rPr>
            <w:sz w:val="24"/>
            <w:szCs w:val="24"/>
          </w:rPr>
          <w:fldChar w:fldCharType="begin"/>
        </w:r>
        <w:r w:rsidRPr="00A25FBA">
          <w:rPr>
            <w:sz w:val="24"/>
            <w:szCs w:val="24"/>
          </w:rPr>
          <w:instrText xml:space="preserve"> PAGE   \* MERGEFORMAT </w:instrText>
        </w:r>
        <w:r w:rsidRPr="00A25FBA">
          <w:rPr>
            <w:sz w:val="24"/>
            <w:szCs w:val="24"/>
          </w:rPr>
          <w:fldChar w:fldCharType="separate"/>
        </w:r>
        <w:r w:rsidRPr="00A25FBA">
          <w:rPr>
            <w:noProof/>
            <w:sz w:val="24"/>
            <w:szCs w:val="24"/>
          </w:rPr>
          <w:t>2</w:t>
        </w:r>
        <w:r w:rsidRPr="00A25FBA">
          <w:rPr>
            <w:noProof/>
            <w:sz w:val="24"/>
            <w:szCs w:val="24"/>
          </w:rPr>
          <w:fldChar w:fldCharType="end"/>
        </w:r>
      </w:p>
    </w:sdtContent>
  </w:sdt>
  <w:p w14:paraId="0D163A3A" w14:textId="77777777" w:rsidR="007724B0" w:rsidRDefault="007724B0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4B0"/>
    <w:rsid w:val="002D51A2"/>
    <w:rsid w:val="004E60BC"/>
    <w:rsid w:val="006E1632"/>
    <w:rsid w:val="007724B0"/>
    <w:rsid w:val="00784E90"/>
    <w:rsid w:val="00BC2ADA"/>
    <w:rsid w:val="00CB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07750"/>
  <w15:chartTrackingRefBased/>
  <w15:docId w15:val="{8736D17B-BB83-4A9A-A67F-2376CDEA7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4B0"/>
  </w:style>
  <w:style w:type="paragraph" w:styleId="Heading1">
    <w:name w:val="heading 1"/>
    <w:basedOn w:val="Normal"/>
    <w:next w:val="Normal"/>
    <w:link w:val="Heading1Char"/>
    <w:uiPriority w:val="9"/>
    <w:qFormat/>
    <w:rsid w:val="007724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24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24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24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24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24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24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24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24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24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24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24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24B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24B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24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24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24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24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24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24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24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24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24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24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24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24B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24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24B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24B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724B0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72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un.org/development/desa/disabilities/convention-on-the-rights-of-persons-with-disabilities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" TargetMode="External"/><Relationship Id="rId5" Type="http://schemas.openxmlformats.org/officeDocument/2006/relationships/hyperlink" Target="https://www.nuffieldbioethics.org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alzheimers.org.u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434</Words>
  <Characters>2476</Characters>
  <Application>Microsoft Office Word</Application>
  <DocSecurity>0</DocSecurity>
  <Lines>20</Lines>
  <Paragraphs>5</Paragraphs>
  <ScaleCrop>false</ScaleCrop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Hajira Zaman</dc:creator>
  <cp:keywords/>
  <dc:description/>
  <cp:lastModifiedBy>Hajira Zaman</cp:lastModifiedBy>
  <cp:revision>1</cp:revision>
  <dcterms:created xsi:type="dcterms:W3CDTF">2026-07-09T23:22:00Z</dcterms:created>
  <dcterms:modified xsi:type="dcterms:W3CDTF">2026-07-09T23:26:00Z</dcterms:modified>
</cp:coreProperties>
</file>