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091331A" wp14:paraId="13771FB3" wp14:textId="58C0C2B0">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Our first public performance was “The Sound Collector,” a poem by Roger McGrough originally published in his book “All the Best: The Selected Poems of Roger McGrough.” </w:t>
      </w:r>
      <w:r w:rsidRPr="7091331A" w:rsidR="7EEF4871">
        <w:rPr>
          <w:rFonts w:ascii="Roboto" w:hAnsi="Roboto" w:eastAsia="Roboto" w:cs="Roboto"/>
          <w:b w:val="0"/>
          <w:bCs w:val="0"/>
          <w:i w:val="0"/>
          <w:iCs w:val="0"/>
          <w:strike w:val="0"/>
          <w:dstrike w:val="0"/>
          <w:noProof w:val="0"/>
          <w:color w:val="333333"/>
          <w:sz w:val="23"/>
          <w:szCs w:val="23"/>
          <w:u w:val="none"/>
          <w:lang w:val="en-GB"/>
        </w:rPr>
        <w:t>(2004)</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poem was split between four groups. In my group, we utilised Lecoq’s experimentation with the body </w:t>
      </w:r>
      <w:r w:rsidRPr="7091331A" w:rsidR="7EEF4871">
        <w:rPr>
          <w:rFonts w:ascii="Roboto" w:hAnsi="Roboto" w:eastAsia="Roboto" w:cs="Roboto"/>
          <w:b w:val="0"/>
          <w:bCs w:val="0"/>
          <w:i w:val="0"/>
          <w:iCs w:val="0"/>
          <w:strike w:val="0"/>
          <w:dstrike w:val="0"/>
          <w:noProof w:val="0"/>
          <w:color w:val="333333"/>
          <w:sz w:val="23"/>
          <w:szCs w:val="23"/>
          <w:u w:val="none"/>
          <w:lang w:val="en-GB"/>
        </w:rPr>
        <w:t>(2020)</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initially exploring the text and using an animalistic movement on “the purring of the kitten,”</w:t>
      </w:r>
      <w:r w:rsidRPr="7091331A" w:rsidR="7EEF4871">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before later developing our action to embody the sounds being used. Some of the questions that arose during this time were, “how would purring move?” and “what does crunching look like?” Additionally we explored non-animalistic embodiment, using our bodies to become a toaster with toast inside in a physical theatre-adjacent action.</w:t>
      </w:r>
    </w:p>
    <w:p xmlns:wp14="http://schemas.microsoft.com/office/word/2010/wordml" wp14:paraId="26611555" wp14:textId="61908CCA"/>
    <w:p xmlns:wp14="http://schemas.microsoft.com/office/word/2010/wordml" w:rsidP="7091331A" wp14:paraId="10600205" wp14:textId="7FEA200B">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had to collaborate together to create a fifteen-minute workshop. While there was a discussion that included multiple ideas, we quickly settled on the idea of encouraging the students to “make” their own sounds, inspired by our own performance. This idea then developed from just asking them to create sounds, to asking them to create still images inspired by the created sounds. We also decided to include an aspect of Dorothy Heathcote’s teacher-in-role </w:t>
      </w:r>
      <w:r w:rsidRPr="7091331A" w:rsidR="7EEF4871">
        <w:rPr>
          <w:rFonts w:ascii="Roboto" w:hAnsi="Roboto" w:eastAsia="Roboto" w:cs="Roboto"/>
          <w:b w:val="0"/>
          <w:bCs w:val="0"/>
          <w:i w:val="0"/>
          <w:iCs w:val="0"/>
          <w:strike w:val="0"/>
          <w:dstrike w:val="0"/>
          <w:noProof w:val="0"/>
          <w:color w:val="333333"/>
          <w:sz w:val="23"/>
          <w:szCs w:val="23"/>
          <w:u w:val="none"/>
          <w:lang w:val="en-GB"/>
        </w:rPr>
        <w:t>(Heathcote and Bolton, 1973)</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through having one of us dress up like the sound collector, to collect the sounds made. Furthermore, we decided to incorporate more of Heathcote’s teachings by using terminology from Mantle of the Expert, by asking the students to be our “sound experts.”</w:t>
      </w:r>
    </w:p>
    <w:p xmlns:wp14="http://schemas.microsoft.com/office/word/2010/wordml" wp14:paraId="6BD41E6F" wp14:textId="1715E95A"/>
    <w:p xmlns:wp14="http://schemas.microsoft.com/office/word/2010/wordml" w:rsidP="7091331A" wp14:paraId="2FFEFC06" wp14:textId="6269FDBB">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I did have some difficulty when the discussion to incorporate Mantle of the Expert began, as I have a general difficulty with accepting last-minute changes. However, through a talk with my lecturer and a new open-minded approach, I found myself really enjoying the change that it brought. Reflecting on this, if I were to do this workshop again with more time, I would fully embrace Mantle of the Expert, actually incorporating the students’ teachers. I do believe the use of the magic ‘If’ could have been more prominent in our work.</w:t>
      </w:r>
    </w:p>
    <w:p xmlns:wp14="http://schemas.microsoft.com/office/word/2010/wordml" wp14:paraId="1054D2C8" wp14:textId="373330ED"/>
    <w:p xmlns:wp14="http://schemas.microsoft.com/office/word/2010/wordml" w:rsidP="7091331A" wp14:paraId="3F0F85F5" wp14:textId="142B980D">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One of the difficulties I found when we were doing the workshop was keeping up with the children. I was surprised by how quickly they had gotten the idea, and ended up being redundant as they created their first and second image. Unfortunately, we did run out of time to create our third image, but what impressed me was my group’s ability to create an image while they were asked to watch the other groups’ perform their sounds. If I were to do this workshop again, I would encourage my group to listen when asked instead of trying to complete the task, as the core of our workshop was to simply encourage creativity and to understand how we can use space, voice and physicality to convey a scene.</w:t>
      </w:r>
    </w:p>
    <w:p xmlns:wp14="http://schemas.microsoft.com/office/word/2010/wordml" wp14:paraId="1CCE03F6" wp14:textId="32404431"/>
    <w:p xmlns:wp14="http://schemas.microsoft.com/office/word/2010/wordml" w:rsidP="7091331A" wp14:paraId="20C885AB" wp14:textId="73CC54F0">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When first presented with The Lady of the Lake </w:t>
      </w:r>
      <w:r w:rsidRPr="7091331A" w:rsidR="7EEF4871">
        <w:rPr>
          <w:rFonts w:ascii="Roboto" w:hAnsi="Roboto" w:eastAsia="Roboto" w:cs="Roboto"/>
          <w:b w:val="0"/>
          <w:bCs w:val="0"/>
          <w:i w:val="0"/>
          <w:iCs w:val="0"/>
          <w:strike w:val="0"/>
          <w:dstrike w:val="0"/>
          <w:noProof w:val="0"/>
          <w:color w:val="333333"/>
          <w:sz w:val="23"/>
          <w:szCs w:val="23"/>
          <w:u w:val="none"/>
          <w:lang w:val="en-GB"/>
        </w:rPr>
        <w:t>(Twinkl, no date)</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I was excited. I enjoyed the introduction to Welsh mythology especially, and not only that but the relevance that it had towards our audience as we’d been informed that they’d recently looked at it. Upon first reading, we decided that it was a nice addition to elaborate on the storyteller’s dialogue and include some stage direction, as it added a “storybook”-esque feel to the play.</w:t>
      </w:r>
    </w:p>
    <w:p xmlns:wp14="http://schemas.microsoft.com/office/word/2010/wordml" wp14:paraId="7CCC0E96" wp14:textId="546AF055"/>
    <w:p xmlns:wp14="http://schemas.microsoft.com/office/word/2010/wordml" w:rsidP="7091331A" wp14:paraId="6A76A297" wp14:textId="696EC64C">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One important note is that I was immediately concerned with the set due to two major factors: transportation, and design. Through discussing this, we initially decided to refrain from having too much set, and it was left at that. However, in discovering a large, velvety green sheet, we decided that it might be fruitful to pursue the idea of using fabric to convey land and sea. We were inspired by Morgan Elwy’s Natur </w:t>
      </w:r>
      <w:r w:rsidRPr="7091331A" w:rsidR="7EEF4871">
        <w:rPr>
          <w:rFonts w:ascii="Roboto" w:hAnsi="Roboto" w:eastAsia="Roboto" w:cs="Roboto"/>
          <w:b w:val="0"/>
          <w:bCs w:val="0"/>
          <w:i w:val="0"/>
          <w:iCs w:val="0"/>
          <w:strike w:val="0"/>
          <w:dstrike w:val="0"/>
          <w:noProof w:val="0"/>
          <w:color w:val="333333"/>
          <w:sz w:val="23"/>
          <w:szCs w:val="23"/>
          <w:u w:val="none"/>
          <w:lang w:val="en-GB"/>
        </w:rPr>
        <w:t>(2020)</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performance we had seen, in which he used fabric and material to convey foliage, water, and the beach.</w:t>
      </w:r>
    </w:p>
    <w:p xmlns:wp14="http://schemas.microsoft.com/office/word/2010/wordml" wp14:paraId="3C85A819" wp14:textId="4487F81F"/>
    <w:p xmlns:wp14="http://schemas.microsoft.com/office/word/2010/wordml" w:rsidP="7091331A" wp14:paraId="436F94DA" wp14:textId="5E4B94E4">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However, as time passed, we were unable to source enough fabric to heighten our performance, and it ended up falling flat. We discussed with a guest lecturer for some tips, and he provided us with the idea to not use a set at all. It was unconventional, and without the discussion I don’t believe we would’ve ever thought of it, but as the idea settled further we came to the agreement to at least try it. Through performance, we found that we enjoyed the lack of a set, and that it allowed us to be transparent with the audience in asking them to imagine the set alongside us. We were inspired by William Shakespeare’s prologues </w:t>
      </w:r>
      <w:r w:rsidRPr="7091331A" w:rsidR="7EEF4871">
        <w:rPr>
          <w:rFonts w:ascii="Roboto" w:hAnsi="Roboto" w:eastAsia="Roboto" w:cs="Roboto"/>
          <w:b w:val="0"/>
          <w:bCs w:val="0"/>
          <w:i w:val="0"/>
          <w:iCs w:val="0"/>
          <w:strike w:val="0"/>
          <w:dstrike w:val="0"/>
          <w:noProof w:val="0"/>
          <w:color w:val="333333"/>
          <w:sz w:val="23"/>
          <w:szCs w:val="23"/>
          <w:u w:val="none"/>
          <w:lang w:val="en-GB"/>
        </w:rPr>
        <w:t>(</w:t>
      </w:r>
      <w:r w:rsidRPr="7091331A" w:rsidR="7EEF4871">
        <w:rPr>
          <w:rFonts w:ascii="Roboto" w:hAnsi="Roboto" w:eastAsia="Roboto" w:cs="Roboto"/>
          <w:b w:val="0"/>
          <w:bCs w:val="0"/>
          <w:i w:val="1"/>
          <w:iCs w:val="1"/>
          <w:strike w:val="0"/>
          <w:dstrike w:val="0"/>
          <w:noProof w:val="0"/>
          <w:color w:val="333333"/>
          <w:sz w:val="23"/>
          <w:szCs w:val="23"/>
          <w:u w:val="none"/>
          <w:lang w:val="en-GB"/>
        </w:rPr>
        <w:t>The Life of Henry the Fifth</w:t>
      </w:r>
      <w:r w:rsidRPr="7091331A" w:rsidR="7EEF4871">
        <w:rPr>
          <w:rFonts w:ascii="Roboto" w:hAnsi="Roboto" w:eastAsia="Roboto" w:cs="Roboto"/>
          <w:b w:val="0"/>
          <w:bCs w:val="0"/>
          <w:i w:val="0"/>
          <w:iCs w:val="0"/>
          <w:strike w:val="0"/>
          <w:dstrike w:val="0"/>
          <w:noProof w:val="0"/>
          <w:color w:val="333333"/>
          <w:sz w:val="23"/>
          <w:szCs w:val="23"/>
          <w:u w:val="none"/>
          <w:lang w:val="en-GB"/>
        </w:rPr>
        <w:t>, c. 1599)</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and so developed one ourselves that involved direct communication with the students. Additionally, we were inspired by Bertolt Brecht in regards to our demeanour and upfront attitude towards the audience.</w:t>
      </w:r>
    </w:p>
    <w:p xmlns:wp14="http://schemas.microsoft.com/office/word/2010/wordml" wp14:paraId="704B0CE2" wp14:textId="612A39A2"/>
    <w:p xmlns:wp14="http://schemas.microsoft.com/office/word/2010/wordml" w:rsidP="7091331A" wp14:paraId="7127AA88" wp14:textId="76FF220B">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Eventually we also included soundscape, falling back on what we’d done with The Sound Collector. We decided to expand on the prologue to ask the audience to be our “sounds,” by asking them to respond to visual stimuli with corresponding sounds, i.e. a picture of a cow would elicit a moo, a picture of a storm would elicit thunder, etc.</w:t>
      </w:r>
    </w:p>
    <w:p xmlns:wp14="http://schemas.microsoft.com/office/word/2010/wordml" wp14:paraId="4001C9E8" wp14:textId="517173EF"/>
    <w:p xmlns:wp14="http://schemas.microsoft.com/office/word/2010/wordml" w:rsidP="7091331A" wp14:paraId="48E187B0" wp14:textId="55BC231B">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One of our first performances in front of the group failed spectacularly. Unfortunately, we’d gotten into the habit of not being strict with the script, and this led to us running off the rails by adlibbing and improvising out-of-turn, creating a humorous but confusing performance. The advice we were given is to find the control in the play. I believe this really helped us ground ourselves, and allowed the performance to be far more coherent as it went on than our first attempt.</w:t>
      </w:r>
    </w:p>
    <w:p xmlns:wp14="http://schemas.microsoft.com/office/word/2010/wordml" wp14:paraId="6AA3067C" wp14:textId="03D19F22"/>
    <w:p xmlns:wp14="http://schemas.microsoft.com/office/word/2010/wordml" w:rsidP="7091331A" wp14:paraId="1A3B86E4" wp14:textId="189D3290">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Moving onto the workshops, I was indecisive. Due to how restrictive my thinking can be, the term “workshop” had stumped me completely, however it was during a discussion with my teammates that I decided to look back on the work I’d done in college to see if I could incorporate anything. One of the aspects of my education that I adored was creating a character, and so I decided that that would be the core of my workshop. While it started as asking all of them to create original characters, I eventually changed it to separating the students into groups and asking them to collaborate to create a character. I was inspired by Uta Hagen, to provoke my audience with questions regarding their character </w:t>
      </w:r>
      <w:r w:rsidRPr="7091331A" w:rsidR="7EEF4871">
        <w:rPr>
          <w:rFonts w:ascii="Roboto" w:hAnsi="Roboto" w:eastAsia="Roboto" w:cs="Roboto"/>
          <w:b w:val="0"/>
          <w:bCs w:val="0"/>
          <w:i w:val="0"/>
          <w:iCs w:val="0"/>
          <w:strike w:val="0"/>
          <w:dstrike w:val="0"/>
          <w:noProof w:val="0"/>
          <w:color w:val="333333"/>
          <w:sz w:val="23"/>
          <w:szCs w:val="23"/>
          <w:u w:val="none"/>
          <w:lang w:val="en-GB"/>
        </w:rPr>
        <w:t>(Hagen and Frankel, 1973)</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Additionally, I reflected on Lecoq’s work </w:t>
      </w:r>
      <w:r w:rsidRPr="7091331A" w:rsidR="7EEF4871">
        <w:rPr>
          <w:rFonts w:ascii="Roboto" w:hAnsi="Roboto" w:eastAsia="Roboto" w:cs="Roboto"/>
          <w:b w:val="0"/>
          <w:bCs w:val="0"/>
          <w:i w:val="0"/>
          <w:iCs w:val="0"/>
          <w:strike w:val="0"/>
          <w:dstrike w:val="0"/>
          <w:noProof w:val="0"/>
          <w:color w:val="333333"/>
          <w:sz w:val="23"/>
          <w:szCs w:val="23"/>
          <w:u w:val="none"/>
          <w:lang w:val="en-GB"/>
        </w:rPr>
        <w:t>(2020)</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 embodiment and decided to add that to my workshop, asking the students to “walk like the farmer” or “walk like the lady of the lake” to get them used to the idea of being someone else.</w:t>
      </w:r>
    </w:p>
    <w:p xmlns:wp14="http://schemas.microsoft.com/office/word/2010/wordml" wp14:paraId="71267CFE" wp14:textId="173C737B"/>
    <w:p xmlns:wp14="http://schemas.microsoft.com/office/word/2010/wordml" w:rsidP="7091331A" wp14:paraId="63501ADD" wp14:textId="3D4863B4">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Furthermore, a late addition to my workshop was to incorporate forum theatre </w:t>
      </w:r>
      <w:r w:rsidRPr="7091331A" w:rsidR="7EEF4871">
        <w:rPr>
          <w:rFonts w:ascii="Roboto" w:hAnsi="Roboto" w:eastAsia="Roboto" w:cs="Roboto"/>
          <w:b w:val="0"/>
          <w:bCs w:val="0"/>
          <w:i w:val="0"/>
          <w:iCs w:val="0"/>
          <w:strike w:val="0"/>
          <w:dstrike w:val="0"/>
          <w:noProof w:val="0"/>
          <w:color w:val="333333"/>
          <w:sz w:val="23"/>
          <w:szCs w:val="23"/>
          <w:u w:val="none"/>
          <w:lang w:val="en-GB"/>
        </w:rPr>
        <w:t>(Boal, 1984)</w:t>
      </w: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 where set a stage and asked the audience to embody their original characters by coming up into different scenes, even expanding on this and asking them to be characters from the play, i.e. the mother, the farmer, the lady.</w:t>
      </w:r>
    </w:p>
    <w:p xmlns:wp14="http://schemas.microsoft.com/office/word/2010/wordml" wp14:paraId="3CAAF537" wp14:textId="65F0D02D"/>
    <w:p xmlns:wp14="http://schemas.microsoft.com/office/word/2010/wordml" w:rsidP="7091331A" wp14:paraId="3FF34BC4" wp14:textId="4E804880">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The day prior to our assessment, something unexpected happened that completely took me off guard. I fell ill. This undeniably had an effect not only on my mood, but on my performance too, more specifically my diction and verbal clarity. However, there was a noticeable relaxation in our group when it came to our performance. After all, we had rehearsed for several hours over the weeks, we felt comfortable with our workshops, we felt we were in control of what we could control. So, thanks to discussions both with my team and with my lecturers, I felt more at peace, and ready to conquer the assessment. I ensured I was decently hydrated throughout the assessment, always drinking water when I felt there was an appropriate amount of time to.</w:t>
      </w:r>
    </w:p>
    <w:p xmlns:wp14="http://schemas.microsoft.com/office/word/2010/wordml" wp14:paraId="5BA14089" wp14:textId="6F769CC8"/>
    <w:p xmlns:wp14="http://schemas.microsoft.com/office/word/2010/wordml" w:rsidP="7091331A" wp14:paraId="1C3BEF7F" wp14:textId="1CB6F4C0">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Prior to beginning, I was less sure with my actions. I asked multiple questions to our lecturers before being given the advice to be more confident that we are competent enough as a group to make the final decisions without having to have a back-and-forth with the lecturers. This helped me as it calmed down the few nerves I did have, and led into a discussion that revolved around the following topic:</w:t>
      </w:r>
    </w:p>
    <w:p xmlns:wp14="http://schemas.microsoft.com/office/word/2010/wordml" wp14:paraId="7332BB57" wp14:textId="06B6CDE1"/>
    <w:p xmlns:wp14="http://schemas.microsoft.com/office/word/2010/wordml" w:rsidP="7091331A" wp14:paraId="73A2D237" wp14:textId="29D5A2E9">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The seating arrangement. While initially we decided to have the children sat on the floor to allow us more room to have them move in, we reconvened and decided to instead allow them to sit on PE benches, as the space in which they were sat was an area we did not have much movement planned for. This meant that we had to move the benches ourselves, though this was only a minor task that we were happy to undertake. Additionally, I arranged a side table that contained the resources we would be using continuously throughout both the play and the workshops.</w:t>
      </w:r>
    </w:p>
    <w:p xmlns:wp14="http://schemas.microsoft.com/office/word/2010/wordml" wp14:paraId="3A6C8820" wp14:textId="1F33CF1D"/>
    <w:p xmlns:wp14="http://schemas.microsoft.com/office/word/2010/wordml" w:rsidP="7091331A" wp14:paraId="5321F1A8" wp14:textId="54AA5F0B">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Flowing into the performance, I was cautiously aware that we were taking on a risky job to involve the audience through soundscaping. However, they quickly picked up the task! I believe this was a worthy risk to take and am content with how it played out.</w:t>
      </w:r>
    </w:p>
    <w:p xmlns:wp14="http://schemas.microsoft.com/office/word/2010/wordml" wp14:paraId="14230529" wp14:textId="6C262255"/>
    <w:p xmlns:wp14="http://schemas.microsoft.com/office/word/2010/wordml" w:rsidP="7091331A" wp14:paraId="4DBCD21E" wp14:textId="59BAC208">
      <w:pPr>
        <w:spacing w:before="0" w:beforeAutospacing="off" w:after="0" w:afterAutospacing="off"/>
      </w:pPr>
      <w:r w:rsidRPr="7091331A" w:rsidR="7EEF4871">
        <w:rPr>
          <w:rFonts w:ascii="Arial" w:hAnsi="Arial" w:eastAsia="Arial" w:cs="Arial"/>
          <w:b w:val="0"/>
          <w:bCs w:val="0"/>
          <w:i w:val="0"/>
          <w:iCs w:val="0"/>
          <w:strike w:val="0"/>
          <w:dstrike w:val="0"/>
          <w:noProof w:val="0"/>
          <w:color w:val="000000" w:themeColor="text1" w:themeTint="FF" w:themeShade="FF"/>
          <w:sz w:val="22"/>
          <w:szCs w:val="22"/>
          <w:u w:val="none"/>
          <w:lang w:val="en-GB"/>
        </w:rPr>
        <w:t>In the workshops, I believe I conducted myself in an appropriate manner. I aimed to take on whatever the children threw at us, and I believe I did just that! One of the oddities of our group was an obsession with sealions, most prominent in James’ and Trystan’s workshops, but despite this I encouraged them to collaborate and engage with each other in their groups. From perceiving the groups, I made a mental note that the boys seemed more comfortable engaging and collaborating with the boys, while the opposite was said for the girls, thus in my own workshop, I decided to split it so that the boys were all working together and the girls were all working together. Due to the nature of my workshop, I wanted to accommodate for the most comfortable outcome, and having seen how the group as a large behaved I believe this was one of many choices I could’ve made. If I find myself in this situation again, I may try to apply a less gender-centred dynamic and encourage cross-gender communication.</w:t>
      </w:r>
    </w:p>
    <w:p xmlns:wp14="http://schemas.microsoft.com/office/word/2010/wordml" wp14:paraId="0B605931" wp14:textId="1C581F43"/>
    <w:p xmlns:wp14="http://schemas.microsoft.com/office/word/2010/wordml" w:rsidP="7091331A" wp14:paraId="75F83DD7" wp14:textId="4A23FB9C">
      <w:pPr>
        <w:pStyle w:val="Normal"/>
        <w:keepNext w:val="1"/>
        <w:keepLines w:val="1"/>
        <w:rPr>
          <w:noProof w:val="0"/>
          <w:lang w:val="en-GB"/>
        </w:rPr>
      </w:pPr>
    </w:p>
    <w:p xmlns:wp14="http://schemas.microsoft.com/office/word/2010/wordml" w:rsidP="7091331A" wp14:paraId="49707536" wp14:textId="2D9F5193">
      <w:pPr>
        <w:pStyle w:val="Heading1"/>
        <w:keepNext w:val="1"/>
        <w:keepLines w:val="1"/>
        <w:spacing w:before="360" w:after="80"/>
        <w:rPr>
          <w:rFonts w:ascii="Aptos" w:hAnsi="Aptos" w:eastAsia="Aptos" w:cs="Aptos"/>
          <w:noProof w:val="0"/>
          <w:sz w:val="24"/>
          <w:szCs w:val="24"/>
          <w:lang w:val="en-GB"/>
        </w:rPr>
      </w:pPr>
      <w:r w:rsidRPr="7091331A" w:rsidR="2FBCBFF4">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A</w:t>
      </w:r>
      <w:r w:rsidRPr="7091331A" w:rsidR="2FBCBFF4">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ppendix</w:t>
      </w:r>
    </w:p>
    <w:p xmlns:wp14="http://schemas.microsoft.com/office/word/2010/wordml" w:rsidP="7091331A" wp14:paraId="242E9CEA" wp14:textId="24E9FFE4">
      <w:pPr>
        <w:spacing w:before="0" w:beforeAutospacing="off" w:after="0" w:afterAutospacing="off"/>
      </w:pPr>
      <w:r w:rsidRPr="7091331A" w:rsidR="2FBCBFF4">
        <w:rPr>
          <w:rFonts w:ascii="Roboto" w:hAnsi="Roboto" w:eastAsia="Roboto" w:cs="Roboto"/>
          <w:b w:val="0"/>
          <w:bCs w:val="0"/>
          <w:i w:val="0"/>
          <w:iCs w:val="0"/>
          <w:strike w:val="0"/>
          <w:dstrike w:val="0"/>
          <w:noProof w:val="0"/>
          <w:color w:val="333333"/>
          <w:sz w:val="23"/>
          <w:szCs w:val="23"/>
          <w:u w:val="none"/>
          <w:lang w:val="en-GB"/>
        </w:rPr>
        <w:t xml:space="preserve">Boal, A. (1984) </w:t>
      </w:r>
      <w:r w:rsidRPr="7091331A" w:rsidR="2FBCBFF4">
        <w:rPr>
          <w:rFonts w:ascii="Roboto" w:hAnsi="Roboto" w:eastAsia="Roboto" w:cs="Roboto"/>
          <w:b w:val="0"/>
          <w:bCs w:val="0"/>
          <w:i w:val="1"/>
          <w:iCs w:val="1"/>
          <w:strike w:val="0"/>
          <w:dstrike w:val="0"/>
          <w:noProof w:val="0"/>
          <w:color w:val="333333"/>
          <w:sz w:val="23"/>
          <w:szCs w:val="23"/>
          <w:u w:val="none"/>
          <w:lang w:val="en-GB"/>
        </w:rPr>
        <w:t>Theatre of the Oppressed</w:t>
      </w:r>
      <w:r w:rsidRPr="7091331A" w:rsidR="2FBCBFF4">
        <w:rPr>
          <w:rFonts w:ascii="Roboto" w:hAnsi="Roboto" w:eastAsia="Roboto" w:cs="Roboto"/>
          <w:b w:val="0"/>
          <w:bCs w:val="0"/>
          <w:i w:val="0"/>
          <w:iCs w:val="0"/>
          <w:strike w:val="0"/>
          <w:dstrike w:val="0"/>
          <w:noProof w:val="0"/>
          <w:color w:val="333333"/>
          <w:sz w:val="23"/>
          <w:szCs w:val="23"/>
          <w:u w:val="none"/>
          <w:lang w:val="en-GB"/>
        </w:rPr>
        <w:t>. Translated from the Portuguese by C. A. McBride. Theatre Communications Group.</w:t>
      </w:r>
    </w:p>
    <w:p xmlns:wp14="http://schemas.microsoft.com/office/word/2010/wordml" w:rsidP="7091331A" wp14:paraId="5837C78B" wp14:textId="1C06CD1B">
      <w:pPr>
        <w:spacing w:before="0" w:beforeAutospacing="off" w:after="0" w:afterAutospacing="off"/>
      </w:pPr>
      <w:r w:rsidRPr="7091331A" w:rsidR="2FBCBFF4">
        <w:rPr>
          <w:rFonts w:ascii="Roboto" w:hAnsi="Roboto" w:eastAsia="Roboto" w:cs="Roboto"/>
          <w:b w:val="0"/>
          <w:bCs w:val="0"/>
          <w:i w:val="0"/>
          <w:iCs w:val="0"/>
          <w:strike w:val="0"/>
          <w:dstrike w:val="0"/>
          <w:noProof w:val="0"/>
          <w:color w:val="333333"/>
          <w:sz w:val="23"/>
          <w:szCs w:val="23"/>
          <w:u w:val="none"/>
          <w:lang w:val="en-GB"/>
        </w:rPr>
        <w:t xml:space="preserve">Hagen, U. and Frankel, H. (1973) </w:t>
      </w:r>
      <w:r w:rsidRPr="7091331A" w:rsidR="2FBCBFF4">
        <w:rPr>
          <w:rFonts w:ascii="Roboto" w:hAnsi="Roboto" w:eastAsia="Roboto" w:cs="Roboto"/>
          <w:b w:val="0"/>
          <w:bCs w:val="0"/>
          <w:i w:val="1"/>
          <w:iCs w:val="1"/>
          <w:strike w:val="0"/>
          <w:dstrike w:val="0"/>
          <w:noProof w:val="0"/>
          <w:color w:val="333333"/>
          <w:sz w:val="23"/>
          <w:szCs w:val="23"/>
          <w:u w:val="none"/>
          <w:lang w:val="en-GB"/>
        </w:rPr>
        <w:t>Respect for Acting</w:t>
      </w:r>
      <w:r w:rsidRPr="7091331A" w:rsidR="2FBCBFF4">
        <w:rPr>
          <w:rFonts w:ascii="Roboto" w:hAnsi="Roboto" w:eastAsia="Roboto" w:cs="Roboto"/>
          <w:b w:val="0"/>
          <w:bCs w:val="0"/>
          <w:i w:val="0"/>
          <w:iCs w:val="0"/>
          <w:strike w:val="0"/>
          <w:dstrike w:val="0"/>
          <w:noProof w:val="0"/>
          <w:color w:val="333333"/>
          <w:sz w:val="23"/>
          <w:szCs w:val="23"/>
          <w:u w:val="none"/>
          <w:lang w:val="en-GB"/>
        </w:rPr>
        <w:t>. John Wiley &amp; Sons.</w:t>
      </w:r>
    </w:p>
    <w:p xmlns:wp14="http://schemas.microsoft.com/office/word/2010/wordml" w:rsidP="7091331A" wp14:paraId="2D9BA1E8" wp14:textId="2887E305">
      <w:pPr>
        <w:spacing w:before="0" w:beforeAutospacing="off" w:after="0" w:afterAutospacing="off"/>
      </w:pPr>
      <w:r w:rsidRPr="7091331A" w:rsidR="2FBCBFF4">
        <w:rPr>
          <w:rFonts w:ascii="Roboto" w:hAnsi="Roboto" w:eastAsia="Roboto" w:cs="Roboto"/>
          <w:b w:val="0"/>
          <w:bCs w:val="0"/>
          <w:i w:val="0"/>
          <w:iCs w:val="0"/>
          <w:strike w:val="0"/>
          <w:dstrike w:val="0"/>
          <w:noProof w:val="0"/>
          <w:color w:val="333333"/>
          <w:sz w:val="23"/>
          <w:szCs w:val="23"/>
          <w:u w:val="none"/>
          <w:lang w:val="en-GB"/>
        </w:rPr>
        <w:t xml:space="preserve">Heathcote, D. and Bolton, G. (1995) </w:t>
      </w:r>
      <w:r w:rsidRPr="7091331A" w:rsidR="2FBCBFF4">
        <w:rPr>
          <w:rFonts w:ascii="Roboto" w:hAnsi="Roboto" w:eastAsia="Roboto" w:cs="Roboto"/>
          <w:b w:val="0"/>
          <w:bCs w:val="0"/>
          <w:i w:val="1"/>
          <w:iCs w:val="1"/>
          <w:strike w:val="0"/>
          <w:dstrike w:val="0"/>
          <w:noProof w:val="0"/>
          <w:color w:val="333333"/>
          <w:sz w:val="23"/>
          <w:szCs w:val="23"/>
          <w:u w:val="none"/>
          <w:lang w:val="en-GB"/>
        </w:rPr>
        <w:t>Drama for Learning: Dorothy Heathcote’s Mantle of the Expert Approach to Education</w:t>
      </w:r>
      <w:r w:rsidRPr="7091331A" w:rsidR="2FBCBFF4">
        <w:rPr>
          <w:rFonts w:ascii="Roboto" w:hAnsi="Roboto" w:eastAsia="Roboto" w:cs="Roboto"/>
          <w:b w:val="0"/>
          <w:bCs w:val="0"/>
          <w:i w:val="0"/>
          <w:iCs w:val="0"/>
          <w:strike w:val="0"/>
          <w:dstrike w:val="0"/>
          <w:noProof w:val="0"/>
          <w:color w:val="333333"/>
          <w:sz w:val="23"/>
          <w:szCs w:val="23"/>
          <w:u w:val="none"/>
          <w:lang w:val="en-GB"/>
        </w:rPr>
        <w:t>. Heinemann.</w:t>
      </w:r>
    </w:p>
    <w:p xmlns:wp14="http://schemas.microsoft.com/office/word/2010/wordml" w:rsidP="7091331A" wp14:paraId="343B86DE" wp14:textId="23A29C5E">
      <w:pPr>
        <w:spacing w:before="0" w:beforeAutospacing="off" w:after="0" w:afterAutospacing="off"/>
      </w:pPr>
      <w:r w:rsidRPr="7091331A" w:rsidR="2FBCBFF4">
        <w:rPr>
          <w:rFonts w:ascii="Roboto" w:hAnsi="Roboto" w:eastAsia="Roboto" w:cs="Roboto"/>
          <w:b w:val="0"/>
          <w:bCs w:val="0"/>
          <w:i w:val="0"/>
          <w:iCs w:val="0"/>
          <w:strike w:val="0"/>
          <w:dstrike w:val="0"/>
          <w:noProof w:val="0"/>
          <w:color w:val="333333"/>
          <w:sz w:val="23"/>
          <w:szCs w:val="23"/>
          <w:u w:val="none"/>
          <w:lang w:val="en-GB"/>
        </w:rPr>
        <w:t xml:space="preserve">Lecoq, J. (2020) </w:t>
      </w:r>
      <w:r w:rsidRPr="7091331A" w:rsidR="2FBCBFF4">
        <w:rPr>
          <w:rFonts w:ascii="Roboto" w:hAnsi="Roboto" w:eastAsia="Roboto" w:cs="Roboto"/>
          <w:b w:val="0"/>
          <w:bCs w:val="0"/>
          <w:i w:val="1"/>
          <w:iCs w:val="1"/>
          <w:strike w:val="0"/>
          <w:dstrike w:val="0"/>
          <w:noProof w:val="0"/>
          <w:color w:val="333333"/>
          <w:sz w:val="23"/>
          <w:szCs w:val="23"/>
          <w:u w:val="none"/>
          <w:lang w:val="en-GB"/>
        </w:rPr>
        <w:t>The Moving Body</w:t>
      </w:r>
      <w:r w:rsidRPr="7091331A" w:rsidR="2FBCBFF4">
        <w:rPr>
          <w:rFonts w:ascii="Roboto" w:hAnsi="Roboto" w:eastAsia="Roboto" w:cs="Roboto"/>
          <w:b w:val="0"/>
          <w:bCs w:val="0"/>
          <w:i w:val="0"/>
          <w:iCs w:val="0"/>
          <w:strike w:val="0"/>
          <w:dstrike w:val="0"/>
          <w:noProof w:val="0"/>
          <w:color w:val="333333"/>
          <w:sz w:val="23"/>
          <w:szCs w:val="23"/>
          <w:u w:val="none"/>
          <w:lang w:val="en-GB"/>
        </w:rPr>
        <w:t>. Translated from the French by D. Bradby. Bloomsbury Publishing.</w:t>
      </w:r>
    </w:p>
    <w:p xmlns:wp14="http://schemas.microsoft.com/office/word/2010/wordml" w:rsidP="7091331A" wp14:paraId="1485927C" wp14:textId="013F5671">
      <w:pPr>
        <w:spacing w:before="0" w:beforeAutospacing="off" w:after="0" w:afterAutospacing="off"/>
      </w:pPr>
      <w:r w:rsidRPr="7091331A" w:rsidR="2FBCBFF4">
        <w:rPr>
          <w:rFonts w:ascii="Roboto" w:hAnsi="Roboto" w:eastAsia="Roboto" w:cs="Roboto"/>
          <w:b w:val="0"/>
          <w:bCs w:val="0"/>
          <w:i w:val="0"/>
          <w:iCs w:val="0"/>
          <w:strike w:val="0"/>
          <w:dstrike w:val="0"/>
          <w:noProof w:val="0"/>
          <w:color w:val="333333"/>
          <w:sz w:val="23"/>
          <w:szCs w:val="23"/>
          <w:u w:val="none"/>
          <w:lang w:val="en-GB"/>
        </w:rPr>
        <w:t xml:space="preserve">McGrough, R. (2004) </w:t>
      </w:r>
      <w:r w:rsidRPr="7091331A" w:rsidR="2FBCBFF4">
        <w:rPr>
          <w:rFonts w:ascii="Roboto" w:hAnsi="Roboto" w:eastAsia="Roboto" w:cs="Roboto"/>
          <w:b w:val="0"/>
          <w:bCs w:val="0"/>
          <w:i w:val="1"/>
          <w:iCs w:val="1"/>
          <w:strike w:val="0"/>
          <w:dstrike w:val="0"/>
          <w:noProof w:val="0"/>
          <w:color w:val="333333"/>
          <w:sz w:val="23"/>
          <w:szCs w:val="23"/>
          <w:u w:val="none"/>
          <w:lang w:val="en-GB"/>
        </w:rPr>
        <w:t>All the Best: The Selected Poems of Roger McGrough</w:t>
      </w:r>
      <w:r w:rsidRPr="7091331A" w:rsidR="2FBCBFF4">
        <w:rPr>
          <w:rFonts w:ascii="Roboto" w:hAnsi="Roboto" w:eastAsia="Roboto" w:cs="Roboto"/>
          <w:b w:val="0"/>
          <w:bCs w:val="0"/>
          <w:i w:val="0"/>
          <w:iCs w:val="0"/>
          <w:strike w:val="0"/>
          <w:dstrike w:val="0"/>
          <w:noProof w:val="0"/>
          <w:color w:val="333333"/>
          <w:sz w:val="23"/>
          <w:szCs w:val="23"/>
          <w:u w:val="none"/>
          <w:lang w:val="en-GB"/>
        </w:rPr>
        <w:t>. Puffin Books.</w:t>
      </w:r>
    </w:p>
    <w:p xmlns:wp14="http://schemas.microsoft.com/office/word/2010/wordml" w:rsidP="7091331A" wp14:paraId="2A68856C" wp14:textId="5E5820CC">
      <w:pPr>
        <w:spacing w:before="0" w:beforeAutospacing="off" w:after="0" w:afterAutospacing="off"/>
      </w:pPr>
      <w:r w:rsidRPr="7091331A" w:rsidR="2FBCBFF4">
        <w:rPr>
          <w:rFonts w:ascii="Roboto" w:hAnsi="Roboto" w:eastAsia="Roboto" w:cs="Roboto"/>
          <w:b w:val="0"/>
          <w:bCs w:val="0"/>
          <w:i w:val="1"/>
          <w:iCs w:val="1"/>
          <w:strike w:val="0"/>
          <w:dstrike w:val="0"/>
          <w:noProof w:val="0"/>
          <w:color w:val="333333"/>
          <w:sz w:val="23"/>
          <w:szCs w:val="23"/>
          <w:u w:val="none"/>
          <w:lang w:val="en-GB"/>
        </w:rPr>
        <w:t>Natur</w:t>
      </w:r>
      <w:r w:rsidRPr="7091331A" w:rsidR="2FBCBFF4">
        <w:rPr>
          <w:rFonts w:ascii="Roboto" w:hAnsi="Roboto" w:eastAsia="Roboto" w:cs="Roboto"/>
          <w:b w:val="0"/>
          <w:bCs w:val="0"/>
          <w:i w:val="0"/>
          <w:iCs w:val="0"/>
          <w:strike w:val="0"/>
          <w:dstrike w:val="0"/>
          <w:noProof w:val="0"/>
          <w:color w:val="333333"/>
          <w:sz w:val="23"/>
          <w:szCs w:val="23"/>
          <w:u w:val="none"/>
          <w:lang w:val="en-GB"/>
        </w:rPr>
        <w:t xml:space="preserve"> by Morgan Elwy (2020) Directed by Theatr Arad Goch</w:t>
      </w:r>
    </w:p>
    <w:p xmlns:wp14="http://schemas.microsoft.com/office/word/2010/wordml" w:rsidP="7091331A" wp14:paraId="752A22A4" wp14:textId="2A88E5C4">
      <w:pPr>
        <w:spacing w:before="0" w:beforeAutospacing="off" w:after="0" w:afterAutospacing="off"/>
      </w:pPr>
      <w:r w:rsidRPr="7091331A" w:rsidR="2FBCBFF4">
        <w:rPr>
          <w:rFonts w:ascii="Roboto" w:hAnsi="Roboto" w:eastAsia="Roboto" w:cs="Roboto"/>
          <w:b w:val="0"/>
          <w:bCs w:val="0"/>
          <w:i w:val="1"/>
          <w:iCs w:val="1"/>
          <w:strike w:val="0"/>
          <w:dstrike w:val="0"/>
          <w:noProof w:val="0"/>
          <w:color w:val="333333"/>
          <w:sz w:val="23"/>
          <w:szCs w:val="23"/>
          <w:u w:val="none"/>
          <w:lang w:val="en-GB"/>
        </w:rPr>
        <w:t xml:space="preserve">The Life of Henry the Fifth </w:t>
      </w:r>
      <w:r w:rsidRPr="7091331A" w:rsidR="2FBCBFF4">
        <w:rPr>
          <w:rFonts w:ascii="Roboto" w:hAnsi="Roboto" w:eastAsia="Roboto" w:cs="Roboto"/>
          <w:b w:val="0"/>
          <w:bCs w:val="0"/>
          <w:i w:val="0"/>
          <w:iCs w:val="0"/>
          <w:strike w:val="0"/>
          <w:dstrike w:val="0"/>
          <w:noProof w:val="0"/>
          <w:color w:val="333333"/>
          <w:sz w:val="23"/>
          <w:szCs w:val="23"/>
          <w:u w:val="none"/>
          <w:lang w:val="en-GB"/>
        </w:rPr>
        <w:t>by William Shakespeare (c. 1599) Directed by William Shakespeare.</w:t>
      </w:r>
    </w:p>
    <w:p xmlns:wp14="http://schemas.microsoft.com/office/word/2010/wordml" w:rsidP="7091331A" wp14:paraId="734ED65B" wp14:textId="72005B25">
      <w:pPr>
        <w:spacing w:before="0" w:beforeAutospacing="off" w:after="0" w:afterAutospacing="off"/>
      </w:pPr>
      <w:r w:rsidRPr="7091331A" w:rsidR="2FBCBFF4">
        <w:rPr>
          <w:rFonts w:ascii="Roboto" w:hAnsi="Roboto" w:eastAsia="Roboto" w:cs="Roboto"/>
          <w:b w:val="0"/>
          <w:bCs w:val="0"/>
          <w:i w:val="0"/>
          <w:iCs w:val="0"/>
          <w:strike w:val="0"/>
          <w:dstrike w:val="0"/>
          <w:noProof w:val="0"/>
          <w:color w:val="333333"/>
          <w:sz w:val="23"/>
          <w:szCs w:val="23"/>
          <w:u w:val="none"/>
          <w:lang w:val="en-GB"/>
        </w:rPr>
        <w:t xml:space="preserve">Twinkl (no date) </w:t>
      </w:r>
      <w:r w:rsidRPr="7091331A" w:rsidR="2FBCBFF4">
        <w:rPr>
          <w:rFonts w:ascii="Roboto" w:hAnsi="Roboto" w:eastAsia="Roboto" w:cs="Roboto"/>
          <w:b w:val="0"/>
          <w:bCs w:val="0"/>
          <w:i w:val="1"/>
          <w:iCs w:val="1"/>
          <w:strike w:val="0"/>
          <w:dstrike w:val="0"/>
          <w:noProof w:val="0"/>
          <w:color w:val="333333"/>
          <w:sz w:val="23"/>
          <w:szCs w:val="23"/>
          <w:u w:val="none"/>
          <w:lang w:val="en-GB"/>
        </w:rPr>
        <w:t>Welsh Myths and Legends: The Lady of the Lake PowerPoint</w:t>
      </w:r>
      <w:r w:rsidRPr="7091331A" w:rsidR="2FBCBFF4">
        <w:rPr>
          <w:rFonts w:ascii="Roboto" w:hAnsi="Roboto" w:eastAsia="Roboto" w:cs="Roboto"/>
          <w:b w:val="0"/>
          <w:bCs w:val="0"/>
          <w:i w:val="0"/>
          <w:iCs w:val="0"/>
          <w:strike w:val="0"/>
          <w:dstrike w:val="0"/>
          <w:noProof w:val="0"/>
          <w:color w:val="333333"/>
          <w:sz w:val="23"/>
          <w:szCs w:val="23"/>
          <w:u w:val="none"/>
          <w:lang w:val="en-GB"/>
        </w:rPr>
        <w:t xml:space="preserve">. Available at: </w:t>
      </w:r>
      <w:hyperlink r:id="R0056d025f6694fc9">
        <w:r w:rsidRPr="7091331A" w:rsidR="2FBCBFF4">
          <w:rPr>
            <w:rStyle w:val="Hyperlink"/>
            <w:rFonts w:ascii="Roboto" w:hAnsi="Roboto" w:eastAsia="Roboto" w:cs="Roboto"/>
            <w:b w:val="0"/>
            <w:bCs w:val="0"/>
            <w:i w:val="0"/>
            <w:iCs w:val="0"/>
            <w:strike w:val="0"/>
            <w:dstrike w:val="0"/>
            <w:noProof w:val="0"/>
            <w:color w:val="1155CC"/>
            <w:sz w:val="23"/>
            <w:szCs w:val="23"/>
            <w:u w:val="none"/>
            <w:lang w:val="en-GB"/>
          </w:rPr>
          <w:t>https://www.twinkl.co.uk/resource/wl2-h-47-pwerbwynt-lady-of-the-lake-powerpoint</w:t>
        </w:r>
      </w:hyperlink>
      <w:r w:rsidRPr="7091331A" w:rsidR="2FBCBFF4">
        <w:rPr>
          <w:rFonts w:ascii="Roboto" w:hAnsi="Roboto" w:eastAsia="Roboto" w:cs="Roboto"/>
          <w:b w:val="0"/>
          <w:bCs w:val="0"/>
          <w:i w:val="0"/>
          <w:iCs w:val="0"/>
          <w:strike w:val="0"/>
          <w:dstrike w:val="0"/>
          <w:noProof w:val="0"/>
          <w:color w:val="333333"/>
          <w:sz w:val="23"/>
          <w:szCs w:val="23"/>
          <w:u w:val="none"/>
          <w:lang w:val="en-GB"/>
        </w:rPr>
        <w:t>.</w:t>
      </w:r>
    </w:p>
    <w:p xmlns:wp14="http://schemas.microsoft.com/office/word/2010/wordml" wp14:paraId="1CCB2A15" wp14:textId="6D97F387"/>
    <w:p xmlns:wp14="http://schemas.microsoft.com/office/word/2010/wordml" wp14:paraId="5E5787A5" wp14:textId="70B22B1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86C45C"/>
    <w:rsid w:val="2FBCBFF4"/>
    <w:rsid w:val="324B10CA"/>
    <w:rsid w:val="3964B7DB"/>
    <w:rsid w:val="5D86C45C"/>
    <w:rsid w:val="7091331A"/>
    <w:rsid w:val="7EEF4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6C45C"/>
  <w15:chartTrackingRefBased/>
  <w15:docId w15:val="{5EFC8599-5820-4B18-93AB-B0960F1BCB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091331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091331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winkl.co.uk/resource/wl2-h-47-pwerbwynt-lady-of-the-lake-powerpoint" TargetMode="External" Id="R0056d025f6694f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Viv Evans (2403723)</dc:creator>
  <keywords/>
  <dc:description/>
  <lastModifiedBy>Viv Evans (2403723)</lastModifiedBy>
  <revision>2</revision>
  <dcterms:created xsi:type="dcterms:W3CDTF">2026-03-24T11:17:46.2877734Z</dcterms:created>
  <dcterms:modified xsi:type="dcterms:W3CDTF">2026-04-05T08:03:37.7305768Z</dcterms:modified>
</coreProperties>
</file>