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971B6F" w14:textId="46052869" w:rsidR="00993B52" w:rsidRDefault="00F8309F">
      <w:pPr>
        <w:rPr>
          <w:b/>
          <w:bCs/>
          <w:sz w:val="32"/>
          <w:szCs w:val="32"/>
          <w:u w:val="single"/>
        </w:rPr>
      </w:pPr>
      <w:r>
        <w:rPr>
          <w:b/>
          <w:bCs/>
          <w:sz w:val="32"/>
          <w:szCs w:val="32"/>
          <w:u w:val="single"/>
        </w:rPr>
        <w:t>Source Analysis</w:t>
      </w:r>
    </w:p>
    <w:p w14:paraId="52360A81" w14:textId="5D3E3644" w:rsidR="00F8309F" w:rsidRPr="003D030B" w:rsidRDefault="00F8309F">
      <w:pPr>
        <w:rPr>
          <w:b/>
          <w:bCs/>
          <w:sz w:val="24"/>
          <w:szCs w:val="24"/>
          <w:u w:val="single"/>
        </w:rPr>
      </w:pPr>
      <w:r w:rsidRPr="003D030B">
        <w:rPr>
          <w:b/>
          <w:bCs/>
          <w:sz w:val="24"/>
          <w:szCs w:val="24"/>
          <w:u w:val="single"/>
        </w:rPr>
        <w:t>Primary Source Analysis</w:t>
      </w:r>
      <w:r w:rsidR="00355FFA" w:rsidRPr="003D030B">
        <w:rPr>
          <w:b/>
          <w:bCs/>
          <w:sz w:val="24"/>
          <w:szCs w:val="24"/>
          <w:u w:val="single"/>
        </w:rPr>
        <w:t xml:space="preserve"> - </w:t>
      </w:r>
      <w:r w:rsidR="00355FFA" w:rsidRPr="003D030B">
        <w:rPr>
          <w:b/>
          <w:bCs/>
          <w:i/>
          <w:iCs/>
          <w:sz w:val="24"/>
          <w:szCs w:val="24"/>
          <w:u w:val="single"/>
        </w:rPr>
        <w:t>The Empire Needs Men WWI</w:t>
      </w:r>
      <w:r w:rsidR="00355FFA" w:rsidRPr="003D030B">
        <w:rPr>
          <w:b/>
          <w:bCs/>
          <w:sz w:val="24"/>
          <w:szCs w:val="24"/>
          <w:u w:val="single"/>
        </w:rPr>
        <w:t xml:space="preserve"> [Poster - 1915] (by Arthur Wardle) </w:t>
      </w:r>
    </w:p>
    <w:p w14:paraId="31946FC6" w14:textId="67198FA3" w:rsidR="00F8309F" w:rsidRDefault="00F8309F">
      <w:pPr>
        <w:rPr>
          <w:sz w:val="20"/>
          <w:szCs w:val="20"/>
        </w:rPr>
      </w:pPr>
      <w:r>
        <w:rPr>
          <w:noProof/>
          <w:sz w:val="20"/>
          <w:szCs w:val="20"/>
        </w:rPr>
        <w:drawing>
          <wp:inline distT="0" distB="0" distL="0" distR="0" wp14:anchorId="1908782E" wp14:editId="2E96DD55">
            <wp:extent cx="1993265" cy="3048000"/>
            <wp:effectExtent l="0" t="0" r="6985" b="0"/>
            <wp:docPr id="896344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93265" cy="3048000"/>
                    </a:xfrm>
                    <a:prstGeom prst="rect">
                      <a:avLst/>
                    </a:prstGeom>
                    <a:noFill/>
                  </pic:spPr>
                </pic:pic>
              </a:graphicData>
            </a:graphic>
          </wp:inline>
        </w:drawing>
      </w:r>
      <w:r>
        <w:rPr>
          <w:rStyle w:val="FootnoteReference"/>
          <w:sz w:val="20"/>
          <w:szCs w:val="20"/>
        </w:rPr>
        <w:footnoteReference w:id="1"/>
      </w:r>
    </w:p>
    <w:p w14:paraId="72086837" w14:textId="0D740461" w:rsidR="00F8309F" w:rsidRPr="003D030B" w:rsidRDefault="00F8309F" w:rsidP="00F8309F">
      <w:pPr>
        <w:rPr>
          <w:sz w:val="24"/>
          <w:szCs w:val="24"/>
        </w:rPr>
      </w:pPr>
      <w:r w:rsidRPr="003D030B">
        <w:rPr>
          <w:sz w:val="24"/>
          <w:szCs w:val="24"/>
        </w:rPr>
        <w:t xml:space="preserve">Produced by infamous painter Arthur Wardle in 1915, and subsequently published by the Parliamentary Recruiting Committee, </w:t>
      </w:r>
      <w:r w:rsidRPr="00591538">
        <w:rPr>
          <w:i/>
          <w:iCs/>
          <w:sz w:val="24"/>
          <w:szCs w:val="24"/>
        </w:rPr>
        <w:t>the Empire Needs Men</w:t>
      </w:r>
      <w:r w:rsidRPr="003D030B">
        <w:rPr>
          <w:sz w:val="24"/>
          <w:szCs w:val="24"/>
        </w:rPr>
        <w:t xml:space="preserve"> was a poster used as propaganda by the British government, intended to drive military recruitment using metaphorical methods. Application of political scientist Charles Tilly’s theories of war to the causes of the First World War in his book </w:t>
      </w:r>
      <w:r w:rsidRPr="003D030B">
        <w:rPr>
          <w:i/>
          <w:iCs/>
          <w:sz w:val="24"/>
          <w:szCs w:val="24"/>
        </w:rPr>
        <w:t>Collective Violence, Contentious Politics, and Social Change</w:t>
      </w:r>
      <w:r w:rsidRPr="003D030B">
        <w:rPr>
          <w:sz w:val="24"/>
          <w:szCs w:val="24"/>
        </w:rPr>
        <w:t xml:space="preserve"> exemplify the advertising techniques found within the source. Adding on to this, crucial historical information missing from the source in the form of colonists desiring the break-up of the British empire is highlighted by Australian historian John Conner in his book </w:t>
      </w:r>
      <w:r w:rsidRPr="003D030B">
        <w:rPr>
          <w:i/>
          <w:iCs/>
          <w:sz w:val="24"/>
          <w:szCs w:val="24"/>
        </w:rPr>
        <w:t>Someone Else’s War: Fighting for the British Empire in World War I</w:t>
      </w:r>
      <w:r w:rsidRPr="003D030B">
        <w:rPr>
          <w:sz w:val="24"/>
          <w:szCs w:val="24"/>
        </w:rPr>
        <w:t xml:space="preserve">. Furthermore, Britain’s dominant position, threatened by rising Germany, is made clear, with political scientist Stephan Van </w:t>
      </w:r>
      <w:proofErr w:type="spellStart"/>
      <w:r w:rsidRPr="003D030B">
        <w:rPr>
          <w:sz w:val="24"/>
          <w:szCs w:val="24"/>
        </w:rPr>
        <w:t>Evrie</w:t>
      </w:r>
      <w:proofErr w:type="spellEnd"/>
      <w:r w:rsidRPr="003D030B">
        <w:rPr>
          <w:sz w:val="24"/>
          <w:szCs w:val="24"/>
        </w:rPr>
        <w:t xml:space="preserve"> explaining that Germanys aggressive expansionism caused the First World War in his article </w:t>
      </w:r>
      <w:r w:rsidRPr="003D030B">
        <w:rPr>
          <w:i/>
          <w:iCs/>
          <w:sz w:val="24"/>
          <w:szCs w:val="24"/>
        </w:rPr>
        <w:t>The Cult of the Offensive and the Origins of the First World War</w:t>
      </w:r>
      <w:r w:rsidRPr="003D030B">
        <w:rPr>
          <w:sz w:val="24"/>
          <w:szCs w:val="24"/>
        </w:rPr>
        <w:t xml:space="preserve">. Overall, it is evident that the source is typical of the militarism and imperialist politics of the period. </w:t>
      </w:r>
    </w:p>
    <w:p w14:paraId="7CE86217" w14:textId="485B3575" w:rsidR="00245575" w:rsidRDefault="00F8309F" w:rsidP="00F8309F">
      <w:pPr>
        <w:rPr>
          <w:sz w:val="24"/>
          <w:szCs w:val="24"/>
        </w:rPr>
      </w:pPr>
      <w:r w:rsidRPr="003D030B">
        <w:rPr>
          <w:sz w:val="24"/>
          <w:szCs w:val="24"/>
        </w:rPr>
        <w:t xml:space="preserve">First and foremost, the message of the poster is one of promotion of military enlistment through an attempt to create the feeling of loyalty toward the ‘mother country’ of the empire; using metaphors, the poster appeals to the dominions of the British empire to encourage them to fight for its interests in the form of its preservation. Through presenting the empire as being a pack, Wardle is appealing to a feeling of security </w:t>
      </w:r>
      <w:r w:rsidRPr="003D030B">
        <w:rPr>
          <w:sz w:val="24"/>
          <w:szCs w:val="24"/>
        </w:rPr>
        <w:lastRenderedPageBreak/>
        <w:t>through the notion of ‘strength in numbers.’ As infamously argued by political scientist Charles Tilly in 1975, war makes the state, and the state makes war, explaining that</w:t>
      </w:r>
      <w:r w:rsidR="00245575">
        <w:rPr>
          <w:sz w:val="24"/>
          <w:szCs w:val="24"/>
        </w:rPr>
        <w:t>,</w:t>
      </w:r>
      <w:r w:rsidRPr="003D030B">
        <w:rPr>
          <w:sz w:val="24"/>
          <w:szCs w:val="24"/>
        </w:rPr>
        <w:t xml:space="preserve"> </w:t>
      </w:r>
    </w:p>
    <w:p w14:paraId="215B012F" w14:textId="27044DAD" w:rsidR="00245575" w:rsidRDefault="00245575" w:rsidP="00245575">
      <w:pPr>
        <w:ind w:left="227" w:right="227"/>
        <w:rPr>
          <w:sz w:val="24"/>
          <w:szCs w:val="24"/>
        </w:rPr>
      </w:pPr>
      <w:r>
        <w:rPr>
          <w:sz w:val="24"/>
          <w:szCs w:val="24"/>
        </w:rPr>
        <w:t>B</w:t>
      </w:r>
      <w:r w:rsidR="00F8309F" w:rsidRPr="003D030B">
        <w:rPr>
          <w:sz w:val="24"/>
          <w:szCs w:val="24"/>
        </w:rPr>
        <w:t>anditry, piracy, gangland rivalry, policing, and war making all belong on the same continuum … for the historically limited period in which national states were becoming the dominant organization in Western countries, I shall also claim that mercantile capitalism and state making reinforce each other.</w:t>
      </w:r>
      <w:r w:rsidR="00F8309F" w:rsidRPr="003D030B">
        <w:rPr>
          <w:rStyle w:val="FootnoteReference"/>
          <w:sz w:val="24"/>
          <w:szCs w:val="24"/>
        </w:rPr>
        <w:footnoteReference w:id="2"/>
      </w:r>
      <w:r w:rsidR="00F8309F" w:rsidRPr="003D030B">
        <w:rPr>
          <w:sz w:val="24"/>
          <w:szCs w:val="24"/>
        </w:rPr>
        <w:t xml:space="preserve"> </w:t>
      </w:r>
    </w:p>
    <w:p w14:paraId="3D33BEA6" w14:textId="7A080955" w:rsidR="00F8309F" w:rsidRPr="003D030B" w:rsidRDefault="00F8309F" w:rsidP="00F8309F">
      <w:pPr>
        <w:rPr>
          <w:sz w:val="24"/>
          <w:szCs w:val="24"/>
        </w:rPr>
      </w:pPr>
      <w:r w:rsidRPr="003D030B">
        <w:rPr>
          <w:sz w:val="24"/>
          <w:szCs w:val="24"/>
        </w:rPr>
        <w:t xml:space="preserve">The reason as to why this is the case is because, he argues, the threat of war and of subjugation unites a group of people to form a nation, which then proceeds to expand as individuals outside wish to be incorporated into this new state for protection from that of others, leading to its expansion. This brings it into war as other states then feel threatened by its power. Applying this to the source, Wardle, presenting Britain as a lion and its colonies as its pack, is stating that just as the leader protects its group, so too does Britain through its domination; through the expansion of power to its dominions, Britain is able to protect them from that of other empires. As such, they should enlist in its army to assist in their own protection. </w:t>
      </w:r>
    </w:p>
    <w:p w14:paraId="0525C4B8" w14:textId="716290F1" w:rsidR="00F8309F" w:rsidRPr="003D030B" w:rsidRDefault="00F8309F" w:rsidP="00F8309F">
      <w:pPr>
        <w:rPr>
          <w:sz w:val="24"/>
          <w:szCs w:val="24"/>
        </w:rPr>
      </w:pPr>
      <w:r w:rsidRPr="003D030B">
        <w:rPr>
          <w:sz w:val="24"/>
          <w:szCs w:val="24"/>
        </w:rPr>
        <w:t>Adding on to this, the source neglects to acknowledge the growing voices of republicanism and independence. The relationship between the author and the intended audience of the dominions is typical of the political climate. The ideology of empire is central to the messaging of the source, with the British parliament eager to ensure its preservation, while by contrast the dominions themselves had mixed views regarding their place within it. Conner explains that “across the empire, supporters of the war contended with those opposed to involvement in the conflict, the continuation of the colonial connection, and individuals enduring harsh wartime economic conditions.”</w:t>
      </w:r>
      <w:r w:rsidRPr="003D030B">
        <w:rPr>
          <w:rStyle w:val="FootnoteReference"/>
          <w:sz w:val="24"/>
          <w:szCs w:val="24"/>
        </w:rPr>
        <w:footnoteReference w:id="3"/>
      </w:r>
      <w:r w:rsidRPr="003D030B">
        <w:rPr>
          <w:sz w:val="24"/>
          <w:szCs w:val="24"/>
        </w:rPr>
        <w:t xml:space="preserve"> As evident with the Easter Rising of 1916, attempts at independence would be met with violence by the state, leading Tilly to compare a nation to a gang of criminals who do not allow their members to leave, using force to ensure this. As such, the source attempts to brush aside these views through acknowledging only the good of empire. </w:t>
      </w:r>
    </w:p>
    <w:p w14:paraId="14F8753A" w14:textId="3907C408" w:rsidR="00F8309F" w:rsidRPr="003D030B" w:rsidRDefault="00F8309F" w:rsidP="00F8309F">
      <w:pPr>
        <w:rPr>
          <w:sz w:val="24"/>
          <w:szCs w:val="24"/>
        </w:rPr>
      </w:pPr>
      <w:r w:rsidRPr="003D030B">
        <w:rPr>
          <w:sz w:val="24"/>
          <w:szCs w:val="24"/>
        </w:rPr>
        <w:t>Furthermore, in placing the lion on top of a rock looking ahead, Wardle is portraying Britain as standing over the world, looking at any danger posed to its position. The usage of a lion, perceived to be alpha among the animal kingdom, further signifies Britain as a dominant world power. In order for the German state to expand, it had to militarily occupy territory already owned by the established powers, thereby bringing it into war with the nations of Britain, France, and Russia. Van Evera explains that “in Germany, the military glorified the offense in strident terms.” … “General Alfed von Schlieffen, author of the 1914 German war plan, declared that ‘Attack is the best defence.’”</w:t>
      </w:r>
      <w:r w:rsidRPr="003D030B">
        <w:rPr>
          <w:rStyle w:val="FootnoteReference"/>
          <w:sz w:val="24"/>
          <w:szCs w:val="24"/>
        </w:rPr>
        <w:footnoteReference w:id="4"/>
      </w:r>
      <w:r w:rsidRPr="003D030B">
        <w:rPr>
          <w:sz w:val="24"/>
          <w:szCs w:val="24"/>
        </w:rPr>
        <w:t xml:space="preserve"> With the aim </w:t>
      </w:r>
      <w:r w:rsidRPr="003D030B">
        <w:rPr>
          <w:sz w:val="24"/>
          <w:szCs w:val="24"/>
        </w:rPr>
        <w:lastRenderedPageBreak/>
        <w:t xml:space="preserve">of creating their own empire, Germany started the First World War, and Britain, as a result, fought to preserve theirs. This is signified within the poster where Britain, standing high and mighty, is eager to preserve its position. The additional fiery background further adds to this, as it suggests that the British empire is able to fight ‘through hell and back.’ As such, Wardle is attempting to motivate potential recruits from within the colonies by reinforcing to them that they are part of the worlds ‘greatest empire’ and therefore victory will ultimately be theirs. </w:t>
      </w:r>
    </w:p>
    <w:p w14:paraId="1E2AEB10" w14:textId="5E3C2B93" w:rsidR="00F8309F" w:rsidRPr="003D030B" w:rsidRDefault="00F8309F" w:rsidP="00F8309F">
      <w:pPr>
        <w:rPr>
          <w:sz w:val="24"/>
          <w:szCs w:val="24"/>
        </w:rPr>
      </w:pPr>
      <w:r w:rsidRPr="003D030B">
        <w:rPr>
          <w:sz w:val="24"/>
          <w:szCs w:val="24"/>
        </w:rPr>
        <w:t>In conclusion, the source exemplifies both British and European thought regarding empire during the First World War. The messaging of the necessity of Britain’s dominance over its colonies is typical with regards to justification for national expansion, showing this one-sided view whilst simultaneously refusing to acknowledge contradictory opinions. Britain’s position, threatened by that of Germany’s, is exemplified as being both under threat and under control, so long as the audience does what the author instructs and joins the British military.</w:t>
      </w:r>
      <w:r w:rsidR="0054442F">
        <w:rPr>
          <w:sz w:val="24"/>
          <w:szCs w:val="24"/>
        </w:rPr>
        <w:t xml:space="preserve"> In employing a range of psychological techniques, the author </w:t>
      </w:r>
      <w:r w:rsidR="009D0FE9">
        <w:rPr>
          <w:sz w:val="24"/>
          <w:szCs w:val="24"/>
        </w:rPr>
        <w:t xml:space="preserve">attempts to entice the intended audience into enlisting through </w:t>
      </w:r>
      <w:r w:rsidR="006A7EF5">
        <w:rPr>
          <w:sz w:val="24"/>
          <w:szCs w:val="24"/>
        </w:rPr>
        <w:t xml:space="preserve">the enactment of the feeling of British might over the globe, with </w:t>
      </w:r>
      <w:r w:rsidR="00B9657F">
        <w:rPr>
          <w:sz w:val="24"/>
          <w:szCs w:val="24"/>
        </w:rPr>
        <w:t xml:space="preserve">the viewer invited to feel apart of this. </w:t>
      </w:r>
      <w:r w:rsidR="004D17D4">
        <w:rPr>
          <w:sz w:val="24"/>
          <w:szCs w:val="24"/>
        </w:rPr>
        <w:t xml:space="preserve">Simultaneously however, the author neglects to mention </w:t>
      </w:r>
      <w:r w:rsidR="00BA442C">
        <w:rPr>
          <w:sz w:val="24"/>
          <w:szCs w:val="24"/>
        </w:rPr>
        <w:t xml:space="preserve">other views </w:t>
      </w:r>
      <w:r w:rsidR="007F41FF">
        <w:rPr>
          <w:sz w:val="24"/>
          <w:szCs w:val="24"/>
        </w:rPr>
        <w:t>as this was not</w:t>
      </w:r>
      <w:r w:rsidR="00981560">
        <w:rPr>
          <w:sz w:val="24"/>
          <w:szCs w:val="24"/>
        </w:rPr>
        <w:t xml:space="preserve"> his perspective. </w:t>
      </w:r>
    </w:p>
    <w:p w14:paraId="44485D46" w14:textId="77777777" w:rsidR="00F8309F" w:rsidRPr="003D030B" w:rsidRDefault="00F8309F" w:rsidP="00F8309F">
      <w:pPr>
        <w:rPr>
          <w:sz w:val="24"/>
          <w:szCs w:val="24"/>
        </w:rPr>
      </w:pPr>
    </w:p>
    <w:p w14:paraId="69994E95" w14:textId="10F23E19" w:rsidR="008F31D4" w:rsidRPr="003D030B" w:rsidRDefault="008F31D4" w:rsidP="00F8309F">
      <w:pPr>
        <w:rPr>
          <w:b/>
          <w:bCs/>
          <w:sz w:val="24"/>
          <w:szCs w:val="24"/>
          <w:u w:val="single"/>
        </w:rPr>
      </w:pPr>
      <w:r w:rsidRPr="003D030B">
        <w:rPr>
          <w:b/>
          <w:bCs/>
          <w:sz w:val="24"/>
          <w:szCs w:val="24"/>
          <w:u w:val="single"/>
        </w:rPr>
        <w:t>Secondary Source Analysis</w:t>
      </w:r>
      <w:r w:rsidR="00355FFA" w:rsidRPr="003D030B">
        <w:rPr>
          <w:b/>
          <w:bCs/>
          <w:sz w:val="24"/>
          <w:szCs w:val="24"/>
          <w:u w:val="single"/>
        </w:rPr>
        <w:t xml:space="preserve"> - </w:t>
      </w:r>
      <w:r w:rsidR="00355FFA" w:rsidRPr="003D030B">
        <w:rPr>
          <w:b/>
          <w:bCs/>
          <w:i/>
          <w:iCs/>
          <w:sz w:val="24"/>
          <w:szCs w:val="24"/>
          <w:u w:val="single"/>
        </w:rPr>
        <w:t xml:space="preserve">Britain and World War One </w:t>
      </w:r>
      <w:r w:rsidR="00857169" w:rsidRPr="003D030B">
        <w:rPr>
          <w:b/>
          <w:bCs/>
          <w:sz w:val="24"/>
          <w:szCs w:val="24"/>
          <w:u w:val="single"/>
        </w:rPr>
        <w:t>[</w:t>
      </w:r>
      <w:r w:rsidR="00355FFA" w:rsidRPr="003D030B">
        <w:rPr>
          <w:b/>
          <w:bCs/>
          <w:sz w:val="24"/>
          <w:szCs w:val="24"/>
          <w:u w:val="single"/>
        </w:rPr>
        <w:t>book</w:t>
      </w:r>
      <w:r w:rsidR="00857169" w:rsidRPr="003D030B">
        <w:rPr>
          <w:b/>
          <w:bCs/>
          <w:sz w:val="24"/>
          <w:szCs w:val="24"/>
          <w:u w:val="single"/>
        </w:rPr>
        <w:t>]</w:t>
      </w:r>
      <w:r w:rsidR="00355FFA" w:rsidRPr="003D030B">
        <w:rPr>
          <w:b/>
          <w:bCs/>
          <w:sz w:val="24"/>
          <w:szCs w:val="24"/>
          <w:u w:val="single"/>
        </w:rPr>
        <w:t xml:space="preserve"> (by Alan G. V. Simmonds)</w:t>
      </w:r>
    </w:p>
    <w:p w14:paraId="29A8B5A4" w14:textId="59B4062F" w:rsidR="008F31D4" w:rsidRPr="003D030B" w:rsidRDefault="008F31D4" w:rsidP="008F31D4">
      <w:pPr>
        <w:rPr>
          <w:sz w:val="24"/>
          <w:szCs w:val="24"/>
        </w:rPr>
      </w:pPr>
      <w:r w:rsidRPr="003D030B">
        <w:rPr>
          <w:sz w:val="24"/>
          <w:szCs w:val="24"/>
        </w:rPr>
        <w:t xml:space="preserve">Alan G. V. Simmonds is a specialist on the British Home Front during World War One, being a professor of modern history at the University of Hull. </w:t>
      </w:r>
      <w:r w:rsidR="00BD5169" w:rsidRPr="003D030B">
        <w:rPr>
          <w:sz w:val="24"/>
          <w:szCs w:val="24"/>
        </w:rPr>
        <w:t>Specializing in British society during the First World War</w:t>
      </w:r>
      <w:r w:rsidR="0003612C" w:rsidRPr="003D030B">
        <w:rPr>
          <w:sz w:val="24"/>
          <w:szCs w:val="24"/>
        </w:rPr>
        <w:t xml:space="preserve">, </w:t>
      </w:r>
      <w:r w:rsidR="00BD5169" w:rsidRPr="003D030B">
        <w:rPr>
          <w:sz w:val="24"/>
          <w:szCs w:val="24"/>
        </w:rPr>
        <w:t xml:space="preserve">the inter-war years, </w:t>
      </w:r>
      <w:r w:rsidR="0003612C" w:rsidRPr="003D030B">
        <w:rPr>
          <w:sz w:val="24"/>
          <w:szCs w:val="24"/>
        </w:rPr>
        <w:t xml:space="preserve">and the years following the Second World War, </w:t>
      </w:r>
      <w:r w:rsidR="00BD5169" w:rsidRPr="003D030B">
        <w:rPr>
          <w:sz w:val="24"/>
          <w:szCs w:val="24"/>
        </w:rPr>
        <w:t xml:space="preserve">Simmonds </w:t>
      </w:r>
      <w:r w:rsidR="0003612C" w:rsidRPr="003D030B">
        <w:rPr>
          <w:sz w:val="24"/>
          <w:szCs w:val="24"/>
        </w:rPr>
        <w:t xml:space="preserve">has published two books on the subject. </w:t>
      </w:r>
      <w:r w:rsidR="0003612C" w:rsidRPr="003D030B">
        <w:rPr>
          <w:i/>
          <w:iCs/>
          <w:sz w:val="24"/>
          <w:szCs w:val="24"/>
        </w:rPr>
        <w:t>Britain and World War One</w:t>
      </w:r>
      <w:r w:rsidR="0003612C" w:rsidRPr="003D030B">
        <w:rPr>
          <w:sz w:val="24"/>
          <w:szCs w:val="24"/>
        </w:rPr>
        <w:t xml:space="preserve"> is notorious within the field of home life during the conflict, proclaimed within academia and being found on the shelves of Waterstones.</w:t>
      </w:r>
      <w:r w:rsidR="00B42DB2" w:rsidRPr="003D030B">
        <w:rPr>
          <w:sz w:val="24"/>
          <w:szCs w:val="24"/>
        </w:rPr>
        <w:t xml:space="preserve"> Adding on to this, the publisher of the work, Routledge, having been founded in 1836, specializes in providing academic books, journals and resources which centre around the subjects of the humanities, various sciences, and law, thereby highlighting that Simmonds’ book is one of academia. </w:t>
      </w:r>
      <w:r w:rsidRPr="003D030B">
        <w:rPr>
          <w:sz w:val="24"/>
          <w:szCs w:val="24"/>
        </w:rPr>
        <w:t>The authors primary purpose in writing</w:t>
      </w:r>
      <w:r w:rsidR="0003612C" w:rsidRPr="003D030B">
        <w:rPr>
          <w:sz w:val="24"/>
          <w:szCs w:val="24"/>
        </w:rPr>
        <w:t xml:space="preserve"> the source </w:t>
      </w:r>
      <w:r w:rsidRPr="003D030B">
        <w:rPr>
          <w:sz w:val="24"/>
          <w:szCs w:val="24"/>
        </w:rPr>
        <w:t xml:space="preserve">is to provide an insight into the First World War, examining the British Home Front as opposed to the battlefield. Chapter two, </w:t>
      </w:r>
      <w:r w:rsidRPr="003D030B">
        <w:rPr>
          <w:i/>
          <w:iCs/>
          <w:sz w:val="24"/>
          <w:szCs w:val="24"/>
        </w:rPr>
        <w:t>For King and Country</w:t>
      </w:r>
      <w:r w:rsidRPr="003D030B">
        <w:rPr>
          <w:sz w:val="24"/>
          <w:szCs w:val="24"/>
        </w:rPr>
        <w:t xml:space="preserve"> breaks away from common narratives of the war, with Simmonds explaining the impact of the conflict on the British economy and society, as well as the on the political division which occurred in parliament as a result of controversy over war policies. Earl R. Wasserman, author and former professor of English literature at John Hopkins University, explains why human psychology is naturally drawn towards drama, and as such violence, in his article </w:t>
      </w:r>
      <w:r w:rsidRPr="003D030B">
        <w:rPr>
          <w:i/>
          <w:iCs/>
          <w:sz w:val="24"/>
          <w:szCs w:val="24"/>
        </w:rPr>
        <w:t>The Pleasures of Tragedy</w:t>
      </w:r>
      <w:r w:rsidRPr="003D030B">
        <w:rPr>
          <w:sz w:val="24"/>
          <w:szCs w:val="24"/>
        </w:rPr>
        <w:t xml:space="preserve">, thereby explaining why factors as that which Simmonds discusses elude modern British thought of the war, thereby producing an inaccurate understanding of the Home Front. As such, in </w:t>
      </w:r>
      <w:r w:rsidRPr="003D030B">
        <w:rPr>
          <w:i/>
          <w:iCs/>
          <w:sz w:val="24"/>
          <w:szCs w:val="24"/>
        </w:rPr>
        <w:t>writing For King and Country</w:t>
      </w:r>
      <w:r w:rsidRPr="003D030B">
        <w:rPr>
          <w:sz w:val="24"/>
          <w:szCs w:val="24"/>
        </w:rPr>
        <w:t xml:space="preserve">, the author demonstrates that the narrative of Britain as being a united nation both at the start and during the course of </w:t>
      </w:r>
      <w:r w:rsidRPr="003D030B">
        <w:rPr>
          <w:sz w:val="24"/>
          <w:szCs w:val="24"/>
        </w:rPr>
        <w:lastRenderedPageBreak/>
        <w:t xml:space="preserve">the war is not an accurate portrayal of the history of the period, with never-ending support for the conflict being a one-sided perspective. Although bringing light to areas of the war not discussed, the authors scope in doing so is limited, focusing only on the experiences of the British public and neglecting to mention that of the German minority in Britain during the war. Professor </w:t>
      </w:r>
      <w:proofErr w:type="spellStart"/>
      <w:r w:rsidRPr="003D030B">
        <w:rPr>
          <w:sz w:val="24"/>
          <w:szCs w:val="24"/>
        </w:rPr>
        <w:t>Panikos</w:t>
      </w:r>
      <w:proofErr w:type="spellEnd"/>
      <w:r w:rsidRPr="003D030B">
        <w:rPr>
          <w:sz w:val="24"/>
          <w:szCs w:val="24"/>
        </w:rPr>
        <w:t xml:space="preserve"> Panayi of De Mont University is a specialist on the history of immigration and inter-ethnic relations, with his book </w:t>
      </w:r>
      <w:r w:rsidRPr="003D030B">
        <w:rPr>
          <w:i/>
          <w:iCs/>
          <w:sz w:val="24"/>
          <w:szCs w:val="24"/>
        </w:rPr>
        <w:t>Prisoners of Britain: German civilian and combatant internees during the First World War</w:t>
      </w:r>
      <w:r w:rsidRPr="003D030B">
        <w:rPr>
          <w:sz w:val="24"/>
          <w:szCs w:val="24"/>
        </w:rPr>
        <w:t xml:space="preserve"> providing an insight into the experiences of German communities living in the UK during the First World War. As Simmonds does not mention this experience, his chapter of experiences on the Home Front is of limited value as it too is a one-sided perspective of history. Therefore, </w:t>
      </w:r>
      <w:r w:rsidRPr="003D030B">
        <w:rPr>
          <w:i/>
          <w:iCs/>
          <w:sz w:val="24"/>
          <w:szCs w:val="24"/>
        </w:rPr>
        <w:t>For King and Country</w:t>
      </w:r>
      <w:r w:rsidRPr="003D030B">
        <w:rPr>
          <w:sz w:val="24"/>
          <w:szCs w:val="24"/>
        </w:rPr>
        <w:t xml:space="preserve"> is an insightful source, providing an insight into neglected areas of the Home Front of the First World War, but is also limited in the amount of insight which it provides. </w:t>
      </w:r>
    </w:p>
    <w:p w14:paraId="043A848A" w14:textId="7C6C25D5" w:rsidR="00B940AA" w:rsidRDefault="008F31D4" w:rsidP="008F31D4">
      <w:pPr>
        <w:rPr>
          <w:sz w:val="24"/>
          <w:szCs w:val="24"/>
        </w:rPr>
      </w:pPr>
      <w:r w:rsidRPr="003D030B">
        <w:rPr>
          <w:sz w:val="24"/>
          <w:szCs w:val="24"/>
        </w:rPr>
        <w:t>Simmonds starts the chapter by explaining that the commonly held history of the Home Front as having almost unified support for the conflict during the First World War is not as accurate as once thought. He explains that</w:t>
      </w:r>
      <w:r w:rsidR="00B940AA">
        <w:rPr>
          <w:sz w:val="24"/>
          <w:szCs w:val="24"/>
        </w:rPr>
        <w:t>,</w:t>
      </w:r>
      <w:r w:rsidRPr="003D030B">
        <w:rPr>
          <w:sz w:val="24"/>
          <w:szCs w:val="24"/>
        </w:rPr>
        <w:t xml:space="preserve"> </w:t>
      </w:r>
    </w:p>
    <w:p w14:paraId="6E6038B3" w14:textId="3C172916" w:rsidR="00B940AA" w:rsidRDefault="00B940AA" w:rsidP="00B940AA">
      <w:pPr>
        <w:ind w:left="227" w:right="227"/>
        <w:rPr>
          <w:sz w:val="24"/>
          <w:szCs w:val="24"/>
        </w:rPr>
      </w:pPr>
      <w:r>
        <w:rPr>
          <w:sz w:val="24"/>
          <w:szCs w:val="24"/>
        </w:rPr>
        <w:t>T</w:t>
      </w:r>
      <w:r w:rsidR="008F31D4" w:rsidRPr="003D030B">
        <w:rPr>
          <w:sz w:val="24"/>
          <w:szCs w:val="24"/>
        </w:rPr>
        <w:t>he many reports of flag-waving crowds, queues forming outside army recruitment offices and young men marching with toy rifles have, until recently, led historians to believe that Britons in 1914 universally greeted the war with rampant enthusiasm. Subsequent studies have tended to undermine this picture.</w:t>
      </w:r>
      <w:r w:rsidR="008F31D4" w:rsidRPr="003D030B">
        <w:rPr>
          <w:rStyle w:val="FootnoteReference"/>
          <w:sz w:val="24"/>
          <w:szCs w:val="24"/>
        </w:rPr>
        <w:footnoteReference w:id="5"/>
      </w:r>
      <w:r w:rsidR="008F31D4" w:rsidRPr="003D030B">
        <w:rPr>
          <w:sz w:val="24"/>
          <w:szCs w:val="24"/>
        </w:rPr>
        <w:t xml:space="preserve"> </w:t>
      </w:r>
    </w:p>
    <w:p w14:paraId="484D231A" w14:textId="53FB650B" w:rsidR="008F31D4" w:rsidRPr="003D030B" w:rsidRDefault="008F31D4" w:rsidP="008F31D4">
      <w:pPr>
        <w:rPr>
          <w:sz w:val="24"/>
          <w:szCs w:val="24"/>
        </w:rPr>
      </w:pPr>
      <w:r w:rsidRPr="003D030B">
        <w:rPr>
          <w:sz w:val="24"/>
          <w:szCs w:val="24"/>
        </w:rPr>
        <w:t xml:space="preserve">Building on this, the author explains why this was the case in the following sections. </w:t>
      </w:r>
      <w:r w:rsidRPr="003D030B">
        <w:rPr>
          <w:i/>
          <w:iCs/>
          <w:sz w:val="24"/>
          <w:szCs w:val="24"/>
        </w:rPr>
        <w:t>Calamity</w:t>
      </w:r>
      <w:r w:rsidRPr="003D030B">
        <w:rPr>
          <w:sz w:val="24"/>
          <w:szCs w:val="24"/>
        </w:rPr>
        <w:t xml:space="preserve"> beckons describes the impact of the war on Britain’s economy in 1914.</w:t>
      </w:r>
      <w:r w:rsidRPr="003D030B">
        <w:rPr>
          <w:rStyle w:val="FootnoteReference"/>
          <w:sz w:val="24"/>
          <w:szCs w:val="24"/>
        </w:rPr>
        <w:footnoteReference w:id="6"/>
      </w:r>
      <w:r w:rsidRPr="003D030B">
        <w:rPr>
          <w:sz w:val="24"/>
          <w:szCs w:val="24"/>
        </w:rPr>
        <w:t xml:space="preserve"> Adding on to this, </w:t>
      </w:r>
      <w:r w:rsidRPr="003D030B">
        <w:rPr>
          <w:i/>
          <w:iCs/>
          <w:sz w:val="24"/>
          <w:szCs w:val="24"/>
        </w:rPr>
        <w:t>Kitchener’s Call</w:t>
      </w:r>
      <w:r w:rsidRPr="003D030B">
        <w:rPr>
          <w:sz w:val="24"/>
          <w:szCs w:val="24"/>
        </w:rPr>
        <w:t xml:space="preserve"> illustrates how recruitment into the British army, though high at the beginning of the conflict, gradually reduced over the course of the war.</w:t>
      </w:r>
      <w:r w:rsidRPr="003D030B">
        <w:rPr>
          <w:rStyle w:val="FootnoteReference"/>
          <w:sz w:val="24"/>
          <w:szCs w:val="24"/>
        </w:rPr>
        <w:footnoteReference w:id="7"/>
      </w:r>
      <w:r w:rsidRPr="003D030B">
        <w:rPr>
          <w:sz w:val="24"/>
          <w:szCs w:val="24"/>
        </w:rPr>
        <w:t xml:space="preserve"> </w:t>
      </w:r>
      <w:r w:rsidRPr="003D030B">
        <w:rPr>
          <w:i/>
          <w:iCs/>
          <w:sz w:val="24"/>
          <w:szCs w:val="24"/>
        </w:rPr>
        <w:t>The Road to Conscription</w:t>
      </w:r>
      <w:r w:rsidRPr="003D030B">
        <w:rPr>
          <w:sz w:val="24"/>
          <w:szCs w:val="24"/>
        </w:rPr>
        <w:t xml:space="preserve"> proceeds to explain the subsequent political resistance to forced enlistment.</w:t>
      </w:r>
      <w:r w:rsidRPr="003D030B">
        <w:rPr>
          <w:rStyle w:val="FootnoteReference"/>
          <w:sz w:val="24"/>
          <w:szCs w:val="24"/>
        </w:rPr>
        <w:footnoteReference w:id="8"/>
      </w:r>
      <w:r w:rsidRPr="003D030B">
        <w:rPr>
          <w:sz w:val="24"/>
          <w:szCs w:val="24"/>
        </w:rPr>
        <w:t xml:space="preserve"> Finally, </w:t>
      </w:r>
      <w:r w:rsidRPr="003D030B">
        <w:rPr>
          <w:i/>
          <w:iCs/>
          <w:sz w:val="24"/>
          <w:szCs w:val="24"/>
        </w:rPr>
        <w:t>Dissenters</w:t>
      </w:r>
      <w:r w:rsidRPr="003D030B">
        <w:rPr>
          <w:sz w:val="24"/>
          <w:szCs w:val="24"/>
        </w:rPr>
        <w:t xml:space="preserve"> provides an insight into the publics attempts at prolonging compulsory enrolment into the military.</w:t>
      </w:r>
      <w:r w:rsidRPr="003D030B">
        <w:rPr>
          <w:rStyle w:val="FootnoteReference"/>
          <w:sz w:val="24"/>
          <w:szCs w:val="24"/>
        </w:rPr>
        <w:footnoteReference w:id="9"/>
      </w:r>
      <w:r w:rsidRPr="003D030B">
        <w:rPr>
          <w:sz w:val="24"/>
          <w:szCs w:val="24"/>
        </w:rPr>
        <w:t xml:space="preserve"> Through exploring these subjects, the author explores a contrary perspective of the British Home Front from a political, economic, and social perspective. </w:t>
      </w:r>
    </w:p>
    <w:p w14:paraId="1605CA0F" w14:textId="77777777" w:rsidR="00E34A01" w:rsidRDefault="008F31D4" w:rsidP="008F31D4">
      <w:pPr>
        <w:rPr>
          <w:sz w:val="24"/>
          <w:szCs w:val="24"/>
        </w:rPr>
      </w:pPr>
      <w:r w:rsidRPr="003D030B">
        <w:rPr>
          <w:sz w:val="24"/>
          <w:szCs w:val="24"/>
        </w:rPr>
        <w:t xml:space="preserve">With modern thought of the First World War overwhelmingly being of the view that the British public was united in the war effort, fully supporting their young men fighting overseas, being targeted by Zepplin raids, whilst the odd conscientious objector to the war was present, the portrayal of history during the time period is inaccurate. One reason as to why this is the case is because of the psychology of drama, with Wasserman explaining, </w:t>
      </w:r>
    </w:p>
    <w:p w14:paraId="7142D6B8" w14:textId="341EDD80" w:rsidR="00E34A01" w:rsidRDefault="00E34A01" w:rsidP="00E34A01">
      <w:pPr>
        <w:ind w:left="227" w:right="227"/>
        <w:rPr>
          <w:sz w:val="24"/>
          <w:szCs w:val="24"/>
        </w:rPr>
      </w:pPr>
      <w:r>
        <w:rPr>
          <w:sz w:val="24"/>
          <w:szCs w:val="24"/>
        </w:rPr>
        <w:lastRenderedPageBreak/>
        <w:t>T</w:t>
      </w:r>
      <w:r w:rsidR="008F31D4" w:rsidRPr="003D030B">
        <w:rPr>
          <w:sz w:val="24"/>
          <w:szCs w:val="24"/>
        </w:rPr>
        <w:t>hat the major function of a tragedy is to produce some kind of beneficial effect upon the spectator through the excitation of pity and fear was, of course, the central tenet of eighteenth- century dramatic theory, even though the exact nature of the benefit and the methods whereby it is produced remained matters for debate.</w:t>
      </w:r>
      <w:r w:rsidR="008F31D4" w:rsidRPr="003D030B">
        <w:rPr>
          <w:rStyle w:val="FootnoteReference"/>
          <w:sz w:val="24"/>
          <w:szCs w:val="24"/>
        </w:rPr>
        <w:footnoteReference w:id="10"/>
      </w:r>
      <w:r w:rsidR="008F31D4" w:rsidRPr="003D030B">
        <w:rPr>
          <w:sz w:val="24"/>
          <w:szCs w:val="24"/>
        </w:rPr>
        <w:t xml:space="preserve"> </w:t>
      </w:r>
    </w:p>
    <w:p w14:paraId="52488412" w14:textId="7725693A" w:rsidR="008F31D4" w:rsidRPr="003D030B" w:rsidRDefault="008F31D4" w:rsidP="008F31D4">
      <w:pPr>
        <w:rPr>
          <w:sz w:val="24"/>
          <w:szCs w:val="24"/>
        </w:rPr>
      </w:pPr>
      <w:r w:rsidRPr="003D030B">
        <w:rPr>
          <w:sz w:val="24"/>
          <w:szCs w:val="24"/>
        </w:rPr>
        <w:t xml:space="preserve">As humans are attracted to drama, modern thought of history is overwhelmingly directed towards instances of such, thereby meaning that memory of warfare is primarily of the bloodshed itself. For this reason, scenes of violence during the First World War are substantially better remembered by modern Britain more so than other elements. In discussing the impact of the war on Britain’s economy, as well as political and social reactions to mobilization, Simmonds is breaking away from this perspective through his focus on a wider range of history. </w:t>
      </w:r>
    </w:p>
    <w:p w14:paraId="53564C52" w14:textId="77777777" w:rsidR="00E34A01" w:rsidRDefault="008F31D4" w:rsidP="008F31D4">
      <w:pPr>
        <w:rPr>
          <w:sz w:val="24"/>
          <w:szCs w:val="24"/>
        </w:rPr>
      </w:pPr>
      <w:r w:rsidRPr="003D030B">
        <w:rPr>
          <w:sz w:val="24"/>
          <w:szCs w:val="24"/>
        </w:rPr>
        <w:t xml:space="preserve">On the other hand, although the author does focus on elements contrary to the common narrative, his portrayal of the history of the British Home Front during World War One is limited to the perspective of the wider public; the point of view of the minority German community living in Britain is marginalized. </w:t>
      </w:r>
      <w:proofErr w:type="spellStart"/>
      <w:r w:rsidRPr="003D030B">
        <w:rPr>
          <w:sz w:val="24"/>
          <w:szCs w:val="24"/>
        </w:rPr>
        <w:t>Caglioti</w:t>
      </w:r>
      <w:proofErr w:type="spellEnd"/>
      <w:r w:rsidRPr="003D030B">
        <w:rPr>
          <w:sz w:val="24"/>
          <w:szCs w:val="24"/>
        </w:rPr>
        <w:t>, providing an insight, explains that</w:t>
      </w:r>
      <w:r w:rsidR="00E34A01">
        <w:rPr>
          <w:sz w:val="24"/>
          <w:szCs w:val="24"/>
        </w:rPr>
        <w:t>,</w:t>
      </w:r>
      <w:r w:rsidRPr="003D030B">
        <w:rPr>
          <w:sz w:val="24"/>
          <w:szCs w:val="24"/>
        </w:rPr>
        <w:t xml:space="preserve"> </w:t>
      </w:r>
    </w:p>
    <w:p w14:paraId="0634023A" w14:textId="4D969C31" w:rsidR="00E34A01" w:rsidRDefault="00E34A01" w:rsidP="00E34A01">
      <w:pPr>
        <w:ind w:left="227" w:right="227"/>
        <w:rPr>
          <w:sz w:val="24"/>
          <w:szCs w:val="24"/>
        </w:rPr>
      </w:pPr>
      <w:r>
        <w:rPr>
          <w:sz w:val="24"/>
          <w:szCs w:val="24"/>
        </w:rPr>
        <w:t>I</w:t>
      </w:r>
      <w:r w:rsidR="008F31D4" w:rsidRPr="003D030B">
        <w:rPr>
          <w:sz w:val="24"/>
          <w:szCs w:val="24"/>
        </w:rPr>
        <w:t>t seems astonishing that almost a century after the outbreak of the First World War, no academic study has yet appeared upon the experiences of German prisoners of war in Britain, either in English or in German, despite the fact that hundreds of thousands of Germans found themselves behind barbed wire during the conflict, reaching a peak of 115,950 in November 1918.</w:t>
      </w:r>
      <w:r w:rsidR="008F31D4" w:rsidRPr="003D030B">
        <w:rPr>
          <w:rStyle w:val="FootnoteReference"/>
          <w:sz w:val="24"/>
          <w:szCs w:val="24"/>
        </w:rPr>
        <w:footnoteReference w:id="11"/>
      </w:r>
      <w:r w:rsidR="008F31D4" w:rsidRPr="003D030B">
        <w:rPr>
          <w:sz w:val="24"/>
          <w:szCs w:val="24"/>
        </w:rPr>
        <w:t xml:space="preserve"> </w:t>
      </w:r>
    </w:p>
    <w:p w14:paraId="42FF8865" w14:textId="30BAB810" w:rsidR="008F31D4" w:rsidRPr="003D030B" w:rsidRDefault="008F31D4" w:rsidP="008F31D4">
      <w:pPr>
        <w:rPr>
          <w:sz w:val="24"/>
          <w:szCs w:val="24"/>
        </w:rPr>
      </w:pPr>
      <w:r w:rsidRPr="003D030B">
        <w:rPr>
          <w:sz w:val="24"/>
          <w:szCs w:val="24"/>
        </w:rPr>
        <w:t>The 1911 census explains that 57,500 German immigrants lived in Britan, however by 1919 22,254 remained;</w:t>
      </w:r>
      <w:r w:rsidRPr="003D030B">
        <w:rPr>
          <w:rStyle w:val="FootnoteReference"/>
          <w:sz w:val="24"/>
          <w:szCs w:val="24"/>
        </w:rPr>
        <w:footnoteReference w:id="12"/>
      </w:r>
      <w:r w:rsidRPr="003D030B">
        <w:rPr>
          <w:sz w:val="24"/>
          <w:szCs w:val="24"/>
        </w:rPr>
        <w:t xml:space="preserve"> the German community in Britain reduced in size during the First World War as a result of deportation due to their ethnicity. This xenophobia would also ensure that those who remained in Britain throughout the war would be subjugated to imprisonment, with internment of German males of military age at camps throughout the nation, the largest being at </w:t>
      </w:r>
      <w:proofErr w:type="spellStart"/>
      <w:r w:rsidRPr="003D030B">
        <w:rPr>
          <w:sz w:val="24"/>
          <w:szCs w:val="24"/>
        </w:rPr>
        <w:t>Knockaloe</w:t>
      </w:r>
      <w:proofErr w:type="spellEnd"/>
      <w:r w:rsidRPr="003D030B">
        <w:rPr>
          <w:sz w:val="24"/>
          <w:szCs w:val="24"/>
        </w:rPr>
        <w:t xml:space="preserve"> on the Isle of Man, holding over 20,000 at its peak.</w:t>
      </w:r>
      <w:r w:rsidRPr="003D030B">
        <w:rPr>
          <w:rStyle w:val="FootnoteReference"/>
          <w:sz w:val="24"/>
          <w:szCs w:val="24"/>
        </w:rPr>
        <w:footnoteReference w:id="13"/>
      </w:r>
      <w:r w:rsidRPr="003D030B">
        <w:rPr>
          <w:sz w:val="24"/>
          <w:szCs w:val="24"/>
        </w:rPr>
        <w:t xml:space="preserve"> For those who were not imprisoned, treatment akin to second class citizenry arose with the passing of the </w:t>
      </w:r>
      <w:r w:rsidRPr="003D030B">
        <w:rPr>
          <w:i/>
          <w:iCs/>
          <w:sz w:val="24"/>
          <w:szCs w:val="24"/>
        </w:rPr>
        <w:t>Aliens Restriction Act</w:t>
      </w:r>
      <w:r w:rsidRPr="003D030B">
        <w:rPr>
          <w:sz w:val="24"/>
          <w:szCs w:val="24"/>
        </w:rPr>
        <w:t>,</w:t>
      </w:r>
      <w:r w:rsidRPr="003D030B">
        <w:rPr>
          <w:rStyle w:val="FootnoteReference"/>
          <w:sz w:val="24"/>
          <w:szCs w:val="24"/>
        </w:rPr>
        <w:footnoteReference w:id="14"/>
      </w:r>
      <w:r w:rsidRPr="003D030B">
        <w:rPr>
          <w:sz w:val="24"/>
          <w:szCs w:val="24"/>
        </w:rPr>
        <w:t xml:space="preserve"> ensuring that German citizens in Britain could not move more than five miles and had to register with the police, whilst simultaneously restricting their freedom of speech through the removal of German newspapers. Whilst Simmonds does break away from the common narrative which is held in the modern day of the First World War, he neglects to focus on this perspective. </w:t>
      </w:r>
      <w:r w:rsidRPr="003D030B">
        <w:rPr>
          <w:sz w:val="24"/>
          <w:szCs w:val="24"/>
        </w:rPr>
        <w:lastRenderedPageBreak/>
        <w:t xml:space="preserve">As such, despite its unique focus on the Home Front, the source is also limited in value as it is still restricted to that of the British in Britain during the course of the war. </w:t>
      </w:r>
    </w:p>
    <w:p w14:paraId="0FF4AF15" w14:textId="0B59146F" w:rsidR="008F31D4" w:rsidRPr="003D030B" w:rsidRDefault="008F31D4" w:rsidP="008F31D4">
      <w:pPr>
        <w:rPr>
          <w:sz w:val="24"/>
          <w:szCs w:val="24"/>
        </w:rPr>
      </w:pPr>
      <w:r w:rsidRPr="003D030B">
        <w:rPr>
          <w:sz w:val="24"/>
          <w:szCs w:val="24"/>
        </w:rPr>
        <w:t xml:space="preserve">To conclude, the author has achieved their goals of providing an insight into the British Home Front which is separate from that which is held in the modern day. Breaking away from the drama of violence, Simmonds provides an insight into the negative perspective of the war from a variety of angles, thereby showing attention to a subject which lacks significant attention. </w:t>
      </w:r>
      <w:r w:rsidR="00932BB8">
        <w:rPr>
          <w:sz w:val="24"/>
          <w:szCs w:val="24"/>
        </w:rPr>
        <w:t xml:space="preserve">In focusing on the economic consequences on Britain, as well as </w:t>
      </w:r>
      <w:r w:rsidR="0099031C">
        <w:rPr>
          <w:sz w:val="24"/>
          <w:szCs w:val="24"/>
        </w:rPr>
        <w:t>political opposition to conscription a</w:t>
      </w:r>
      <w:r w:rsidR="005632FF">
        <w:rPr>
          <w:sz w:val="24"/>
          <w:szCs w:val="24"/>
        </w:rPr>
        <w:t xml:space="preserve">nd the subsequent </w:t>
      </w:r>
      <w:r w:rsidR="0099031C">
        <w:rPr>
          <w:sz w:val="24"/>
          <w:szCs w:val="24"/>
        </w:rPr>
        <w:t xml:space="preserve">social opposition, </w:t>
      </w:r>
      <w:r w:rsidR="005632FF">
        <w:rPr>
          <w:sz w:val="24"/>
          <w:szCs w:val="24"/>
        </w:rPr>
        <w:t xml:space="preserve">Simmonds expands modern knowledge </w:t>
      </w:r>
      <w:r w:rsidR="003849F3">
        <w:rPr>
          <w:sz w:val="24"/>
          <w:szCs w:val="24"/>
        </w:rPr>
        <w:t>on the war through concentrating on less known areas</w:t>
      </w:r>
      <w:r w:rsidR="00012461">
        <w:rPr>
          <w:sz w:val="24"/>
          <w:szCs w:val="24"/>
        </w:rPr>
        <w:t xml:space="preserve">, thereby providing a unique analysis of the </w:t>
      </w:r>
      <w:r w:rsidR="007E4F39">
        <w:rPr>
          <w:sz w:val="24"/>
          <w:szCs w:val="24"/>
        </w:rPr>
        <w:t xml:space="preserve">conflict. </w:t>
      </w:r>
      <w:r w:rsidRPr="003D030B">
        <w:rPr>
          <w:sz w:val="24"/>
          <w:szCs w:val="24"/>
        </w:rPr>
        <w:t>However, this focus is limited and could expand by providing the additional outlook of the German minority who were subjected to discrimination.</w:t>
      </w:r>
    </w:p>
    <w:p w14:paraId="554C305E" w14:textId="77777777" w:rsidR="00F8309F" w:rsidRDefault="00F8309F" w:rsidP="00F8309F">
      <w:pPr>
        <w:rPr>
          <w:sz w:val="20"/>
          <w:szCs w:val="20"/>
        </w:rPr>
      </w:pPr>
    </w:p>
    <w:p w14:paraId="7D9748FB" w14:textId="77777777" w:rsidR="00F8309F" w:rsidRDefault="00F8309F" w:rsidP="00F8309F">
      <w:pPr>
        <w:rPr>
          <w:sz w:val="20"/>
          <w:szCs w:val="20"/>
        </w:rPr>
      </w:pPr>
    </w:p>
    <w:p w14:paraId="04041568" w14:textId="77777777" w:rsidR="00F8309F" w:rsidRDefault="00F8309F" w:rsidP="00F8309F">
      <w:pPr>
        <w:rPr>
          <w:sz w:val="20"/>
          <w:szCs w:val="20"/>
        </w:rPr>
      </w:pPr>
    </w:p>
    <w:p w14:paraId="0544ED98" w14:textId="77777777" w:rsidR="008F31D4" w:rsidRDefault="008F31D4" w:rsidP="00F8309F">
      <w:pPr>
        <w:rPr>
          <w:sz w:val="20"/>
          <w:szCs w:val="20"/>
        </w:rPr>
      </w:pPr>
    </w:p>
    <w:p w14:paraId="4ED68A33" w14:textId="77777777" w:rsidR="007C682C" w:rsidRDefault="007C682C" w:rsidP="00F8309F">
      <w:pPr>
        <w:rPr>
          <w:sz w:val="20"/>
          <w:szCs w:val="20"/>
        </w:rPr>
      </w:pPr>
    </w:p>
    <w:p w14:paraId="3ECE2E37" w14:textId="77777777" w:rsidR="007C682C" w:rsidRDefault="007C682C" w:rsidP="00F8309F">
      <w:pPr>
        <w:rPr>
          <w:sz w:val="20"/>
          <w:szCs w:val="20"/>
        </w:rPr>
      </w:pPr>
    </w:p>
    <w:p w14:paraId="6B79D595" w14:textId="77777777" w:rsidR="007C682C" w:rsidRDefault="007C682C" w:rsidP="00F8309F">
      <w:pPr>
        <w:rPr>
          <w:sz w:val="20"/>
          <w:szCs w:val="20"/>
        </w:rPr>
      </w:pPr>
    </w:p>
    <w:p w14:paraId="72313393" w14:textId="77777777" w:rsidR="007C682C" w:rsidRDefault="007C682C" w:rsidP="00F8309F">
      <w:pPr>
        <w:rPr>
          <w:sz w:val="20"/>
          <w:szCs w:val="20"/>
        </w:rPr>
      </w:pPr>
    </w:p>
    <w:p w14:paraId="32607FC8" w14:textId="77777777" w:rsidR="007C682C" w:rsidRDefault="007C682C" w:rsidP="00F8309F">
      <w:pPr>
        <w:rPr>
          <w:sz w:val="20"/>
          <w:szCs w:val="20"/>
        </w:rPr>
      </w:pPr>
    </w:p>
    <w:p w14:paraId="624F7013" w14:textId="77777777" w:rsidR="007C682C" w:rsidRDefault="007C682C" w:rsidP="00F8309F">
      <w:pPr>
        <w:rPr>
          <w:sz w:val="20"/>
          <w:szCs w:val="20"/>
        </w:rPr>
      </w:pPr>
    </w:p>
    <w:p w14:paraId="2AC23FE9" w14:textId="77777777" w:rsidR="007C682C" w:rsidRDefault="007C682C" w:rsidP="00F8309F">
      <w:pPr>
        <w:rPr>
          <w:sz w:val="20"/>
          <w:szCs w:val="20"/>
        </w:rPr>
      </w:pPr>
    </w:p>
    <w:p w14:paraId="0EAC30D1" w14:textId="77777777" w:rsidR="007C682C" w:rsidRDefault="007C682C" w:rsidP="00F8309F">
      <w:pPr>
        <w:rPr>
          <w:sz w:val="20"/>
          <w:szCs w:val="20"/>
        </w:rPr>
      </w:pPr>
    </w:p>
    <w:p w14:paraId="78D8724F" w14:textId="77777777" w:rsidR="007C682C" w:rsidRDefault="007C682C" w:rsidP="00F8309F">
      <w:pPr>
        <w:rPr>
          <w:sz w:val="20"/>
          <w:szCs w:val="20"/>
        </w:rPr>
      </w:pPr>
    </w:p>
    <w:p w14:paraId="5E68376C" w14:textId="77777777" w:rsidR="007C682C" w:rsidRDefault="007C682C" w:rsidP="00F8309F">
      <w:pPr>
        <w:rPr>
          <w:sz w:val="20"/>
          <w:szCs w:val="20"/>
        </w:rPr>
      </w:pPr>
    </w:p>
    <w:p w14:paraId="60E995D6" w14:textId="77777777" w:rsidR="007C682C" w:rsidRDefault="007C682C" w:rsidP="00F8309F">
      <w:pPr>
        <w:rPr>
          <w:sz w:val="20"/>
          <w:szCs w:val="20"/>
        </w:rPr>
      </w:pPr>
    </w:p>
    <w:p w14:paraId="5B9AD7D7" w14:textId="77777777" w:rsidR="007C682C" w:rsidRDefault="007C682C" w:rsidP="00F8309F">
      <w:pPr>
        <w:rPr>
          <w:sz w:val="20"/>
          <w:szCs w:val="20"/>
        </w:rPr>
      </w:pPr>
    </w:p>
    <w:p w14:paraId="5585E1FE" w14:textId="77777777" w:rsidR="007C682C" w:rsidRDefault="007C682C" w:rsidP="00F8309F">
      <w:pPr>
        <w:rPr>
          <w:sz w:val="20"/>
          <w:szCs w:val="20"/>
        </w:rPr>
      </w:pPr>
    </w:p>
    <w:p w14:paraId="6A2776F1" w14:textId="77777777" w:rsidR="007C682C" w:rsidRDefault="007C682C" w:rsidP="00F8309F">
      <w:pPr>
        <w:rPr>
          <w:sz w:val="20"/>
          <w:szCs w:val="20"/>
        </w:rPr>
      </w:pPr>
    </w:p>
    <w:p w14:paraId="4A8E769D" w14:textId="77777777" w:rsidR="007C682C" w:rsidRDefault="007C682C" w:rsidP="00F8309F">
      <w:pPr>
        <w:rPr>
          <w:sz w:val="20"/>
          <w:szCs w:val="20"/>
        </w:rPr>
      </w:pPr>
    </w:p>
    <w:p w14:paraId="1F7E1EF6" w14:textId="77777777" w:rsidR="007C682C" w:rsidRDefault="007C682C" w:rsidP="00F8309F">
      <w:pPr>
        <w:rPr>
          <w:sz w:val="20"/>
          <w:szCs w:val="20"/>
        </w:rPr>
      </w:pPr>
    </w:p>
    <w:p w14:paraId="133AE5CB" w14:textId="77777777" w:rsidR="007C682C" w:rsidRDefault="007C682C" w:rsidP="00F8309F">
      <w:pPr>
        <w:rPr>
          <w:sz w:val="20"/>
          <w:szCs w:val="20"/>
        </w:rPr>
      </w:pPr>
    </w:p>
    <w:p w14:paraId="52600D15" w14:textId="77777777" w:rsidR="007C682C" w:rsidRDefault="007C682C" w:rsidP="00F8309F">
      <w:pPr>
        <w:rPr>
          <w:sz w:val="20"/>
          <w:szCs w:val="20"/>
        </w:rPr>
      </w:pPr>
    </w:p>
    <w:p w14:paraId="19C025C9" w14:textId="77777777" w:rsidR="007C682C" w:rsidRDefault="007C682C" w:rsidP="00F8309F">
      <w:pPr>
        <w:rPr>
          <w:sz w:val="20"/>
          <w:szCs w:val="20"/>
        </w:rPr>
      </w:pPr>
    </w:p>
    <w:p w14:paraId="056F5523" w14:textId="77777777" w:rsidR="007C682C" w:rsidRDefault="007C682C" w:rsidP="00F8309F">
      <w:pPr>
        <w:rPr>
          <w:sz w:val="20"/>
          <w:szCs w:val="20"/>
        </w:rPr>
      </w:pPr>
    </w:p>
    <w:p w14:paraId="7BAFD078" w14:textId="77777777" w:rsidR="007C682C" w:rsidRDefault="007C682C" w:rsidP="00F8309F">
      <w:pPr>
        <w:rPr>
          <w:sz w:val="20"/>
          <w:szCs w:val="20"/>
        </w:rPr>
      </w:pPr>
    </w:p>
    <w:p w14:paraId="2837A3A2" w14:textId="77777777" w:rsidR="007C682C" w:rsidRDefault="007C682C" w:rsidP="00F8309F">
      <w:pPr>
        <w:rPr>
          <w:sz w:val="20"/>
          <w:szCs w:val="20"/>
        </w:rPr>
      </w:pPr>
    </w:p>
    <w:p w14:paraId="3D58DF42" w14:textId="77777777" w:rsidR="007C682C" w:rsidRDefault="007C682C" w:rsidP="00F8309F">
      <w:pPr>
        <w:rPr>
          <w:sz w:val="20"/>
          <w:szCs w:val="20"/>
        </w:rPr>
      </w:pPr>
    </w:p>
    <w:p w14:paraId="7C0656A9" w14:textId="77777777" w:rsidR="007C682C" w:rsidRDefault="007C682C" w:rsidP="00F8309F">
      <w:pPr>
        <w:rPr>
          <w:sz w:val="20"/>
          <w:szCs w:val="20"/>
        </w:rPr>
      </w:pPr>
    </w:p>
    <w:p w14:paraId="62439C08" w14:textId="77777777" w:rsidR="007C682C" w:rsidRDefault="007C682C" w:rsidP="00F8309F">
      <w:pPr>
        <w:rPr>
          <w:sz w:val="20"/>
          <w:szCs w:val="20"/>
        </w:rPr>
      </w:pPr>
    </w:p>
    <w:p w14:paraId="115D135F" w14:textId="3ABCD6C3" w:rsidR="008F31D4" w:rsidRPr="00C92C2A" w:rsidRDefault="00F8309F" w:rsidP="00F8309F">
      <w:pPr>
        <w:rPr>
          <w:b/>
          <w:bCs/>
          <w:sz w:val="24"/>
          <w:szCs w:val="24"/>
        </w:rPr>
      </w:pPr>
      <w:r w:rsidRPr="00C92C2A">
        <w:rPr>
          <w:b/>
          <w:bCs/>
          <w:sz w:val="24"/>
          <w:szCs w:val="24"/>
        </w:rPr>
        <w:t>Bibliography</w:t>
      </w:r>
    </w:p>
    <w:p w14:paraId="558C5534" w14:textId="13EB902F" w:rsidR="00F8309F" w:rsidRPr="00C92C2A" w:rsidRDefault="00F8309F" w:rsidP="00F8309F">
      <w:pPr>
        <w:rPr>
          <w:b/>
          <w:bCs/>
          <w:sz w:val="24"/>
          <w:szCs w:val="24"/>
        </w:rPr>
      </w:pPr>
      <w:r w:rsidRPr="00C92C2A">
        <w:rPr>
          <w:b/>
          <w:bCs/>
          <w:sz w:val="24"/>
          <w:szCs w:val="24"/>
        </w:rPr>
        <w:t>Primary Source Analysis</w:t>
      </w:r>
    </w:p>
    <w:p w14:paraId="3511326F" w14:textId="77777777" w:rsidR="00F8309F" w:rsidRPr="00F8309F" w:rsidRDefault="00F8309F" w:rsidP="00F8309F">
      <w:pPr>
        <w:rPr>
          <w:sz w:val="20"/>
          <w:szCs w:val="20"/>
        </w:rPr>
      </w:pPr>
      <w:r w:rsidRPr="00F8309F">
        <w:rPr>
          <w:sz w:val="20"/>
          <w:szCs w:val="20"/>
        </w:rPr>
        <w:t xml:space="preserve">Conner, John, </w:t>
      </w:r>
      <w:r w:rsidRPr="00F8309F">
        <w:rPr>
          <w:i/>
          <w:iCs/>
          <w:sz w:val="20"/>
          <w:szCs w:val="20"/>
        </w:rPr>
        <w:t>Someone Else’s War: Fighting for the British Empire in World War I</w:t>
      </w:r>
      <w:r w:rsidRPr="00F8309F">
        <w:rPr>
          <w:sz w:val="20"/>
          <w:szCs w:val="20"/>
        </w:rPr>
        <w:t xml:space="preserve"> (USA: I.B. Tauris, 2019)</w:t>
      </w:r>
    </w:p>
    <w:p w14:paraId="6FC8A975" w14:textId="77777777" w:rsidR="00F8309F" w:rsidRPr="00F8309F" w:rsidRDefault="00F8309F" w:rsidP="00F8309F">
      <w:pPr>
        <w:rPr>
          <w:sz w:val="20"/>
          <w:szCs w:val="20"/>
        </w:rPr>
      </w:pPr>
      <w:r w:rsidRPr="00F8309F">
        <w:rPr>
          <w:sz w:val="20"/>
          <w:szCs w:val="20"/>
        </w:rPr>
        <w:t xml:space="preserve">Tilly, Charles, </w:t>
      </w:r>
      <w:r w:rsidRPr="008F31D4">
        <w:rPr>
          <w:i/>
          <w:iCs/>
          <w:sz w:val="20"/>
          <w:szCs w:val="20"/>
        </w:rPr>
        <w:t>Collective Violence, Contentious Politics, and Social Change: A Charles Tilly Reader</w:t>
      </w:r>
      <w:r w:rsidRPr="00F8309F">
        <w:rPr>
          <w:sz w:val="20"/>
          <w:szCs w:val="20"/>
        </w:rPr>
        <w:t xml:space="preserve"> (USA: Routledge, 2017) </w:t>
      </w:r>
    </w:p>
    <w:p w14:paraId="0019E53E" w14:textId="77777777" w:rsidR="00F8309F" w:rsidRPr="00F8309F" w:rsidRDefault="00F8309F" w:rsidP="00F8309F">
      <w:pPr>
        <w:rPr>
          <w:sz w:val="20"/>
          <w:szCs w:val="20"/>
        </w:rPr>
      </w:pPr>
      <w:r w:rsidRPr="00F8309F">
        <w:rPr>
          <w:sz w:val="20"/>
          <w:szCs w:val="20"/>
        </w:rPr>
        <w:t xml:space="preserve">Van Evera, Stephen, ‘The Cult of the Offensive and the Origins of the First World War,’ </w:t>
      </w:r>
      <w:r w:rsidRPr="008F31D4">
        <w:rPr>
          <w:i/>
          <w:iCs/>
          <w:sz w:val="20"/>
          <w:szCs w:val="20"/>
        </w:rPr>
        <w:t>International Security</w:t>
      </w:r>
      <w:r w:rsidRPr="00F8309F">
        <w:rPr>
          <w:sz w:val="20"/>
          <w:szCs w:val="20"/>
        </w:rPr>
        <w:t>, Vol.9, No.1, (1984) 58–107</w:t>
      </w:r>
    </w:p>
    <w:p w14:paraId="5CB1E9CC" w14:textId="390E1510" w:rsidR="00F8309F" w:rsidRDefault="00F8309F" w:rsidP="00F8309F">
      <w:pPr>
        <w:rPr>
          <w:sz w:val="20"/>
          <w:szCs w:val="20"/>
        </w:rPr>
      </w:pPr>
      <w:r w:rsidRPr="00F8309F">
        <w:rPr>
          <w:sz w:val="20"/>
          <w:szCs w:val="20"/>
        </w:rPr>
        <w:t xml:space="preserve">Wardle, Arthur, </w:t>
      </w:r>
      <w:r w:rsidRPr="008F31D4">
        <w:rPr>
          <w:i/>
          <w:iCs/>
          <w:sz w:val="20"/>
          <w:szCs w:val="20"/>
        </w:rPr>
        <w:t>The Empire Needs Men WWI.jpg</w:t>
      </w:r>
      <w:r w:rsidRPr="00F8309F">
        <w:rPr>
          <w:sz w:val="20"/>
          <w:szCs w:val="20"/>
        </w:rPr>
        <w:t xml:space="preserve"> [Poster] (1915) &lt; </w:t>
      </w:r>
      <w:hyperlink r:id="rId8" w:history="1">
        <w:r w:rsidR="008F31D4" w:rsidRPr="00DC0A38">
          <w:rPr>
            <w:rStyle w:val="Hyperlink"/>
            <w:sz w:val="20"/>
            <w:szCs w:val="20"/>
          </w:rPr>
          <w:t>https://commons.wikimedia.org/wiki/File:The_Empire_Needs_Men_WWI.jpg</w:t>
        </w:r>
      </w:hyperlink>
      <w:r w:rsidR="008F31D4">
        <w:rPr>
          <w:sz w:val="20"/>
          <w:szCs w:val="20"/>
        </w:rPr>
        <w:t xml:space="preserve"> </w:t>
      </w:r>
      <w:r w:rsidRPr="00F8309F">
        <w:rPr>
          <w:sz w:val="20"/>
          <w:szCs w:val="20"/>
        </w:rPr>
        <w:t>&gt; [accessed 17/04/24]</w:t>
      </w:r>
    </w:p>
    <w:p w14:paraId="6BC1E4D8" w14:textId="77777777" w:rsidR="008F31D4" w:rsidRPr="00C92C2A" w:rsidRDefault="008F31D4" w:rsidP="00F8309F">
      <w:pPr>
        <w:rPr>
          <w:sz w:val="20"/>
          <w:szCs w:val="20"/>
        </w:rPr>
      </w:pPr>
    </w:p>
    <w:p w14:paraId="1142D7F6" w14:textId="281EEA50" w:rsidR="008F31D4" w:rsidRPr="00C92C2A" w:rsidRDefault="008F31D4" w:rsidP="00F8309F">
      <w:pPr>
        <w:rPr>
          <w:b/>
          <w:bCs/>
          <w:sz w:val="24"/>
          <w:szCs w:val="24"/>
        </w:rPr>
      </w:pPr>
      <w:r w:rsidRPr="00C92C2A">
        <w:rPr>
          <w:b/>
          <w:bCs/>
          <w:sz w:val="24"/>
          <w:szCs w:val="24"/>
        </w:rPr>
        <w:t>Secondary Source Analysis</w:t>
      </w:r>
    </w:p>
    <w:p w14:paraId="4C80976E" w14:textId="1D08BC1E" w:rsidR="008F31D4" w:rsidRPr="008F31D4" w:rsidRDefault="008F31D4" w:rsidP="008F31D4">
      <w:pPr>
        <w:rPr>
          <w:sz w:val="20"/>
          <w:szCs w:val="20"/>
        </w:rPr>
      </w:pPr>
      <w:r w:rsidRPr="008F31D4">
        <w:rPr>
          <w:i/>
          <w:iCs/>
          <w:sz w:val="20"/>
          <w:szCs w:val="20"/>
        </w:rPr>
        <w:t>Aliens Restriction Act</w:t>
      </w:r>
      <w:r w:rsidRPr="008F31D4">
        <w:rPr>
          <w:sz w:val="20"/>
          <w:szCs w:val="20"/>
        </w:rPr>
        <w:t xml:space="preserve"> (SI 1914) &lt; </w:t>
      </w:r>
      <w:hyperlink r:id="rId9" w:history="1">
        <w:r w:rsidRPr="00DC0A38">
          <w:rPr>
            <w:rStyle w:val="Hyperlink"/>
            <w:sz w:val="20"/>
            <w:szCs w:val="20"/>
          </w:rPr>
          <w:t>https://www.legislation.gov.uk/ukpga/1914/12/pdfs/ukpga_19140012_en.pdf</w:t>
        </w:r>
      </w:hyperlink>
      <w:r>
        <w:rPr>
          <w:sz w:val="20"/>
          <w:szCs w:val="20"/>
        </w:rPr>
        <w:t xml:space="preserve"> </w:t>
      </w:r>
      <w:r w:rsidRPr="008F31D4">
        <w:rPr>
          <w:sz w:val="20"/>
          <w:szCs w:val="20"/>
        </w:rPr>
        <w:t>&gt; [accessed 23/04/24].</w:t>
      </w:r>
    </w:p>
    <w:p w14:paraId="7C3E44BA" w14:textId="77777777" w:rsidR="008F31D4" w:rsidRPr="008F31D4" w:rsidRDefault="008F31D4" w:rsidP="008F31D4">
      <w:pPr>
        <w:rPr>
          <w:sz w:val="20"/>
          <w:szCs w:val="20"/>
        </w:rPr>
      </w:pPr>
      <w:proofErr w:type="spellStart"/>
      <w:r w:rsidRPr="008F31D4">
        <w:rPr>
          <w:sz w:val="20"/>
          <w:szCs w:val="20"/>
        </w:rPr>
        <w:t>Caglioti</w:t>
      </w:r>
      <w:proofErr w:type="spellEnd"/>
      <w:r w:rsidRPr="008F31D4">
        <w:rPr>
          <w:sz w:val="20"/>
          <w:szCs w:val="20"/>
        </w:rPr>
        <w:t xml:space="preserve">, Daniela L., ‘Aliens and Internal Enemies: Internment Practices, Economic Exclusion and Property Rights during the First World War Introduction.’ </w:t>
      </w:r>
      <w:r w:rsidRPr="008F31D4">
        <w:rPr>
          <w:i/>
          <w:iCs/>
          <w:sz w:val="20"/>
          <w:szCs w:val="20"/>
        </w:rPr>
        <w:t>Journal of Modern European History</w:t>
      </w:r>
      <w:r w:rsidRPr="008F31D4">
        <w:rPr>
          <w:sz w:val="20"/>
          <w:szCs w:val="20"/>
        </w:rPr>
        <w:t>, vol. 12, no. 4, (2014) pp. 448–59</w:t>
      </w:r>
    </w:p>
    <w:p w14:paraId="7BDF97BE" w14:textId="77777777" w:rsidR="008F31D4" w:rsidRPr="008F31D4" w:rsidRDefault="008F31D4" w:rsidP="008F31D4">
      <w:pPr>
        <w:rPr>
          <w:sz w:val="20"/>
          <w:szCs w:val="20"/>
        </w:rPr>
      </w:pPr>
      <w:r w:rsidRPr="008F31D4">
        <w:rPr>
          <w:sz w:val="20"/>
          <w:szCs w:val="20"/>
        </w:rPr>
        <w:t xml:space="preserve">Panayi, </w:t>
      </w:r>
      <w:proofErr w:type="spellStart"/>
      <w:r w:rsidRPr="008F31D4">
        <w:rPr>
          <w:sz w:val="20"/>
          <w:szCs w:val="20"/>
        </w:rPr>
        <w:t>Panikos</w:t>
      </w:r>
      <w:proofErr w:type="spellEnd"/>
      <w:r w:rsidRPr="008F31D4">
        <w:rPr>
          <w:sz w:val="20"/>
          <w:szCs w:val="20"/>
        </w:rPr>
        <w:t xml:space="preserve">, </w:t>
      </w:r>
      <w:r w:rsidRPr="008F31D4">
        <w:rPr>
          <w:i/>
          <w:iCs/>
          <w:sz w:val="20"/>
          <w:szCs w:val="20"/>
        </w:rPr>
        <w:t>Prisoners of Britain: German civilian and combatant internees during the First World War</w:t>
      </w:r>
      <w:r w:rsidRPr="008F31D4">
        <w:rPr>
          <w:sz w:val="20"/>
          <w:szCs w:val="20"/>
        </w:rPr>
        <w:t xml:space="preserve"> (UK: Manchester University Press, 2012)</w:t>
      </w:r>
    </w:p>
    <w:p w14:paraId="4BCD3DBF" w14:textId="77777777" w:rsidR="008F31D4" w:rsidRPr="008F31D4" w:rsidRDefault="008F31D4" w:rsidP="008F31D4">
      <w:pPr>
        <w:rPr>
          <w:sz w:val="20"/>
          <w:szCs w:val="20"/>
        </w:rPr>
      </w:pPr>
      <w:r w:rsidRPr="008F31D4">
        <w:rPr>
          <w:sz w:val="20"/>
          <w:szCs w:val="20"/>
        </w:rPr>
        <w:t xml:space="preserve">Simmonds, Alan G.V., </w:t>
      </w:r>
      <w:r w:rsidRPr="008F31D4">
        <w:rPr>
          <w:i/>
          <w:iCs/>
          <w:sz w:val="20"/>
          <w:szCs w:val="20"/>
        </w:rPr>
        <w:t>Britain and World War One</w:t>
      </w:r>
      <w:r w:rsidRPr="008F31D4">
        <w:rPr>
          <w:sz w:val="20"/>
          <w:szCs w:val="20"/>
        </w:rPr>
        <w:t xml:space="preserve"> (USA: Routledge, 2012)</w:t>
      </w:r>
    </w:p>
    <w:p w14:paraId="081E5457" w14:textId="1BC6AD9E" w:rsidR="008F31D4" w:rsidRPr="008F31D4" w:rsidRDefault="008F31D4" w:rsidP="008F31D4">
      <w:pPr>
        <w:rPr>
          <w:sz w:val="20"/>
          <w:szCs w:val="20"/>
        </w:rPr>
      </w:pPr>
      <w:r w:rsidRPr="008F31D4">
        <w:rPr>
          <w:sz w:val="20"/>
          <w:szCs w:val="20"/>
        </w:rPr>
        <w:t xml:space="preserve">Wasserman, Earl R., ‘The Pleasures of Tragedy’, </w:t>
      </w:r>
      <w:r w:rsidRPr="008F31D4">
        <w:rPr>
          <w:i/>
          <w:iCs/>
          <w:sz w:val="20"/>
          <w:szCs w:val="20"/>
        </w:rPr>
        <w:t>ELH</w:t>
      </w:r>
      <w:r w:rsidRPr="008F31D4">
        <w:rPr>
          <w:sz w:val="20"/>
          <w:szCs w:val="20"/>
        </w:rPr>
        <w:t>, vol. 14 (1947) pp. 283-307</w:t>
      </w:r>
    </w:p>
    <w:p w14:paraId="156BB7C2" w14:textId="77777777" w:rsidR="008F31D4" w:rsidRPr="00F8309F" w:rsidRDefault="008F31D4" w:rsidP="00F8309F">
      <w:pPr>
        <w:rPr>
          <w:sz w:val="20"/>
          <w:szCs w:val="20"/>
        </w:rPr>
      </w:pPr>
    </w:p>
    <w:sectPr w:rsidR="008F31D4" w:rsidRPr="00F830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198D30" w14:textId="77777777" w:rsidR="00F02B08" w:rsidRDefault="00F02B08" w:rsidP="00F8309F">
      <w:pPr>
        <w:spacing w:after="0" w:line="240" w:lineRule="auto"/>
      </w:pPr>
      <w:r>
        <w:separator/>
      </w:r>
    </w:p>
  </w:endnote>
  <w:endnote w:type="continuationSeparator" w:id="0">
    <w:p w14:paraId="64A36690" w14:textId="77777777" w:rsidR="00F02B08" w:rsidRDefault="00F02B08" w:rsidP="00F83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E94096" w14:textId="77777777" w:rsidR="00F02B08" w:rsidRDefault="00F02B08" w:rsidP="00F8309F">
      <w:pPr>
        <w:spacing w:after="0" w:line="240" w:lineRule="auto"/>
      </w:pPr>
      <w:r>
        <w:separator/>
      </w:r>
    </w:p>
  </w:footnote>
  <w:footnote w:type="continuationSeparator" w:id="0">
    <w:p w14:paraId="7BCE377A" w14:textId="77777777" w:rsidR="00F02B08" w:rsidRDefault="00F02B08" w:rsidP="00F8309F">
      <w:pPr>
        <w:spacing w:after="0" w:line="240" w:lineRule="auto"/>
      </w:pPr>
      <w:r>
        <w:continuationSeparator/>
      </w:r>
    </w:p>
  </w:footnote>
  <w:footnote w:id="1">
    <w:p w14:paraId="421B7A76" w14:textId="3DE48873" w:rsidR="00F8309F" w:rsidRDefault="00F8309F">
      <w:pPr>
        <w:pStyle w:val="FootnoteText"/>
      </w:pPr>
      <w:r>
        <w:rPr>
          <w:rStyle w:val="FootnoteReference"/>
        </w:rPr>
        <w:footnoteRef/>
      </w:r>
      <w:r>
        <w:t xml:space="preserve"> </w:t>
      </w:r>
      <w:r w:rsidRPr="00F8309F">
        <w:t xml:space="preserve">Arthur Wardle, </w:t>
      </w:r>
      <w:r w:rsidRPr="00F8309F">
        <w:rPr>
          <w:i/>
          <w:iCs/>
        </w:rPr>
        <w:t>The Empire Needs Men WWI.jpg</w:t>
      </w:r>
      <w:r w:rsidRPr="00F8309F">
        <w:t xml:space="preserve"> [Poster] (1915) &lt; </w:t>
      </w:r>
      <w:hyperlink r:id="rId1" w:history="1">
        <w:r w:rsidRPr="00DC0A38">
          <w:rPr>
            <w:rStyle w:val="Hyperlink"/>
          </w:rPr>
          <w:t>https://commons.wikimedia.org/wiki/File:The_Empire_Needs_Men_WWI.jpg</w:t>
        </w:r>
      </w:hyperlink>
      <w:r>
        <w:t xml:space="preserve"> </w:t>
      </w:r>
      <w:r w:rsidRPr="00F8309F">
        <w:t>&gt; [accessed 17/04/24].</w:t>
      </w:r>
    </w:p>
  </w:footnote>
  <w:footnote w:id="2">
    <w:p w14:paraId="047C34E8" w14:textId="540F0ED2" w:rsidR="00F8309F" w:rsidRDefault="00F8309F">
      <w:pPr>
        <w:pStyle w:val="FootnoteText"/>
      </w:pPr>
      <w:r>
        <w:rPr>
          <w:rStyle w:val="FootnoteReference"/>
        </w:rPr>
        <w:footnoteRef/>
      </w:r>
      <w:r>
        <w:t xml:space="preserve"> </w:t>
      </w:r>
      <w:r w:rsidR="00AA49F2" w:rsidRPr="00AA49F2">
        <w:t xml:space="preserve">Charles Tilly, </w:t>
      </w:r>
      <w:r w:rsidR="00AA49F2" w:rsidRPr="00AA49F2">
        <w:rPr>
          <w:i/>
          <w:iCs/>
        </w:rPr>
        <w:t>Collective Violence, Contentious Politics, and Social Change: A Charles Tilly Reader</w:t>
      </w:r>
      <w:r w:rsidR="00AA49F2" w:rsidRPr="00AA49F2">
        <w:t xml:space="preserve"> (USA: Routledge, 2017)</w:t>
      </w:r>
      <w:r w:rsidR="00AA49F2">
        <w:t xml:space="preserve">, </w:t>
      </w:r>
      <w:r w:rsidRPr="00F8309F">
        <w:t>p.124.</w:t>
      </w:r>
    </w:p>
  </w:footnote>
  <w:footnote w:id="3">
    <w:p w14:paraId="7BCBA547" w14:textId="0180D8F1" w:rsidR="00F8309F" w:rsidRDefault="00F8309F">
      <w:pPr>
        <w:pStyle w:val="FootnoteText"/>
      </w:pPr>
      <w:r>
        <w:rPr>
          <w:rStyle w:val="FootnoteReference"/>
        </w:rPr>
        <w:footnoteRef/>
      </w:r>
      <w:r>
        <w:t xml:space="preserve"> </w:t>
      </w:r>
      <w:r w:rsidR="00A46A4C" w:rsidRPr="00A46A4C">
        <w:t xml:space="preserve">John, Conner, </w:t>
      </w:r>
      <w:r w:rsidR="00A46A4C" w:rsidRPr="00A46A4C">
        <w:rPr>
          <w:i/>
          <w:iCs/>
        </w:rPr>
        <w:t>Someone Else’s War: Fighting for the British Empire in World War I</w:t>
      </w:r>
      <w:r w:rsidR="00A46A4C" w:rsidRPr="00A46A4C">
        <w:t xml:space="preserve"> (USA: I.B. Tauris, 2019)</w:t>
      </w:r>
      <w:r w:rsidR="00A46A4C">
        <w:t xml:space="preserve">, </w:t>
      </w:r>
      <w:r w:rsidRPr="00F8309F">
        <w:t>p.2.</w:t>
      </w:r>
    </w:p>
  </w:footnote>
  <w:footnote w:id="4">
    <w:p w14:paraId="432C38D1" w14:textId="73BEB2CB" w:rsidR="00F8309F" w:rsidRDefault="00F8309F">
      <w:pPr>
        <w:pStyle w:val="FootnoteText"/>
      </w:pPr>
      <w:r>
        <w:rPr>
          <w:rStyle w:val="FootnoteReference"/>
        </w:rPr>
        <w:footnoteRef/>
      </w:r>
      <w:r>
        <w:t xml:space="preserve"> </w:t>
      </w:r>
      <w:r w:rsidR="00581E06" w:rsidRPr="00581E06">
        <w:t xml:space="preserve">Stephen Van Evera, ‘The Cult of the Offensive and the Origins of the First World War,’ </w:t>
      </w:r>
      <w:r w:rsidR="00581E06" w:rsidRPr="002D0D01">
        <w:rPr>
          <w:i/>
          <w:iCs/>
        </w:rPr>
        <w:t>International Security</w:t>
      </w:r>
      <w:r w:rsidR="00581E06" w:rsidRPr="00581E06">
        <w:t>, Vol.9, No.1, (1984) 58–107</w:t>
      </w:r>
      <w:r w:rsidR="00260C9A">
        <w:t xml:space="preserve"> (</w:t>
      </w:r>
      <w:r w:rsidRPr="00F8309F">
        <w:t>p.59</w:t>
      </w:r>
      <w:r w:rsidR="00260C9A">
        <w:t xml:space="preserve">). </w:t>
      </w:r>
    </w:p>
  </w:footnote>
  <w:footnote w:id="5">
    <w:p w14:paraId="6B81087F" w14:textId="1A393ADE" w:rsidR="008F31D4" w:rsidRDefault="008F31D4">
      <w:pPr>
        <w:pStyle w:val="FootnoteText"/>
      </w:pPr>
      <w:r>
        <w:rPr>
          <w:rStyle w:val="FootnoteReference"/>
        </w:rPr>
        <w:footnoteRef/>
      </w:r>
      <w:r>
        <w:t xml:space="preserve"> </w:t>
      </w:r>
      <w:r w:rsidRPr="008F31D4">
        <w:t xml:space="preserve">Alan G. V. Simmonds, </w:t>
      </w:r>
      <w:r w:rsidRPr="008F31D4">
        <w:rPr>
          <w:i/>
          <w:iCs/>
        </w:rPr>
        <w:t>Britain and World War One</w:t>
      </w:r>
      <w:r w:rsidRPr="008F31D4">
        <w:t xml:space="preserve"> (USA: Routledge, 2012), p,35.</w:t>
      </w:r>
    </w:p>
  </w:footnote>
  <w:footnote w:id="6">
    <w:p w14:paraId="35B6CC50" w14:textId="476E9D42" w:rsidR="008F31D4" w:rsidRDefault="008F31D4">
      <w:pPr>
        <w:pStyle w:val="FootnoteText"/>
      </w:pPr>
      <w:r>
        <w:rPr>
          <w:rStyle w:val="FootnoteReference"/>
        </w:rPr>
        <w:footnoteRef/>
      </w:r>
      <w:r>
        <w:t xml:space="preserve"> </w:t>
      </w:r>
      <w:r w:rsidRPr="008F31D4">
        <w:t xml:space="preserve">Simmonds, </w:t>
      </w:r>
      <w:r w:rsidRPr="008F31D4">
        <w:rPr>
          <w:i/>
          <w:iCs/>
        </w:rPr>
        <w:t>Britain and World War One</w:t>
      </w:r>
      <w:r w:rsidRPr="008F31D4">
        <w:t>, p.36.</w:t>
      </w:r>
    </w:p>
  </w:footnote>
  <w:footnote w:id="7">
    <w:p w14:paraId="41C6433F" w14:textId="3DB16B94" w:rsidR="008F31D4" w:rsidRDefault="008F31D4">
      <w:pPr>
        <w:pStyle w:val="FootnoteText"/>
      </w:pPr>
      <w:r>
        <w:rPr>
          <w:rStyle w:val="FootnoteReference"/>
        </w:rPr>
        <w:footnoteRef/>
      </w:r>
      <w:r>
        <w:t xml:space="preserve"> </w:t>
      </w:r>
      <w:r w:rsidRPr="008F31D4">
        <w:t xml:space="preserve">Simmonds, </w:t>
      </w:r>
      <w:r w:rsidRPr="008F31D4">
        <w:rPr>
          <w:i/>
          <w:iCs/>
        </w:rPr>
        <w:t>Britain and World War One</w:t>
      </w:r>
      <w:r w:rsidRPr="008F31D4">
        <w:t>, p.41.</w:t>
      </w:r>
    </w:p>
  </w:footnote>
  <w:footnote w:id="8">
    <w:p w14:paraId="657C7907" w14:textId="04919987" w:rsidR="008F31D4" w:rsidRDefault="008F31D4">
      <w:pPr>
        <w:pStyle w:val="FootnoteText"/>
      </w:pPr>
      <w:r>
        <w:rPr>
          <w:rStyle w:val="FootnoteReference"/>
        </w:rPr>
        <w:footnoteRef/>
      </w:r>
      <w:r>
        <w:t xml:space="preserve"> </w:t>
      </w:r>
      <w:r w:rsidRPr="008F31D4">
        <w:t xml:space="preserve">Simmonds, </w:t>
      </w:r>
      <w:r w:rsidRPr="008F31D4">
        <w:rPr>
          <w:i/>
          <w:iCs/>
        </w:rPr>
        <w:t>Britain and World War One</w:t>
      </w:r>
      <w:r w:rsidRPr="008F31D4">
        <w:t>, p.49.</w:t>
      </w:r>
    </w:p>
  </w:footnote>
  <w:footnote w:id="9">
    <w:p w14:paraId="19E22FDD" w14:textId="7DC753D4" w:rsidR="008F31D4" w:rsidRDefault="008F31D4">
      <w:pPr>
        <w:pStyle w:val="FootnoteText"/>
      </w:pPr>
      <w:r>
        <w:rPr>
          <w:rStyle w:val="FootnoteReference"/>
        </w:rPr>
        <w:footnoteRef/>
      </w:r>
      <w:r>
        <w:t xml:space="preserve"> </w:t>
      </w:r>
      <w:r w:rsidRPr="008F31D4">
        <w:t xml:space="preserve">Simmonds, </w:t>
      </w:r>
      <w:r w:rsidRPr="008F31D4">
        <w:rPr>
          <w:i/>
          <w:iCs/>
        </w:rPr>
        <w:t>Britain and World War One</w:t>
      </w:r>
      <w:r w:rsidRPr="008F31D4">
        <w:t>, p.53.</w:t>
      </w:r>
    </w:p>
  </w:footnote>
  <w:footnote w:id="10">
    <w:p w14:paraId="758FDD4D" w14:textId="4705B079" w:rsidR="008F31D4" w:rsidRDefault="008F31D4">
      <w:pPr>
        <w:pStyle w:val="FootnoteText"/>
      </w:pPr>
      <w:r>
        <w:rPr>
          <w:rStyle w:val="FootnoteReference"/>
        </w:rPr>
        <w:footnoteRef/>
      </w:r>
      <w:r>
        <w:t xml:space="preserve"> </w:t>
      </w:r>
      <w:r w:rsidRPr="008F31D4">
        <w:t xml:space="preserve">Earl R. Wasserman, ‘The Pleasures of Tragedy’, </w:t>
      </w:r>
      <w:r w:rsidRPr="008F31D4">
        <w:rPr>
          <w:i/>
          <w:iCs/>
        </w:rPr>
        <w:t>ELH</w:t>
      </w:r>
      <w:r w:rsidRPr="008F31D4">
        <w:t>, vol. 14 (1947) pp. 283-307 (p.283).</w:t>
      </w:r>
    </w:p>
  </w:footnote>
  <w:footnote w:id="11">
    <w:p w14:paraId="5961CD42" w14:textId="3E55211E" w:rsidR="008F31D4" w:rsidRDefault="008F31D4">
      <w:pPr>
        <w:pStyle w:val="FootnoteText"/>
      </w:pPr>
      <w:r>
        <w:rPr>
          <w:rStyle w:val="FootnoteReference"/>
        </w:rPr>
        <w:footnoteRef/>
      </w:r>
      <w:r>
        <w:t xml:space="preserve"> </w:t>
      </w:r>
      <w:proofErr w:type="spellStart"/>
      <w:r w:rsidRPr="008F31D4">
        <w:t>Panikos</w:t>
      </w:r>
      <w:proofErr w:type="spellEnd"/>
      <w:r w:rsidRPr="008F31D4">
        <w:t xml:space="preserve"> Panayi, </w:t>
      </w:r>
      <w:r w:rsidRPr="008F31D4">
        <w:rPr>
          <w:i/>
          <w:iCs/>
        </w:rPr>
        <w:t>Prisoners of Britain: German civilian and combatant internees during the First World War</w:t>
      </w:r>
      <w:r w:rsidRPr="008F31D4">
        <w:t xml:space="preserve"> (UK: Manchester University Press, 2012), p.1.</w:t>
      </w:r>
    </w:p>
  </w:footnote>
  <w:footnote w:id="12">
    <w:p w14:paraId="6C6C68D2" w14:textId="77A5D794" w:rsidR="008F31D4" w:rsidRDefault="008F31D4">
      <w:pPr>
        <w:pStyle w:val="FootnoteText"/>
      </w:pPr>
      <w:r>
        <w:rPr>
          <w:rStyle w:val="FootnoteReference"/>
        </w:rPr>
        <w:footnoteRef/>
      </w:r>
      <w:r>
        <w:t xml:space="preserve"> </w:t>
      </w:r>
      <w:r w:rsidRPr="008F31D4">
        <w:t xml:space="preserve">Panayi, </w:t>
      </w:r>
      <w:r w:rsidRPr="008F31D4">
        <w:rPr>
          <w:i/>
          <w:iCs/>
        </w:rPr>
        <w:t>Prisoners of Britain</w:t>
      </w:r>
      <w:r w:rsidRPr="008F31D4">
        <w:t>, p.2.</w:t>
      </w:r>
    </w:p>
  </w:footnote>
  <w:footnote w:id="13">
    <w:p w14:paraId="6CB1DBD9" w14:textId="5017398D" w:rsidR="008F31D4" w:rsidRDefault="008F31D4">
      <w:pPr>
        <w:pStyle w:val="FootnoteText"/>
      </w:pPr>
      <w:r>
        <w:rPr>
          <w:rStyle w:val="FootnoteReference"/>
        </w:rPr>
        <w:footnoteRef/>
      </w:r>
      <w:r>
        <w:t xml:space="preserve"> </w:t>
      </w:r>
      <w:r w:rsidRPr="008F31D4">
        <w:t xml:space="preserve">Panayi, </w:t>
      </w:r>
      <w:r w:rsidRPr="008F31D4">
        <w:rPr>
          <w:i/>
          <w:iCs/>
        </w:rPr>
        <w:t>Prisoners of Britain</w:t>
      </w:r>
      <w:r w:rsidRPr="008F31D4">
        <w:t>, p.84 – p.86.</w:t>
      </w:r>
    </w:p>
  </w:footnote>
  <w:footnote w:id="14">
    <w:p w14:paraId="4366CC92" w14:textId="2755ED20" w:rsidR="008F31D4" w:rsidRDefault="008F31D4">
      <w:pPr>
        <w:pStyle w:val="FootnoteText"/>
      </w:pPr>
      <w:r>
        <w:rPr>
          <w:rStyle w:val="FootnoteReference"/>
        </w:rPr>
        <w:footnoteRef/>
      </w:r>
      <w:r>
        <w:t xml:space="preserve"> </w:t>
      </w:r>
      <w:r w:rsidRPr="008F31D4">
        <w:rPr>
          <w:i/>
          <w:iCs/>
        </w:rPr>
        <w:t>Aliens Restriction Act</w:t>
      </w:r>
      <w:r w:rsidRPr="008F31D4">
        <w:t xml:space="preserve"> (SI 1914) &lt; </w:t>
      </w:r>
      <w:hyperlink r:id="rId2" w:history="1">
        <w:r w:rsidRPr="00DC0A38">
          <w:rPr>
            <w:rStyle w:val="Hyperlink"/>
          </w:rPr>
          <w:t>https://www.legislation.gov.uk/ukpga/1914/12/pdfs/ukpga_19140012_en.pdf</w:t>
        </w:r>
      </w:hyperlink>
      <w:r>
        <w:t xml:space="preserve"> </w:t>
      </w:r>
      <w:r w:rsidRPr="008F31D4">
        <w:t>&gt; [accessed 23/04/24].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09F"/>
    <w:rsid w:val="00012461"/>
    <w:rsid w:val="0003612C"/>
    <w:rsid w:val="001326F0"/>
    <w:rsid w:val="00245575"/>
    <w:rsid w:val="00260C9A"/>
    <w:rsid w:val="002D0D01"/>
    <w:rsid w:val="002F18EE"/>
    <w:rsid w:val="00307A5B"/>
    <w:rsid w:val="003549FA"/>
    <w:rsid w:val="00355FFA"/>
    <w:rsid w:val="00366968"/>
    <w:rsid w:val="003849F3"/>
    <w:rsid w:val="003D030B"/>
    <w:rsid w:val="004D17D4"/>
    <w:rsid w:val="004E2F3D"/>
    <w:rsid w:val="0054442F"/>
    <w:rsid w:val="00557964"/>
    <w:rsid w:val="005632FF"/>
    <w:rsid w:val="00581E06"/>
    <w:rsid w:val="00591538"/>
    <w:rsid w:val="006A5192"/>
    <w:rsid w:val="006A7EF5"/>
    <w:rsid w:val="006D4B51"/>
    <w:rsid w:val="007C682C"/>
    <w:rsid w:val="007E4F39"/>
    <w:rsid w:val="007F41FF"/>
    <w:rsid w:val="00857169"/>
    <w:rsid w:val="008F31D4"/>
    <w:rsid w:val="00932BB8"/>
    <w:rsid w:val="00981560"/>
    <w:rsid w:val="0099031C"/>
    <w:rsid w:val="00993B52"/>
    <w:rsid w:val="009C26AE"/>
    <w:rsid w:val="009D0FE9"/>
    <w:rsid w:val="00A46A4C"/>
    <w:rsid w:val="00A57E79"/>
    <w:rsid w:val="00AA49F2"/>
    <w:rsid w:val="00AD4EAB"/>
    <w:rsid w:val="00B42DB2"/>
    <w:rsid w:val="00B940AA"/>
    <w:rsid w:val="00B9657F"/>
    <w:rsid w:val="00BA442C"/>
    <w:rsid w:val="00BD5169"/>
    <w:rsid w:val="00BF6D7E"/>
    <w:rsid w:val="00C92C2A"/>
    <w:rsid w:val="00CE4D23"/>
    <w:rsid w:val="00E34A01"/>
    <w:rsid w:val="00F02B08"/>
    <w:rsid w:val="00F8309F"/>
    <w:rsid w:val="00FA7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743AC"/>
  <w15:chartTrackingRefBased/>
  <w15:docId w15:val="{4CCD4F94-F50D-483E-8907-3975F9D9A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0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0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0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0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0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0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0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0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0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0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0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0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0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0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0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0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0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09F"/>
    <w:rPr>
      <w:rFonts w:eastAsiaTheme="majorEastAsia" w:cstheme="majorBidi"/>
      <w:color w:val="272727" w:themeColor="text1" w:themeTint="D8"/>
    </w:rPr>
  </w:style>
  <w:style w:type="paragraph" w:styleId="Title">
    <w:name w:val="Title"/>
    <w:basedOn w:val="Normal"/>
    <w:next w:val="Normal"/>
    <w:link w:val="TitleChar"/>
    <w:uiPriority w:val="10"/>
    <w:qFormat/>
    <w:rsid w:val="00F83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0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0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0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09F"/>
    <w:pPr>
      <w:spacing w:before="160"/>
      <w:jc w:val="center"/>
    </w:pPr>
    <w:rPr>
      <w:i/>
      <w:iCs/>
      <w:color w:val="404040" w:themeColor="text1" w:themeTint="BF"/>
    </w:rPr>
  </w:style>
  <w:style w:type="character" w:customStyle="1" w:styleId="QuoteChar">
    <w:name w:val="Quote Char"/>
    <w:basedOn w:val="DefaultParagraphFont"/>
    <w:link w:val="Quote"/>
    <w:uiPriority w:val="29"/>
    <w:rsid w:val="00F8309F"/>
    <w:rPr>
      <w:i/>
      <w:iCs/>
      <w:color w:val="404040" w:themeColor="text1" w:themeTint="BF"/>
    </w:rPr>
  </w:style>
  <w:style w:type="paragraph" w:styleId="ListParagraph">
    <w:name w:val="List Paragraph"/>
    <w:basedOn w:val="Normal"/>
    <w:uiPriority w:val="34"/>
    <w:qFormat/>
    <w:rsid w:val="00F8309F"/>
    <w:pPr>
      <w:ind w:left="720"/>
      <w:contextualSpacing/>
    </w:pPr>
  </w:style>
  <w:style w:type="character" w:styleId="IntenseEmphasis">
    <w:name w:val="Intense Emphasis"/>
    <w:basedOn w:val="DefaultParagraphFont"/>
    <w:uiPriority w:val="21"/>
    <w:qFormat/>
    <w:rsid w:val="00F8309F"/>
    <w:rPr>
      <w:i/>
      <w:iCs/>
      <w:color w:val="0F4761" w:themeColor="accent1" w:themeShade="BF"/>
    </w:rPr>
  </w:style>
  <w:style w:type="paragraph" w:styleId="IntenseQuote">
    <w:name w:val="Intense Quote"/>
    <w:basedOn w:val="Normal"/>
    <w:next w:val="Normal"/>
    <w:link w:val="IntenseQuoteChar"/>
    <w:uiPriority w:val="30"/>
    <w:qFormat/>
    <w:rsid w:val="00F830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09F"/>
    <w:rPr>
      <w:i/>
      <w:iCs/>
      <w:color w:val="0F4761" w:themeColor="accent1" w:themeShade="BF"/>
    </w:rPr>
  </w:style>
  <w:style w:type="character" w:styleId="IntenseReference">
    <w:name w:val="Intense Reference"/>
    <w:basedOn w:val="DefaultParagraphFont"/>
    <w:uiPriority w:val="32"/>
    <w:qFormat/>
    <w:rsid w:val="00F8309F"/>
    <w:rPr>
      <w:b/>
      <w:bCs/>
      <w:smallCaps/>
      <w:color w:val="0F4761" w:themeColor="accent1" w:themeShade="BF"/>
      <w:spacing w:val="5"/>
    </w:rPr>
  </w:style>
  <w:style w:type="paragraph" w:styleId="FootnoteText">
    <w:name w:val="footnote text"/>
    <w:basedOn w:val="Normal"/>
    <w:link w:val="FootnoteTextChar"/>
    <w:uiPriority w:val="99"/>
    <w:semiHidden/>
    <w:unhideWhenUsed/>
    <w:rsid w:val="00F830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309F"/>
    <w:rPr>
      <w:sz w:val="20"/>
      <w:szCs w:val="20"/>
    </w:rPr>
  </w:style>
  <w:style w:type="character" w:styleId="FootnoteReference">
    <w:name w:val="footnote reference"/>
    <w:basedOn w:val="DefaultParagraphFont"/>
    <w:uiPriority w:val="99"/>
    <w:semiHidden/>
    <w:unhideWhenUsed/>
    <w:rsid w:val="00F8309F"/>
    <w:rPr>
      <w:vertAlign w:val="superscript"/>
    </w:rPr>
  </w:style>
  <w:style w:type="character" w:styleId="Hyperlink">
    <w:name w:val="Hyperlink"/>
    <w:basedOn w:val="DefaultParagraphFont"/>
    <w:uiPriority w:val="99"/>
    <w:unhideWhenUsed/>
    <w:rsid w:val="00F8309F"/>
    <w:rPr>
      <w:color w:val="467886" w:themeColor="hyperlink"/>
      <w:u w:val="single"/>
    </w:rPr>
  </w:style>
  <w:style w:type="character" w:styleId="UnresolvedMention">
    <w:name w:val="Unresolved Mention"/>
    <w:basedOn w:val="DefaultParagraphFont"/>
    <w:uiPriority w:val="99"/>
    <w:semiHidden/>
    <w:unhideWhenUsed/>
    <w:rsid w:val="00F8309F"/>
    <w:rPr>
      <w:color w:val="605E5C"/>
      <w:shd w:val="clear" w:color="auto" w:fill="E1DFDD"/>
    </w:rPr>
  </w:style>
  <w:style w:type="character" w:styleId="FollowedHyperlink">
    <w:name w:val="FollowedHyperlink"/>
    <w:basedOn w:val="DefaultParagraphFont"/>
    <w:uiPriority w:val="99"/>
    <w:semiHidden/>
    <w:unhideWhenUsed/>
    <w:rsid w:val="0055796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wikimedia.org/wiki/File:The_Empire_Needs_Men_WWI.jpg"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1914/12/pdfs/ukpga_19140012_en.pdf"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legislation.gov.uk/ukpga/1914/12/pdfs/ukpga_19140012_en.pdf" TargetMode="External"/><Relationship Id="rId1" Type="http://schemas.openxmlformats.org/officeDocument/2006/relationships/hyperlink" Target="https://commons.wikimedia.org/wiki/File:The_Empire_Needs_Men_WWI.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A3A92-7D1C-42EA-95EA-BF61E684D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7</Pages>
  <Words>2364</Words>
  <Characters>13476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Maties</dc:creator>
  <cp:keywords/>
  <dc:description/>
  <cp:lastModifiedBy>Alin Maties</cp:lastModifiedBy>
  <cp:revision>56</cp:revision>
  <dcterms:created xsi:type="dcterms:W3CDTF">2024-04-24T15:43:00Z</dcterms:created>
  <dcterms:modified xsi:type="dcterms:W3CDTF">2024-05-05T14:38:00Z</dcterms:modified>
</cp:coreProperties>
</file>