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5375528"/>
        <w:docPartObj>
          <w:docPartGallery w:val="Cover Pages"/>
          <w:docPartUnique/>
        </w:docPartObj>
      </w:sdtPr>
      <w:sdtEndPr>
        <w:rPr>
          <w:b/>
          <w:i/>
        </w:rPr>
      </w:sdtEndPr>
      <w:sdtContent>
        <w:p w14:paraId="3F2263AE" w14:textId="1EFF79DC" w:rsidR="00E57664" w:rsidRDefault="00E57664">
          <w:r>
            <w:rPr>
              <w:noProof/>
            </w:rPr>
            <mc:AlternateContent>
              <mc:Choice Requires="wpg">
                <w:drawing>
                  <wp:anchor distT="0" distB="0" distL="114300" distR="114300" simplePos="0" relativeHeight="251662336" behindDoc="0" locked="0" layoutInCell="1" allowOverlap="1" wp14:anchorId="2556D1FF" wp14:editId="0EC2D79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B164A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4BAF863" wp14:editId="77D2BCA7">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2462AC" w14:textId="71C672F2" w:rsidR="00E57664" w:rsidRDefault="00E5766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4BAF863" id="_x0000_t202" coordsize="21600,21600" o:spt="202" path="m,l,21600r21600,l21600,xe">
                    <v:stroke joinstyle="miter"/>
                    <v:path gradientshapeok="t" o:connecttype="rect"/>
                  </v:shapetype>
                  <v:shape id="Text Box 53"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D2462AC" w14:textId="71C672F2" w:rsidR="00E57664" w:rsidRDefault="00E57664">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2D7B808" wp14:editId="08BBEECA">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C79925" w14:textId="07872620" w:rsidR="00E57664" w:rsidRDefault="00E57664">
                                <w:pPr>
                                  <w:jc w:val="right"/>
                                  <w:rPr>
                                    <w:color w:val="4472C4" w:themeColor="accent1"/>
                                    <w:sz w:val="64"/>
                                    <w:szCs w:val="64"/>
                                  </w:rPr>
                                </w:pPr>
                                <w:sdt>
                                  <w:sdtPr>
                                    <w:rPr>
                                      <w:rFonts w:asciiTheme="minorHAnsi" w:hAnsiTheme="minorHAnsi" w:cstheme="minorHAns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57664">
                                      <w:rPr>
                                        <w:rFonts w:asciiTheme="minorHAnsi" w:hAnsiTheme="minorHAnsi" w:cstheme="minorHAnsi"/>
                                        <w:caps/>
                                        <w:color w:val="4472C4" w:themeColor="accent1"/>
                                        <w:sz w:val="64"/>
                                        <w:szCs w:val="64"/>
                                      </w:rPr>
                                      <w:t>CONTRACT LAW</w:t>
                                    </w:r>
                                    <w:r w:rsidRPr="00E57664">
                                      <w:rPr>
                                        <w:rFonts w:asciiTheme="minorHAnsi" w:hAnsiTheme="minorHAnsi" w:cstheme="minorHAnsi"/>
                                        <w:caps/>
                                        <w:color w:val="4472C4" w:themeColor="accent1"/>
                                        <w:sz w:val="64"/>
                                        <w:szCs w:val="64"/>
                                      </w:rPr>
                                      <w:br/>
                                    </w:r>
                                  </w:sdtContent>
                                </w:sdt>
                              </w:p>
                              <w:sdt>
                                <w:sdtPr>
                                  <w:rPr>
                                    <w:rFonts w:asciiTheme="minorHAnsi" w:hAnsiTheme="minorHAnsi" w:cstheme="minorHAnsi"/>
                                    <w:b/>
                                    <w:bCs/>
                                    <w:color w:val="4472C4" w:themeColor="accent1"/>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4AE9A5" w14:textId="0D8EE648" w:rsidR="00E57664" w:rsidRDefault="00E57664" w:rsidP="00E57664">
                                    <w:pPr>
                                      <w:ind w:firstLine="0"/>
                                      <w:rPr>
                                        <w:smallCaps/>
                                        <w:color w:val="404040" w:themeColor="text1" w:themeTint="BF"/>
                                        <w:sz w:val="36"/>
                                        <w:szCs w:val="36"/>
                                      </w:rPr>
                                    </w:pPr>
                                    <w:r w:rsidRPr="00E57664">
                                      <w:rPr>
                                        <w:rFonts w:asciiTheme="minorHAnsi" w:hAnsiTheme="minorHAnsi" w:cstheme="minorHAnsi"/>
                                        <w:b/>
                                        <w:bCs/>
                                        <w:color w:val="4472C4" w:themeColor="accent1"/>
                                        <w:sz w:val="44"/>
                                        <w:szCs w:val="44"/>
                                      </w:rPr>
                                      <w:t xml:space="preserve">                                       </w:t>
                                    </w:r>
                                    <w:r>
                                      <w:rPr>
                                        <w:rFonts w:asciiTheme="minorHAnsi" w:hAnsiTheme="minorHAnsi" w:cstheme="minorHAnsi"/>
                                        <w:b/>
                                        <w:bCs/>
                                        <w:color w:val="4472C4" w:themeColor="accent1"/>
                                        <w:sz w:val="44"/>
                                        <w:szCs w:val="44"/>
                                      </w:rPr>
                                      <w:t xml:space="preserve">             </w:t>
                                    </w:r>
                                    <w:r w:rsidRPr="00E57664">
                                      <w:rPr>
                                        <w:rFonts w:asciiTheme="minorHAnsi" w:hAnsiTheme="minorHAnsi" w:cstheme="minorHAnsi"/>
                                        <w:b/>
                                        <w:bCs/>
                                        <w:color w:val="4472C4" w:themeColor="accent1"/>
                                        <w:sz w:val="44"/>
                                        <w:szCs w:val="44"/>
                                      </w:rPr>
                                      <w:t>Consideration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2D7B808" id="Text Box 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9C79925" w14:textId="07872620" w:rsidR="00E57664" w:rsidRDefault="00E57664">
                          <w:pPr>
                            <w:jc w:val="right"/>
                            <w:rPr>
                              <w:color w:val="4472C4" w:themeColor="accent1"/>
                              <w:sz w:val="64"/>
                              <w:szCs w:val="64"/>
                            </w:rPr>
                          </w:pPr>
                          <w:sdt>
                            <w:sdtPr>
                              <w:rPr>
                                <w:rFonts w:asciiTheme="minorHAnsi" w:hAnsiTheme="minorHAnsi" w:cstheme="minorHAnsi"/>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57664">
                                <w:rPr>
                                  <w:rFonts w:asciiTheme="minorHAnsi" w:hAnsiTheme="minorHAnsi" w:cstheme="minorHAnsi"/>
                                  <w:caps/>
                                  <w:color w:val="4472C4" w:themeColor="accent1"/>
                                  <w:sz w:val="64"/>
                                  <w:szCs w:val="64"/>
                                </w:rPr>
                                <w:t>CONTRACT LAW</w:t>
                              </w:r>
                              <w:r w:rsidRPr="00E57664">
                                <w:rPr>
                                  <w:rFonts w:asciiTheme="minorHAnsi" w:hAnsiTheme="minorHAnsi" w:cstheme="minorHAnsi"/>
                                  <w:caps/>
                                  <w:color w:val="4472C4" w:themeColor="accent1"/>
                                  <w:sz w:val="64"/>
                                  <w:szCs w:val="64"/>
                                </w:rPr>
                                <w:br/>
                              </w:r>
                            </w:sdtContent>
                          </w:sdt>
                        </w:p>
                        <w:sdt>
                          <w:sdtPr>
                            <w:rPr>
                              <w:rFonts w:asciiTheme="minorHAnsi" w:hAnsiTheme="minorHAnsi" w:cstheme="minorHAnsi"/>
                              <w:b/>
                              <w:bCs/>
                              <w:color w:val="4472C4" w:themeColor="accent1"/>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4AE9A5" w14:textId="0D8EE648" w:rsidR="00E57664" w:rsidRDefault="00E57664" w:rsidP="00E57664">
                              <w:pPr>
                                <w:ind w:firstLine="0"/>
                                <w:rPr>
                                  <w:smallCaps/>
                                  <w:color w:val="404040" w:themeColor="text1" w:themeTint="BF"/>
                                  <w:sz w:val="36"/>
                                  <w:szCs w:val="36"/>
                                </w:rPr>
                              </w:pPr>
                              <w:r w:rsidRPr="00E57664">
                                <w:rPr>
                                  <w:rFonts w:asciiTheme="minorHAnsi" w:hAnsiTheme="minorHAnsi" w:cstheme="minorHAnsi"/>
                                  <w:b/>
                                  <w:bCs/>
                                  <w:color w:val="4472C4" w:themeColor="accent1"/>
                                  <w:sz w:val="44"/>
                                  <w:szCs w:val="44"/>
                                </w:rPr>
                                <w:t xml:space="preserve">                                       </w:t>
                              </w:r>
                              <w:r>
                                <w:rPr>
                                  <w:rFonts w:asciiTheme="minorHAnsi" w:hAnsiTheme="minorHAnsi" w:cstheme="minorHAnsi"/>
                                  <w:b/>
                                  <w:bCs/>
                                  <w:color w:val="4472C4" w:themeColor="accent1"/>
                                  <w:sz w:val="44"/>
                                  <w:szCs w:val="44"/>
                                </w:rPr>
                                <w:t xml:space="preserve">             </w:t>
                              </w:r>
                              <w:r w:rsidRPr="00E57664">
                                <w:rPr>
                                  <w:rFonts w:asciiTheme="minorHAnsi" w:hAnsiTheme="minorHAnsi" w:cstheme="minorHAnsi"/>
                                  <w:b/>
                                  <w:bCs/>
                                  <w:color w:val="4472C4" w:themeColor="accent1"/>
                                  <w:sz w:val="44"/>
                                  <w:szCs w:val="44"/>
                                </w:rPr>
                                <w:t>Consideration</w:t>
                              </w:r>
                            </w:p>
                          </w:sdtContent>
                        </w:sdt>
                      </w:txbxContent>
                    </v:textbox>
                    <w10:wrap type="square" anchorx="page" anchory="page"/>
                  </v:shape>
                </w:pict>
              </mc:Fallback>
            </mc:AlternateContent>
          </w:r>
        </w:p>
        <w:p w14:paraId="6B52A787" w14:textId="49F2BD9F" w:rsidR="00E57664" w:rsidRDefault="00E57664">
          <w:pPr>
            <w:spacing w:before="0" w:after="160" w:line="259" w:lineRule="auto"/>
            <w:ind w:firstLine="0"/>
            <w:contextualSpacing w:val="0"/>
            <w:jc w:val="left"/>
          </w:pPr>
          <w:r>
            <w:rPr>
              <w:noProof/>
            </w:rPr>
            <mc:AlternateContent>
              <mc:Choice Requires="wps">
                <w:drawing>
                  <wp:anchor distT="0" distB="0" distL="114300" distR="114300" simplePos="0" relativeHeight="251660288" behindDoc="0" locked="0" layoutInCell="1" allowOverlap="1" wp14:anchorId="63D4846E" wp14:editId="5F4A6192">
                    <wp:simplePos x="0" y="0"/>
                    <wp:positionH relativeFrom="page">
                      <wp:posOffset>2419350</wp:posOffset>
                    </wp:positionH>
                    <wp:positionV relativeFrom="page">
                      <wp:posOffset>8229600</wp:posOffset>
                    </wp:positionV>
                    <wp:extent cx="512318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512318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70C0"/>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4D65FF" w14:textId="6D721196" w:rsidR="00E57664" w:rsidRPr="00E57664" w:rsidRDefault="00E57664">
                                    <w:pPr>
                                      <w:pStyle w:val="NoSpacing"/>
                                      <w:jc w:val="right"/>
                                      <w:rPr>
                                        <w:color w:val="0070C0"/>
                                        <w:sz w:val="32"/>
                                        <w:szCs w:val="32"/>
                                      </w:rPr>
                                    </w:pPr>
                                    <w:r w:rsidRPr="00E57664">
                                      <w:rPr>
                                        <w:color w:val="0070C0"/>
                                        <w:sz w:val="32"/>
                                        <w:szCs w:val="32"/>
                                      </w:rPr>
                                      <w:t>Madalina Blaglosov</w:t>
                                    </w:r>
                                  </w:p>
                                </w:sdtContent>
                              </w:sdt>
                              <w:p w14:paraId="024EB8DD" w14:textId="32524CBA" w:rsidR="00E57664" w:rsidRPr="00E57664" w:rsidRDefault="00E57664">
                                <w:pPr>
                                  <w:pStyle w:val="NoSpacing"/>
                                  <w:jc w:val="right"/>
                                  <w:rPr>
                                    <w:color w:val="595959" w:themeColor="text1" w:themeTint="A6"/>
                                    <w:sz w:val="32"/>
                                    <w:szCs w:val="32"/>
                                  </w:rPr>
                                </w:pPr>
                                <w:sdt>
                                  <w:sdtPr>
                                    <w:rPr>
                                      <w:color w:val="0070C0"/>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Pr="00E57664">
                                      <w:rPr>
                                        <w:color w:val="0070C0"/>
                                        <w:sz w:val="32"/>
                                        <w:szCs w:val="32"/>
                                      </w:rPr>
                                      <w:t>2207678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63D4846E" id="Text Box 52" o:spid="_x0000_s1028" type="#_x0000_t202" style="position:absolute;margin-left:190.5pt;margin-top:9in;width:403.4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" filled="f" stroked="f" strokeweight=".5pt">
                    <v:textbox inset="126pt,0,54pt,0">
                      <w:txbxContent>
                        <w:sdt>
                          <w:sdtPr>
                            <w:rPr>
                              <w:color w:val="0070C0"/>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4D65FF" w14:textId="6D721196" w:rsidR="00E57664" w:rsidRPr="00E57664" w:rsidRDefault="00E57664">
                              <w:pPr>
                                <w:pStyle w:val="NoSpacing"/>
                                <w:jc w:val="right"/>
                                <w:rPr>
                                  <w:color w:val="0070C0"/>
                                  <w:sz w:val="32"/>
                                  <w:szCs w:val="32"/>
                                </w:rPr>
                              </w:pPr>
                              <w:r w:rsidRPr="00E57664">
                                <w:rPr>
                                  <w:color w:val="0070C0"/>
                                  <w:sz w:val="32"/>
                                  <w:szCs w:val="32"/>
                                </w:rPr>
                                <w:t>Madalina Blaglosov</w:t>
                              </w:r>
                            </w:p>
                          </w:sdtContent>
                        </w:sdt>
                        <w:p w14:paraId="024EB8DD" w14:textId="32524CBA" w:rsidR="00E57664" w:rsidRPr="00E57664" w:rsidRDefault="00E57664">
                          <w:pPr>
                            <w:pStyle w:val="NoSpacing"/>
                            <w:jc w:val="right"/>
                            <w:rPr>
                              <w:color w:val="595959" w:themeColor="text1" w:themeTint="A6"/>
                              <w:sz w:val="32"/>
                              <w:szCs w:val="32"/>
                            </w:rPr>
                          </w:pPr>
                          <w:sdt>
                            <w:sdtPr>
                              <w:rPr>
                                <w:color w:val="0070C0"/>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Pr="00E57664">
                                <w:rPr>
                                  <w:color w:val="0070C0"/>
                                  <w:sz w:val="32"/>
                                  <w:szCs w:val="32"/>
                                </w:rPr>
                                <w:t>2207678</w:t>
                              </w:r>
                            </w:sdtContent>
                          </w:sdt>
                        </w:p>
                      </w:txbxContent>
                    </v:textbox>
                    <w10:wrap type="square" anchorx="page" anchory="page"/>
                  </v:shape>
                </w:pict>
              </mc:Fallback>
            </mc:AlternateContent>
          </w:r>
          <w:r>
            <w:rPr>
              <w:b/>
              <w:i/>
            </w:rPr>
            <w:br w:type="page"/>
          </w:r>
        </w:p>
      </w:sdtContent>
    </w:sdt>
    <w:sdt>
      <w:sdtPr>
        <w:rPr>
          <w:rFonts w:ascii="Times New Roman" w:eastAsiaTheme="minorHAnsi" w:hAnsi="Times New Roman" w:cs="Times New Roman"/>
          <w:b/>
          <w:bCs/>
          <w:color w:val="auto"/>
          <w:kern w:val="2"/>
          <w:sz w:val="24"/>
          <w:szCs w:val="24"/>
          <w:lang w:val="en-GB"/>
          <w14:ligatures w14:val="standardContextual"/>
        </w:rPr>
        <w:id w:val="-835909253"/>
        <w:docPartObj>
          <w:docPartGallery w:val="Table of Contents"/>
          <w:docPartUnique/>
        </w:docPartObj>
      </w:sdtPr>
      <w:sdtEndPr>
        <w:rPr>
          <w:rFonts w:cstheme="minorBidi"/>
          <w:szCs w:val="22"/>
        </w:rPr>
      </w:sdtEndPr>
      <w:sdtContent>
        <w:p w14:paraId="11533E26" w14:textId="6697C2C1" w:rsidR="009211D0" w:rsidRPr="009211D0" w:rsidRDefault="009211D0" w:rsidP="009211D0">
          <w:pPr>
            <w:pStyle w:val="TOCHeading"/>
            <w:jc w:val="center"/>
            <w:rPr>
              <w:rFonts w:ascii="Times New Roman" w:hAnsi="Times New Roman" w:cs="Times New Roman"/>
              <w:b/>
              <w:bCs/>
              <w:color w:val="auto"/>
              <w:sz w:val="24"/>
              <w:szCs w:val="24"/>
            </w:rPr>
          </w:pPr>
          <w:r w:rsidRPr="009211D0">
            <w:rPr>
              <w:rFonts w:ascii="Times New Roman" w:hAnsi="Times New Roman" w:cs="Times New Roman"/>
              <w:b/>
              <w:bCs/>
              <w:color w:val="auto"/>
              <w:sz w:val="24"/>
              <w:szCs w:val="24"/>
              <w:lang w:val="en-GB"/>
            </w:rPr>
            <w:t>Table of Contents</w:t>
          </w:r>
        </w:p>
        <w:p w14:paraId="6F0CA059" w14:textId="06E830A3" w:rsidR="009211D0" w:rsidRDefault="009211D0">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60284816" w:history="1">
            <w:r w:rsidRPr="0018766A">
              <w:rPr>
                <w:rStyle w:val="Hyperlink"/>
                <w:noProof/>
              </w:rPr>
              <w:t>Introduction</w:t>
            </w:r>
            <w:r>
              <w:rPr>
                <w:noProof/>
                <w:webHidden/>
              </w:rPr>
              <w:tab/>
            </w:r>
            <w:r>
              <w:rPr>
                <w:noProof/>
                <w:webHidden/>
              </w:rPr>
              <w:fldChar w:fldCharType="begin"/>
            </w:r>
            <w:r>
              <w:rPr>
                <w:noProof/>
                <w:webHidden/>
              </w:rPr>
              <w:instrText xml:space="preserve"> PAGEREF _Toc160284816 \h </w:instrText>
            </w:r>
            <w:r>
              <w:rPr>
                <w:noProof/>
                <w:webHidden/>
              </w:rPr>
            </w:r>
            <w:r>
              <w:rPr>
                <w:noProof/>
                <w:webHidden/>
              </w:rPr>
              <w:fldChar w:fldCharType="separate"/>
            </w:r>
            <w:r>
              <w:rPr>
                <w:noProof/>
                <w:webHidden/>
              </w:rPr>
              <w:t>2</w:t>
            </w:r>
            <w:r>
              <w:rPr>
                <w:noProof/>
                <w:webHidden/>
              </w:rPr>
              <w:fldChar w:fldCharType="end"/>
            </w:r>
          </w:hyperlink>
        </w:p>
        <w:p w14:paraId="527061A1" w14:textId="01FD9BCF" w:rsidR="009211D0" w:rsidRDefault="00FE49B1">
          <w:pPr>
            <w:pStyle w:val="TOC1"/>
            <w:tabs>
              <w:tab w:val="right" w:leader="dot" w:pos="9350"/>
            </w:tabs>
            <w:rPr>
              <w:rFonts w:asciiTheme="minorHAnsi" w:eastAsiaTheme="minorEastAsia" w:hAnsiTheme="minorHAnsi"/>
              <w:noProof/>
              <w:sz w:val="22"/>
              <w:lang w:val="en-US"/>
            </w:rPr>
          </w:pPr>
          <w:hyperlink w:anchor="_Toc160284817" w:history="1">
            <w:r w:rsidR="009211D0" w:rsidRPr="0018766A">
              <w:rPr>
                <w:rStyle w:val="Hyperlink"/>
                <w:noProof/>
              </w:rPr>
              <w:t>Formation of a Contract</w:t>
            </w:r>
            <w:r w:rsidR="009211D0">
              <w:rPr>
                <w:noProof/>
                <w:webHidden/>
              </w:rPr>
              <w:tab/>
            </w:r>
            <w:r w:rsidR="009211D0">
              <w:rPr>
                <w:noProof/>
                <w:webHidden/>
              </w:rPr>
              <w:fldChar w:fldCharType="begin"/>
            </w:r>
            <w:r w:rsidR="009211D0">
              <w:rPr>
                <w:noProof/>
                <w:webHidden/>
              </w:rPr>
              <w:instrText xml:space="preserve"> PAGEREF _Toc160284817 \h </w:instrText>
            </w:r>
            <w:r w:rsidR="009211D0">
              <w:rPr>
                <w:noProof/>
                <w:webHidden/>
              </w:rPr>
            </w:r>
            <w:r w:rsidR="009211D0">
              <w:rPr>
                <w:noProof/>
                <w:webHidden/>
              </w:rPr>
              <w:fldChar w:fldCharType="separate"/>
            </w:r>
            <w:r w:rsidR="009211D0">
              <w:rPr>
                <w:noProof/>
                <w:webHidden/>
              </w:rPr>
              <w:t>2</w:t>
            </w:r>
            <w:r w:rsidR="009211D0">
              <w:rPr>
                <w:noProof/>
                <w:webHidden/>
              </w:rPr>
              <w:fldChar w:fldCharType="end"/>
            </w:r>
          </w:hyperlink>
        </w:p>
        <w:p w14:paraId="3C5E3B86" w14:textId="4010617F" w:rsidR="009211D0" w:rsidRDefault="00FE49B1">
          <w:pPr>
            <w:pStyle w:val="TOC1"/>
            <w:tabs>
              <w:tab w:val="right" w:leader="dot" w:pos="9350"/>
            </w:tabs>
            <w:rPr>
              <w:rFonts w:asciiTheme="minorHAnsi" w:eastAsiaTheme="minorEastAsia" w:hAnsiTheme="minorHAnsi"/>
              <w:noProof/>
              <w:sz w:val="22"/>
              <w:lang w:val="en-US"/>
            </w:rPr>
          </w:pPr>
          <w:hyperlink w:anchor="_Toc160284818" w:history="1">
            <w:r w:rsidR="009211D0" w:rsidRPr="0018766A">
              <w:rPr>
                <w:rStyle w:val="Hyperlink"/>
                <w:noProof/>
              </w:rPr>
              <w:t>What is Consideration?</w:t>
            </w:r>
            <w:r w:rsidR="009211D0">
              <w:rPr>
                <w:noProof/>
                <w:webHidden/>
              </w:rPr>
              <w:tab/>
            </w:r>
            <w:r w:rsidR="009211D0">
              <w:rPr>
                <w:noProof/>
                <w:webHidden/>
              </w:rPr>
              <w:fldChar w:fldCharType="begin"/>
            </w:r>
            <w:r w:rsidR="009211D0">
              <w:rPr>
                <w:noProof/>
                <w:webHidden/>
              </w:rPr>
              <w:instrText xml:space="preserve"> PAGEREF _Toc160284818 \h </w:instrText>
            </w:r>
            <w:r w:rsidR="009211D0">
              <w:rPr>
                <w:noProof/>
                <w:webHidden/>
              </w:rPr>
            </w:r>
            <w:r w:rsidR="009211D0">
              <w:rPr>
                <w:noProof/>
                <w:webHidden/>
              </w:rPr>
              <w:fldChar w:fldCharType="separate"/>
            </w:r>
            <w:r w:rsidR="009211D0">
              <w:rPr>
                <w:noProof/>
                <w:webHidden/>
              </w:rPr>
              <w:t>3</w:t>
            </w:r>
            <w:r w:rsidR="009211D0">
              <w:rPr>
                <w:noProof/>
                <w:webHidden/>
              </w:rPr>
              <w:fldChar w:fldCharType="end"/>
            </w:r>
          </w:hyperlink>
        </w:p>
        <w:p w14:paraId="061E5BF3" w14:textId="00D943C7" w:rsidR="009211D0" w:rsidRDefault="00FE49B1">
          <w:pPr>
            <w:pStyle w:val="TOC1"/>
            <w:tabs>
              <w:tab w:val="right" w:leader="dot" w:pos="9350"/>
            </w:tabs>
            <w:rPr>
              <w:rFonts w:asciiTheme="minorHAnsi" w:eastAsiaTheme="minorEastAsia" w:hAnsiTheme="minorHAnsi"/>
              <w:noProof/>
              <w:sz w:val="22"/>
              <w:lang w:val="en-US"/>
            </w:rPr>
          </w:pPr>
          <w:hyperlink w:anchor="_Toc160284819" w:history="1">
            <w:r w:rsidR="009211D0" w:rsidRPr="0018766A">
              <w:rPr>
                <w:rStyle w:val="Hyperlink"/>
                <w:noProof/>
              </w:rPr>
              <w:t>Types of Consideration</w:t>
            </w:r>
            <w:r w:rsidR="009211D0">
              <w:rPr>
                <w:noProof/>
                <w:webHidden/>
              </w:rPr>
              <w:tab/>
            </w:r>
            <w:r w:rsidR="009211D0">
              <w:rPr>
                <w:noProof/>
                <w:webHidden/>
              </w:rPr>
              <w:fldChar w:fldCharType="begin"/>
            </w:r>
            <w:r w:rsidR="009211D0">
              <w:rPr>
                <w:noProof/>
                <w:webHidden/>
              </w:rPr>
              <w:instrText xml:space="preserve"> PAGEREF _Toc160284819 \h </w:instrText>
            </w:r>
            <w:r w:rsidR="009211D0">
              <w:rPr>
                <w:noProof/>
                <w:webHidden/>
              </w:rPr>
            </w:r>
            <w:r w:rsidR="009211D0">
              <w:rPr>
                <w:noProof/>
                <w:webHidden/>
              </w:rPr>
              <w:fldChar w:fldCharType="separate"/>
            </w:r>
            <w:r w:rsidR="009211D0">
              <w:rPr>
                <w:noProof/>
                <w:webHidden/>
              </w:rPr>
              <w:t>4</w:t>
            </w:r>
            <w:r w:rsidR="009211D0">
              <w:rPr>
                <w:noProof/>
                <w:webHidden/>
              </w:rPr>
              <w:fldChar w:fldCharType="end"/>
            </w:r>
          </w:hyperlink>
        </w:p>
        <w:p w14:paraId="55BA2BB4" w14:textId="2F8B600D" w:rsidR="009211D0" w:rsidRDefault="00FE49B1">
          <w:pPr>
            <w:pStyle w:val="TOC1"/>
            <w:tabs>
              <w:tab w:val="right" w:leader="dot" w:pos="9350"/>
            </w:tabs>
            <w:rPr>
              <w:rFonts w:asciiTheme="minorHAnsi" w:eastAsiaTheme="minorEastAsia" w:hAnsiTheme="minorHAnsi"/>
              <w:noProof/>
              <w:sz w:val="22"/>
              <w:lang w:val="en-US"/>
            </w:rPr>
          </w:pPr>
          <w:hyperlink w:anchor="_Toc160284820" w:history="1">
            <w:r w:rsidR="009211D0" w:rsidRPr="0018766A">
              <w:rPr>
                <w:rStyle w:val="Hyperlink"/>
                <w:noProof/>
              </w:rPr>
              <w:t>When Consideration is Valid</w:t>
            </w:r>
            <w:r w:rsidR="009211D0">
              <w:rPr>
                <w:noProof/>
                <w:webHidden/>
              </w:rPr>
              <w:tab/>
            </w:r>
            <w:r w:rsidR="009211D0">
              <w:rPr>
                <w:noProof/>
                <w:webHidden/>
              </w:rPr>
              <w:fldChar w:fldCharType="begin"/>
            </w:r>
            <w:r w:rsidR="009211D0">
              <w:rPr>
                <w:noProof/>
                <w:webHidden/>
              </w:rPr>
              <w:instrText xml:space="preserve"> PAGEREF _Toc160284820 \h </w:instrText>
            </w:r>
            <w:r w:rsidR="009211D0">
              <w:rPr>
                <w:noProof/>
                <w:webHidden/>
              </w:rPr>
            </w:r>
            <w:r w:rsidR="009211D0">
              <w:rPr>
                <w:noProof/>
                <w:webHidden/>
              </w:rPr>
              <w:fldChar w:fldCharType="separate"/>
            </w:r>
            <w:r w:rsidR="009211D0">
              <w:rPr>
                <w:noProof/>
                <w:webHidden/>
              </w:rPr>
              <w:t>6</w:t>
            </w:r>
            <w:r w:rsidR="009211D0">
              <w:rPr>
                <w:noProof/>
                <w:webHidden/>
              </w:rPr>
              <w:fldChar w:fldCharType="end"/>
            </w:r>
          </w:hyperlink>
        </w:p>
        <w:p w14:paraId="622B7B98" w14:textId="0AE94F75" w:rsidR="009211D0" w:rsidRDefault="00FE49B1">
          <w:pPr>
            <w:pStyle w:val="TOC1"/>
            <w:tabs>
              <w:tab w:val="right" w:leader="dot" w:pos="9350"/>
            </w:tabs>
            <w:rPr>
              <w:rFonts w:asciiTheme="minorHAnsi" w:eastAsiaTheme="minorEastAsia" w:hAnsiTheme="minorHAnsi"/>
              <w:noProof/>
              <w:sz w:val="22"/>
              <w:lang w:val="en-US"/>
            </w:rPr>
          </w:pPr>
          <w:hyperlink w:anchor="_Toc160284821" w:history="1">
            <w:r w:rsidR="009211D0" w:rsidRPr="0018766A">
              <w:rPr>
                <w:rStyle w:val="Hyperlink"/>
                <w:noProof/>
              </w:rPr>
              <w:t>Issues with Consideration</w:t>
            </w:r>
            <w:r w:rsidR="009211D0">
              <w:rPr>
                <w:noProof/>
                <w:webHidden/>
              </w:rPr>
              <w:tab/>
            </w:r>
            <w:r w:rsidR="009211D0">
              <w:rPr>
                <w:noProof/>
                <w:webHidden/>
              </w:rPr>
              <w:fldChar w:fldCharType="begin"/>
            </w:r>
            <w:r w:rsidR="009211D0">
              <w:rPr>
                <w:noProof/>
                <w:webHidden/>
              </w:rPr>
              <w:instrText xml:space="preserve"> PAGEREF _Toc160284821 \h </w:instrText>
            </w:r>
            <w:r w:rsidR="009211D0">
              <w:rPr>
                <w:noProof/>
                <w:webHidden/>
              </w:rPr>
            </w:r>
            <w:r w:rsidR="009211D0">
              <w:rPr>
                <w:noProof/>
                <w:webHidden/>
              </w:rPr>
              <w:fldChar w:fldCharType="separate"/>
            </w:r>
            <w:r w:rsidR="009211D0">
              <w:rPr>
                <w:noProof/>
                <w:webHidden/>
              </w:rPr>
              <w:t>7</w:t>
            </w:r>
            <w:r w:rsidR="009211D0">
              <w:rPr>
                <w:noProof/>
                <w:webHidden/>
              </w:rPr>
              <w:fldChar w:fldCharType="end"/>
            </w:r>
          </w:hyperlink>
        </w:p>
        <w:p w14:paraId="393162F1" w14:textId="19B30144" w:rsidR="009211D0" w:rsidRDefault="00FE49B1">
          <w:pPr>
            <w:pStyle w:val="TOC1"/>
            <w:tabs>
              <w:tab w:val="right" w:leader="dot" w:pos="9350"/>
            </w:tabs>
            <w:rPr>
              <w:rFonts w:asciiTheme="minorHAnsi" w:eastAsiaTheme="minorEastAsia" w:hAnsiTheme="minorHAnsi"/>
              <w:noProof/>
              <w:sz w:val="22"/>
              <w:lang w:val="en-US"/>
            </w:rPr>
          </w:pPr>
          <w:hyperlink w:anchor="_Toc160284822" w:history="1">
            <w:r w:rsidR="009211D0" w:rsidRPr="0018766A">
              <w:rPr>
                <w:rStyle w:val="Hyperlink"/>
                <w:noProof/>
              </w:rPr>
              <w:t>Reform Suggestions</w:t>
            </w:r>
            <w:r w:rsidR="009211D0">
              <w:rPr>
                <w:noProof/>
                <w:webHidden/>
              </w:rPr>
              <w:tab/>
            </w:r>
            <w:r w:rsidR="009211D0">
              <w:rPr>
                <w:noProof/>
                <w:webHidden/>
              </w:rPr>
              <w:fldChar w:fldCharType="begin"/>
            </w:r>
            <w:r w:rsidR="009211D0">
              <w:rPr>
                <w:noProof/>
                <w:webHidden/>
              </w:rPr>
              <w:instrText xml:space="preserve"> PAGEREF _Toc160284822 \h </w:instrText>
            </w:r>
            <w:r w:rsidR="009211D0">
              <w:rPr>
                <w:noProof/>
                <w:webHidden/>
              </w:rPr>
            </w:r>
            <w:r w:rsidR="009211D0">
              <w:rPr>
                <w:noProof/>
                <w:webHidden/>
              </w:rPr>
              <w:fldChar w:fldCharType="separate"/>
            </w:r>
            <w:r w:rsidR="009211D0">
              <w:rPr>
                <w:noProof/>
                <w:webHidden/>
              </w:rPr>
              <w:t>8</w:t>
            </w:r>
            <w:r w:rsidR="009211D0">
              <w:rPr>
                <w:noProof/>
                <w:webHidden/>
              </w:rPr>
              <w:fldChar w:fldCharType="end"/>
            </w:r>
          </w:hyperlink>
        </w:p>
        <w:p w14:paraId="36AD8088" w14:textId="0CBE1E84" w:rsidR="009211D0" w:rsidRDefault="00FE49B1">
          <w:pPr>
            <w:pStyle w:val="TOC1"/>
            <w:tabs>
              <w:tab w:val="right" w:leader="dot" w:pos="9350"/>
            </w:tabs>
            <w:rPr>
              <w:rFonts w:asciiTheme="minorHAnsi" w:eastAsiaTheme="minorEastAsia" w:hAnsiTheme="minorHAnsi"/>
              <w:noProof/>
              <w:sz w:val="22"/>
              <w:lang w:val="en-US"/>
            </w:rPr>
          </w:pPr>
          <w:hyperlink w:anchor="_Toc160284823" w:history="1">
            <w:r w:rsidR="009211D0" w:rsidRPr="0018766A">
              <w:rPr>
                <w:rStyle w:val="Hyperlink"/>
                <w:noProof/>
              </w:rPr>
              <w:t>Conclusion</w:t>
            </w:r>
            <w:r w:rsidR="009211D0">
              <w:rPr>
                <w:noProof/>
                <w:webHidden/>
              </w:rPr>
              <w:tab/>
            </w:r>
            <w:r w:rsidR="009211D0">
              <w:rPr>
                <w:noProof/>
                <w:webHidden/>
              </w:rPr>
              <w:fldChar w:fldCharType="begin"/>
            </w:r>
            <w:r w:rsidR="009211D0">
              <w:rPr>
                <w:noProof/>
                <w:webHidden/>
              </w:rPr>
              <w:instrText xml:space="preserve"> PAGEREF _Toc160284823 \h </w:instrText>
            </w:r>
            <w:r w:rsidR="009211D0">
              <w:rPr>
                <w:noProof/>
                <w:webHidden/>
              </w:rPr>
            </w:r>
            <w:r w:rsidR="009211D0">
              <w:rPr>
                <w:noProof/>
                <w:webHidden/>
              </w:rPr>
              <w:fldChar w:fldCharType="separate"/>
            </w:r>
            <w:r w:rsidR="009211D0">
              <w:rPr>
                <w:noProof/>
                <w:webHidden/>
              </w:rPr>
              <w:t>10</w:t>
            </w:r>
            <w:r w:rsidR="009211D0">
              <w:rPr>
                <w:noProof/>
                <w:webHidden/>
              </w:rPr>
              <w:fldChar w:fldCharType="end"/>
            </w:r>
          </w:hyperlink>
        </w:p>
        <w:p w14:paraId="3928B819" w14:textId="5D56EC17" w:rsidR="009211D0" w:rsidRDefault="00FE49B1">
          <w:pPr>
            <w:pStyle w:val="TOC1"/>
            <w:tabs>
              <w:tab w:val="right" w:leader="dot" w:pos="9350"/>
            </w:tabs>
            <w:rPr>
              <w:rFonts w:asciiTheme="minorHAnsi" w:eastAsiaTheme="minorEastAsia" w:hAnsiTheme="minorHAnsi"/>
              <w:noProof/>
              <w:sz w:val="22"/>
              <w:lang w:val="en-US"/>
            </w:rPr>
          </w:pPr>
          <w:hyperlink w:anchor="_Toc160284824" w:history="1">
            <w:r w:rsidR="009211D0" w:rsidRPr="0018766A">
              <w:rPr>
                <w:rStyle w:val="Hyperlink"/>
                <w:noProof/>
              </w:rPr>
              <w:t>References</w:t>
            </w:r>
            <w:r w:rsidR="009211D0">
              <w:rPr>
                <w:noProof/>
                <w:webHidden/>
              </w:rPr>
              <w:tab/>
            </w:r>
            <w:r w:rsidR="009211D0">
              <w:rPr>
                <w:noProof/>
                <w:webHidden/>
              </w:rPr>
              <w:fldChar w:fldCharType="begin"/>
            </w:r>
            <w:r w:rsidR="009211D0">
              <w:rPr>
                <w:noProof/>
                <w:webHidden/>
              </w:rPr>
              <w:instrText xml:space="preserve"> PAGEREF _Toc160284824 \h </w:instrText>
            </w:r>
            <w:r w:rsidR="009211D0">
              <w:rPr>
                <w:noProof/>
                <w:webHidden/>
              </w:rPr>
            </w:r>
            <w:r w:rsidR="009211D0">
              <w:rPr>
                <w:noProof/>
                <w:webHidden/>
              </w:rPr>
              <w:fldChar w:fldCharType="separate"/>
            </w:r>
            <w:r w:rsidR="009211D0">
              <w:rPr>
                <w:noProof/>
                <w:webHidden/>
              </w:rPr>
              <w:t>12</w:t>
            </w:r>
            <w:r w:rsidR="009211D0">
              <w:rPr>
                <w:noProof/>
                <w:webHidden/>
              </w:rPr>
              <w:fldChar w:fldCharType="end"/>
            </w:r>
          </w:hyperlink>
        </w:p>
        <w:p w14:paraId="4183F446" w14:textId="6AAC1468" w:rsidR="009211D0" w:rsidRDefault="009211D0">
          <w:r>
            <w:rPr>
              <w:b/>
              <w:bCs/>
            </w:rPr>
            <w:fldChar w:fldCharType="end"/>
          </w:r>
        </w:p>
      </w:sdtContent>
    </w:sdt>
    <w:p w14:paraId="6B3B0AF3" w14:textId="77777777" w:rsidR="009211D0" w:rsidRDefault="009211D0" w:rsidP="009211D0">
      <w:pPr>
        <w:ind w:firstLine="0"/>
      </w:pPr>
    </w:p>
    <w:p w14:paraId="51BCDD0B" w14:textId="77777777" w:rsidR="009211D0" w:rsidRDefault="009211D0">
      <w:pPr>
        <w:spacing w:before="0" w:after="160" w:line="259" w:lineRule="auto"/>
        <w:ind w:firstLine="0"/>
        <w:contextualSpacing w:val="0"/>
        <w:jc w:val="left"/>
        <w:rPr>
          <w:b/>
          <w:i/>
        </w:rPr>
      </w:pPr>
      <w:bookmarkStart w:id="0" w:name="_Toc160284816"/>
      <w:r>
        <w:br w:type="page"/>
      </w:r>
    </w:p>
    <w:p w14:paraId="4EB3F218" w14:textId="75BC3EA9" w:rsidR="00B94F45" w:rsidRPr="00E57664" w:rsidRDefault="00B94F45" w:rsidP="004637AC">
      <w:pPr>
        <w:pStyle w:val="Heading1"/>
        <w:rPr>
          <w:rFonts w:asciiTheme="minorHAnsi" w:hAnsiTheme="minorHAnsi" w:cstheme="minorHAnsi"/>
        </w:rPr>
      </w:pPr>
      <w:r w:rsidRPr="00E57664">
        <w:rPr>
          <w:rFonts w:asciiTheme="minorHAnsi" w:hAnsiTheme="minorHAnsi" w:cstheme="minorHAnsi"/>
        </w:rPr>
        <w:lastRenderedPageBreak/>
        <w:t>Introduction</w:t>
      </w:r>
      <w:bookmarkEnd w:id="0"/>
    </w:p>
    <w:p w14:paraId="7ECC502F" w14:textId="6E01218C" w:rsidR="004D51BE" w:rsidRPr="00E57664" w:rsidRDefault="00DA1167" w:rsidP="004637AC">
      <w:pPr>
        <w:rPr>
          <w:rFonts w:asciiTheme="minorHAnsi" w:hAnsiTheme="minorHAnsi" w:cstheme="minorHAnsi"/>
        </w:rPr>
      </w:pPr>
      <w:r w:rsidRPr="00E57664">
        <w:rPr>
          <w:rFonts w:asciiTheme="minorHAnsi" w:hAnsiTheme="minorHAnsi" w:cstheme="minorHAnsi"/>
        </w:rPr>
        <w:t xml:space="preserve">Reciprocity is the foundation of contract law as well as contracts relationships themselves, that is the real heart of contractual agreements. The quid pro quo, in essence, is the act of giving a valuable thing </w:t>
      </w:r>
      <w:r w:rsidR="004D51BE" w:rsidRPr="00E57664">
        <w:rPr>
          <w:rFonts w:asciiTheme="minorHAnsi" w:hAnsiTheme="minorHAnsi" w:cstheme="minorHAnsi"/>
        </w:rPr>
        <w:t>to</w:t>
      </w:r>
      <w:r w:rsidRPr="00E57664">
        <w:rPr>
          <w:rFonts w:asciiTheme="minorHAnsi" w:hAnsiTheme="minorHAnsi" w:cstheme="minorHAnsi"/>
        </w:rPr>
        <w:t xml:space="preserve"> receive something back in return. This may be a service, a commodity, currency, or even a promise. Such exchange is the initial stage of establishing the agreements that are legally binding and outline the rights and obligations for each of those involved</w:t>
      </w:r>
      <w:r w:rsidR="004D51BE" w:rsidRPr="00E57664">
        <w:rPr>
          <w:rFonts w:asciiTheme="minorHAnsi" w:hAnsiTheme="minorHAnsi" w:cstheme="minorHAnsi"/>
        </w:rPr>
        <w:t xml:space="preserve"> </w:t>
      </w:r>
      <w:r w:rsidR="004D51BE" w:rsidRPr="00E57664">
        <w:rPr>
          <w:rFonts w:asciiTheme="minorHAnsi" w:hAnsiTheme="minorHAnsi" w:cstheme="minorHAnsi"/>
          <w:kern w:val="0"/>
          <w:shd w:val="clear" w:color="auto" w:fill="FFFFFF"/>
          <w14:ligatures w14:val="none"/>
        </w:rPr>
        <w:t>(Macaulay, 2020</w:t>
      </w:r>
      <w:r w:rsidR="004D51BE" w:rsidRPr="00E57664">
        <w:rPr>
          <w:rFonts w:asciiTheme="minorHAnsi" w:hAnsiTheme="minorHAnsi" w:cstheme="minorHAnsi"/>
          <w:kern w:val="0"/>
          <w14:ligatures w14:val="none"/>
        </w:rPr>
        <w:t>)</w:t>
      </w:r>
      <w:r w:rsidRPr="00E57664">
        <w:rPr>
          <w:rFonts w:asciiTheme="minorHAnsi" w:hAnsiTheme="minorHAnsi" w:cstheme="minorHAnsi"/>
        </w:rPr>
        <w:t xml:space="preserve">. In this write-up, the examination of the various meanings of the element of consideration in contract law is an imperative. </w:t>
      </w:r>
    </w:p>
    <w:p w14:paraId="2763138D" w14:textId="127357EF" w:rsidR="00DA1167" w:rsidRPr="00E57664" w:rsidRDefault="00DA1167" w:rsidP="004637AC">
      <w:pPr>
        <w:rPr>
          <w:rFonts w:asciiTheme="minorHAnsi" w:hAnsiTheme="minorHAnsi" w:cstheme="minorHAnsi"/>
        </w:rPr>
      </w:pPr>
      <w:r w:rsidRPr="00E57664">
        <w:rPr>
          <w:rFonts w:asciiTheme="minorHAnsi" w:hAnsiTheme="minorHAnsi" w:cstheme="minorHAnsi"/>
        </w:rPr>
        <w:t>A discussion on this subject can be achieved through the exploration of the relationship between consideration and other bedrock issues such as offer, acceptance, and intention to form a contract.</w:t>
      </w:r>
      <w:r w:rsidR="004D51BE" w:rsidRPr="00E57664">
        <w:rPr>
          <w:rFonts w:asciiTheme="minorHAnsi" w:hAnsiTheme="minorHAnsi" w:cstheme="minorHAnsi"/>
        </w:rPr>
        <w:t xml:space="preserve"> </w:t>
      </w:r>
      <w:r w:rsidRPr="00E57664">
        <w:rPr>
          <w:rFonts w:asciiTheme="minorHAnsi" w:hAnsiTheme="minorHAnsi" w:cstheme="minorHAnsi"/>
        </w:rPr>
        <w:t>Similarly, the assignment will be used to evaluate the basic idea of consideration and the different aspects it has and it affects</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proofErr w:type="spellStart"/>
      <w:r w:rsidR="004D51BE" w:rsidRPr="00E57664">
        <w:rPr>
          <w:rFonts w:asciiTheme="minorHAnsi" w:hAnsiTheme="minorHAnsi" w:cstheme="minorHAnsi"/>
          <w:kern w:val="0"/>
          <w:shd w:val="clear" w:color="auto" w:fill="FFFFFF"/>
          <w14:ligatures w14:val="none"/>
        </w:rPr>
        <w:t>Hanotiau</w:t>
      </w:r>
      <w:proofErr w:type="spellEnd"/>
      <w:r w:rsidR="004D51BE" w:rsidRPr="00E57664">
        <w:rPr>
          <w:rFonts w:asciiTheme="minorHAnsi" w:hAnsiTheme="minorHAnsi" w:cstheme="minorHAnsi"/>
          <w:kern w:val="0"/>
          <w:shd w:val="clear" w:color="auto" w:fill="FFFFFF"/>
          <w14:ligatures w14:val="none"/>
        </w:rPr>
        <w:t>, 2020</w:t>
      </w:r>
      <w:r w:rsidR="004D51BE" w:rsidRPr="00E57664">
        <w:rPr>
          <w:rFonts w:asciiTheme="minorHAnsi" w:hAnsiTheme="minorHAnsi" w:cstheme="minorHAnsi"/>
          <w:kern w:val="0"/>
          <w14:ligatures w14:val="none"/>
        </w:rPr>
        <w:t>)</w:t>
      </w:r>
      <w:r w:rsidRPr="00E57664">
        <w:rPr>
          <w:rFonts w:asciiTheme="minorHAnsi" w:hAnsiTheme="minorHAnsi" w:cstheme="minorHAnsi"/>
        </w:rPr>
        <w:t xml:space="preserve">. What makes consideration valid becomes an area of scrutiny with the acts of genuine consideration being differentiated from those short of meeting the legal standards. </w:t>
      </w:r>
    </w:p>
    <w:p w14:paraId="7ED896A1" w14:textId="5ADEB7AB" w:rsidR="00B94F45" w:rsidRPr="00E57664" w:rsidRDefault="00B94F45" w:rsidP="004637AC">
      <w:pPr>
        <w:pStyle w:val="Heading1"/>
        <w:rPr>
          <w:rFonts w:asciiTheme="minorHAnsi" w:hAnsiTheme="minorHAnsi" w:cstheme="minorHAnsi"/>
        </w:rPr>
      </w:pPr>
      <w:bookmarkStart w:id="1" w:name="_Toc160284817"/>
      <w:r w:rsidRPr="00E57664">
        <w:rPr>
          <w:rFonts w:asciiTheme="minorHAnsi" w:hAnsiTheme="minorHAnsi" w:cstheme="minorHAnsi"/>
        </w:rPr>
        <w:t>Formation of a Contract</w:t>
      </w:r>
      <w:bookmarkEnd w:id="1"/>
    </w:p>
    <w:p w14:paraId="03508082" w14:textId="2B9C1C10" w:rsidR="00DA1167" w:rsidRPr="00E57664" w:rsidRDefault="00DA1167" w:rsidP="004637AC">
      <w:pPr>
        <w:rPr>
          <w:rFonts w:asciiTheme="minorHAnsi" w:hAnsiTheme="minorHAnsi" w:cstheme="minorHAnsi"/>
        </w:rPr>
      </w:pPr>
      <w:r w:rsidRPr="00E57664">
        <w:rPr>
          <w:rFonts w:asciiTheme="minorHAnsi" w:hAnsiTheme="minorHAnsi" w:cstheme="minorHAnsi"/>
        </w:rPr>
        <w:t xml:space="preserve">The process of contract formation represents the central point that helps parties to establish the legitimacy of the agreement. </w:t>
      </w:r>
      <w:r w:rsidR="004D51BE" w:rsidRPr="00E57664">
        <w:rPr>
          <w:rFonts w:asciiTheme="minorHAnsi" w:hAnsiTheme="minorHAnsi" w:cstheme="minorHAnsi"/>
        </w:rPr>
        <w:t>First</w:t>
      </w:r>
      <w:r w:rsidRPr="00E57664">
        <w:rPr>
          <w:rFonts w:asciiTheme="minorHAnsi" w:hAnsiTheme="minorHAnsi" w:cstheme="minorHAnsi"/>
        </w:rPr>
        <w:t>, a contract is formed when there is an offer, an acceptance of the offer, the intention of forming a legal relationship, and the consideration of the exchange by the parties</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r w:rsidR="004D51BE" w:rsidRPr="00E57664">
        <w:rPr>
          <w:rFonts w:asciiTheme="minorHAnsi" w:hAnsiTheme="minorHAnsi" w:cstheme="minorHAnsi"/>
          <w:kern w:val="0"/>
          <w:shd w:val="clear" w:color="auto" w:fill="FFFFFF"/>
          <w14:ligatures w14:val="none"/>
        </w:rPr>
        <w:t>Robertson, 2020</w:t>
      </w:r>
      <w:r w:rsidR="004D51BE" w:rsidRPr="00E57664">
        <w:rPr>
          <w:rFonts w:asciiTheme="minorHAnsi" w:hAnsiTheme="minorHAnsi" w:cstheme="minorHAnsi"/>
          <w:kern w:val="0"/>
          <w14:ligatures w14:val="none"/>
        </w:rPr>
        <w:t>)</w:t>
      </w:r>
      <w:r w:rsidRPr="00E57664">
        <w:rPr>
          <w:rFonts w:asciiTheme="minorHAnsi" w:hAnsiTheme="minorHAnsi" w:cstheme="minorHAnsi"/>
        </w:rPr>
        <w:t xml:space="preserve">. These factors altogether build the stage where contractual rights and duties are considered and put into effect by the law. Reciprocity is the vital element which is included in the process of the formation of the contract under consideration. It </w:t>
      </w:r>
      <w:r w:rsidRPr="00E57664">
        <w:rPr>
          <w:rFonts w:asciiTheme="minorHAnsi" w:hAnsiTheme="minorHAnsi" w:cstheme="minorHAnsi"/>
        </w:rPr>
        <w:lastRenderedPageBreak/>
        <w:t xml:space="preserve">is a means of value exchange between the two parties, as a 'price' for an obligation made by them to each other. </w:t>
      </w:r>
    </w:p>
    <w:p w14:paraId="28B438FF" w14:textId="508BC21A" w:rsidR="00DA1167" w:rsidRPr="00E57664" w:rsidRDefault="00DA1167" w:rsidP="004637AC">
      <w:pPr>
        <w:rPr>
          <w:rFonts w:asciiTheme="minorHAnsi" w:hAnsiTheme="minorHAnsi" w:cstheme="minorHAnsi"/>
        </w:rPr>
      </w:pPr>
      <w:r w:rsidRPr="00E57664">
        <w:rPr>
          <w:rFonts w:asciiTheme="minorHAnsi" w:hAnsiTheme="minorHAnsi" w:cstheme="minorHAnsi"/>
        </w:rPr>
        <w:t xml:space="preserve">Apart from that, consideration is one of the central elements in the formation of contracts which is </w:t>
      </w:r>
      <w:r w:rsidR="004D51BE" w:rsidRPr="00E57664">
        <w:rPr>
          <w:rFonts w:asciiTheme="minorHAnsi" w:hAnsiTheme="minorHAnsi" w:cstheme="minorHAnsi"/>
        </w:rPr>
        <w:t>since</w:t>
      </w:r>
      <w:r w:rsidRPr="00E57664">
        <w:rPr>
          <w:rFonts w:asciiTheme="minorHAnsi" w:hAnsiTheme="minorHAnsi" w:cstheme="minorHAnsi"/>
        </w:rPr>
        <w:t xml:space="preserve"> it proves the existence of bargained-for exchange. </w:t>
      </w:r>
      <w:r w:rsidR="00E57664">
        <w:rPr>
          <w:rFonts w:asciiTheme="minorHAnsi" w:hAnsiTheme="minorHAnsi" w:cstheme="minorHAnsi"/>
        </w:rPr>
        <w:t>It</w:t>
      </w:r>
      <w:r w:rsidRPr="00E57664">
        <w:rPr>
          <w:rFonts w:asciiTheme="minorHAnsi" w:hAnsiTheme="minorHAnsi" w:cstheme="minorHAnsi"/>
        </w:rPr>
        <w:t xml:space="preserve"> means that both sides have an obligation resulting from the fact that they voluntarily assumed and benefit from one another in exchange for something of value</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r w:rsidR="004D51BE" w:rsidRPr="00E57664">
        <w:rPr>
          <w:rFonts w:asciiTheme="minorHAnsi" w:hAnsiTheme="minorHAnsi" w:cstheme="minorHAnsi"/>
          <w:kern w:val="0"/>
          <w:shd w:val="clear" w:color="auto" w:fill="FFFFFF"/>
          <w14:ligatures w14:val="none"/>
        </w:rPr>
        <w:t>Shojaei et al., 2020</w:t>
      </w:r>
      <w:r w:rsidR="004D51BE" w:rsidRPr="00E57664">
        <w:rPr>
          <w:rFonts w:asciiTheme="minorHAnsi" w:hAnsiTheme="minorHAnsi" w:cstheme="minorHAnsi"/>
          <w:kern w:val="0"/>
          <w14:ligatures w14:val="none"/>
        </w:rPr>
        <w:t>)</w:t>
      </w:r>
      <w:r w:rsidRPr="00E57664">
        <w:rPr>
          <w:rFonts w:asciiTheme="minorHAnsi" w:hAnsiTheme="minorHAnsi" w:cstheme="minorHAnsi"/>
        </w:rPr>
        <w:t xml:space="preserve">. The fact that these reciprocities of promises or performances is what establishes the contractual relationships promotes the notion of fairness and legitimacy with the parties’ rights and duties. </w:t>
      </w:r>
    </w:p>
    <w:p w14:paraId="228FE24A" w14:textId="7E12AAA4" w:rsidR="00B94F45" w:rsidRPr="00E57664" w:rsidRDefault="00B94F45" w:rsidP="004637AC">
      <w:pPr>
        <w:pStyle w:val="Heading1"/>
        <w:rPr>
          <w:rFonts w:asciiTheme="minorHAnsi" w:hAnsiTheme="minorHAnsi" w:cstheme="minorHAnsi"/>
        </w:rPr>
      </w:pPr>
      <w:bookmarkStart w:id="2" w:name="_Toc160284818"/>
      <w:r w:rsidRPr="00E57664">
        <w:rPr>
          <w:rFonts w:asciiTheme="minorHAnsi" w:hAnsiTheme="minorHAnsi" w:cstheme="minorHAnsi"/>
        </w:rPr>
        <w:t>What is Consideration?</w:t>
      </w:r>
      <w:bookmarkEnd w:id="2"/>
    </w:p>
    <w:p w14:paraId="012DF3B1" w14:textId="418CAA0E" w:rsidR="00DA1167" w:rsidRPr="00E57664" w:rsidRDefault="00DA1167" w:rsidP="004637AC">
      <w:pPr>
        <w:rPr>
          <w:rFonts w:asciiTheme="minorHAnsi" w:hAnsiTheme="minorHAnsi" w:cstheme="minorHAnsi"/>
        </w:rPr>
      </w:pPr>
      <w:r w:rsidRPr="00E57664">
        <w:rPr>
          <w:rFonts w:asciiTheme="minorHAnsi" w:hAnsiTheme="minorHAnsi" w:cstheme="minorHAnsi"/>
        </w:rPr>
        <w:t>The principle of consideration, in contract law, is one of the basic elements that builds the foundation for agreements between parties to be enforceable. It means any consideration, of value, that is passed amongst the parties to the contract as part of the bargain</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r w:rsidR="004D51BE" w:rsidRPr="00E57664">
        <w:rPr>
          <w:rFonts w:asciiTheme="minorHAnsi" w:hAnsiTheme="minorHAnsi" w:cstheme="minorHAnsi"/>
          <w:kern w:val="0"/>
          <w:shd w:val="clear" w:color="auto" w:fill="FFFFFF"/>
          <w14:ligatures w14:val="none"/>
        </w:rPr>
        <w:t>Hendrycks et al., 2021</w:t>
      </w:r>
      <w:r w:rsidR="004D51BE" w:rsidRPr="00E57664">
        <w:rPr>
          <w:rFonts w:asciiTheme="minorHAnsi" w:hAnsiTheme="minorHAnsi" w:cstheme="minorHAnsi"/>
          <w:kern w:val="0"/>
          <w14:ligatures w14:val="none"/>
        </w:rPr>
        <w:t>)</w:t>
      </w:r>
      <w:r w:rsidRPr="00E57664">
        <w:rPr>
          <w:rFonts w:asciiTheme="minorHAnsi" w:hAnsiTheme="minorHAnsi" w:cstheme="minorHAnsi"/>
        </w:rPr>
        <w:t>. It can be reali</w:t>
      </w:r>
      <w:r w:rsidR="000317D9" w:rsidRPr="00E57664">
        <w:rPr>
          <w:rFonts w:asciiTheme="minorHAnsi" w:hAnsiTheme="minorHAnsi" w:cstheme="minorHAnsi"/>
        </w:rPr>
        <w:t>s</w:t>
      </w:r>
      <w:r w:rsidRPr="00E57664">
        <w:rPr>
          <w:rFonts w:asciiTheme="minorHAnsi" w:hAnsiTheme="minorHAnsi" w:cstheme="minorHAnsi"/>
        </w:rPr>
        <w:t xml:space="preserve">ed in many ways, such as money, goods, services, promises, and failure to take any legal action. Consideration is the inducement or motive which draws each party to the contract and is the only factor </w:t>
      </w:r>
      <w:r w:rsidR="00E57664">
        <w:rPr>
          <w:rFonts w:asciiTheme="minorHAnsi" w:hAnsiTheme="minorHAnsi" w:cstheme="minorHAnsi"/>
        </w:rPr>
        <w:t>that</w:t>
      </w:r>
      <w:r w:rsidRPr="00E57664">
        <w:rPr>
          <w:rFonts w:asciiTheme="minorHAnsi" w:hAnsiTheme="minorHAnsi" w:cstheme="minorHAnsi"/>
        </w:rPr>
        <w:t xml:space="preserve"> makes a contract binding in a court of law.</w:t>
      </w:r>
    </w:p>
    <w:p w14:paraId="5AEA8E1D" w14:textId="0816C66E" w:rsidR="00DA1167" w:rsidRPr="00E57664" w:rsidRDefault="00DA1167" w:rsidP="004637AC">
      <w:pPr>
        <w:rPr>
          <w:rFonts w:asciiTheme="minorHAnsi" w:hAnsiTheme="minorHAnsi" w:cstheme="minorHAnsi"/>
        </w:rPr>
      </w:pPr>
      <w:r w:rsidRPr="00E57664">
        <w:rPr>
          <w:rFonts w:asciiTheme="minorHAnsi" w:hAnsiTheme="minorHAnsi" w:cstheme="minorHAnsi"/>
        </w:rPr>
        <w:t xml:space="preserve">In contract law, consideration regulates the obligation's mutuality between the parties. It means that each party gives something valuable into the </w:t>
      </w:r>
      <w:r w:rsidR="004D51BE" w:rsidRPr="00E57664">
        <w:rPr>
          <w:rFonts w:asciiTheme="minorHAnsi" w:hAnsiTheme="minorHAnsi" w:cstheme="minorHAnsi"/>
        </w:rPr>
        <w:t>fulfilment</w:t>
      </w:r>
      <w:r w:rsidRPr="00E57664">
        <w:rPr>
          <w:rFonts w:asciiTheme="minorHAnsi" w:hAnsiTheme="minorHAnsi" w:cstheme="minorHAnsi"/>
        </w:rPr>
        <w:t xml:space="preserve"> of the promises or performances of the other party. Unreflectingly, a contract may be considered as gratuitous or it might lack the required elements to create legal obligations</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proofErr w:type="spellStart"/>
      <w:r w:rsidR="004D51BE" w:rsidRPr="00E57664">
        <w:rPr>
          <w:rFonts w:asciiTheme="minorHAnsi" w:hAnsiTheme="minorHAnsi" w:cstheme="minorHAnsi"/>
          <w:kern w:val="0"/>
          <w:shd w:val="clear" w:color="auto" w:fill="FFFFFF"/>
          <w14:ligatures w14:val="none"/>
        </w:rPr>
        <w:t>Iasechko</w:t>
      </w:r>
      <w:proofErr w:type="spellEnd"/>
      <w:r w:rsidR="004D51BE" w:rsidRPr="00E57664">
        <w:rPr>
          <w:rFonts w:asciiTheme="minorHAnsi" w:hAnsiTheme="minorHAnsi" w:cstheme="minorHAnsi"/>
          <w:kern w:val="0"/>
          <w:shd w:val="clear" w:color="auto" w:fill="FFFFFF"/>
          <w14:ligatures w14:val="none"/>
        </w:rPr>
        <w:t xml:space="preserve"> et al., 2020</w:t>
      </w:r>
      <w:r w:rsidR="004D51BE" w:rsidRPr="00E57664">
        <w:rPr>
          <w:rFonts w:asciiTheme="minorHAnsi" w:hAnsiTheme="minorHAnsi" w:cstheme="minorHAnsi"/>
          <w:kern w:val="0"/>
          <w14:ligatures w14:val="none"/>
        </w:rPr>
        <w:t>)</w:t>
      </w:r>
      <w:r w:rsidRPr="00E57664">
        <w:rPr>
          <w:rFonts w:asciiTheme="minorHAnsi" w:hAnsiTheme="minorHAnsi" w:cstheme="minorHAnsi"/>
        </w:rPr>
        <w:t xml:space="preserve">. Eligibility of the consideration is subject to certain conditions. Firstly, it needs to be sufficient, which means that there is some discernible value in the eyes of the law for it. This condition is to make sure that such exchange is not an empty or nominal gesture without essence. </w:t>
      </w:r>
    </w:p>
    <w:p w14:paraId="1CEE39AD" w14:textId="3A23BD02" w:rsidR="00DA1167" w:rsidRPr="00E57664" w:rsidRDefault="00DA1167" w:rsidP="004637AC">
      <w:pPr>
        <w:rPr>
          <w:rFonts w:asciiTheme="minorHAnsi" w:hAnsiTheme="minorHAnsi" w:cstheme="minorHAnsi"/>
        </w:rPr>
      </w:pPr>
      <w:r w:rsidRPr="00E57664">
        <w:rPr>
          <w:rFonts w:asciiTheme="minorHAnsi" w:hAnsiTheme="minorHAnsi" w:cstheme="minorHAnsi"/>
        </w:rPr>
        <w:lastRenderedPageBreak/>
        <w:t xml:space="preserve">Moreover, thoughtfulness and execution should be taken into consideration. The former is about the promises or acts that were done or made before a contract was formed, and thus lacks the necessary reciprocity. The performed consideration, on the other hand, pertains to acts or promises that have already been completely executed or fulfilled at the time contract is made, therefore, it fails to provide the necessary incentive to the other party to </w:t>
      </w:r>
      <w:r w:rsidR="004D51BE" w:rsidRPr="00E57664">
        <w:rPr>
          <w:rFonts w:asciiTheme="minorHAnsi" w:hAnsiTheme="minorHAnsi" w:cstheme="minorHAnsi"/>
        </w:rPr>
        <w:t>enter</w:t>
      </w:r>
      <w:r w:rsidRPr="00E57664">
        <w:rPr>
          <w:rFonts w:asciiTheme="minorHAnsi" w:hAnsiTheme="minorHAnsi" w:cstheme="minorHAnsi"/>
        </w:rPr>
        <w:t xml:space="preserve"> the contract. Besides, consideration could be classified as either valuable or not</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r w:rsidR="004D51BE" w:rsidRPr="00E57664">
        <w:rPr>
          <w:rFonts w:asciiTheme="minorHAnsi" w:hAnsiTheme="minorHAnsi" w:cstheme="minorHAnsi"/>
          <w:kern w:val="0"/>
          <w:shd w:val="clear" w:color="auto" w:fill="FFFFFF"/>
          <w14:ligatures w14:val="none"/>
        </w:rPr>
        <w:t>Allen et al., 2020</w:t>
      </w:r>
      <w:r w:rsidR="004D51BE" w:rsidRPr="00E57664">
        <w:rPr>
          <w:rFonts w:asciiTheme="minorHAnsi" w:hAnsiTheme="minorHAnsi" w:cstheme="minorHAnsi"/>
          <w:kern w:val="0"/>
          <w14:ligatures w14:val="none"/>
        </w:rPr>
        <w:t>)</w:t>
      </w:r>
      <w:r w:rsidRPr="00E57664">
        <w:rPr>
          <w:rFonts w:asciiTheme="minorHAnsi" w:hAnsiTheme="minorHAnsi" w:cstheme="minorHAnsi"/>
        </w:rPr>
        <w:t xml:space="preserve">. </w:t>
      </w:r>
    </w:p>
    <w:p w14:paraId="00B71C64" w14:textId="6D8696AA" w:rsidR="00B94F45" w:rsidRPr="00E57664" w:rsidRDefault="00B94F45" w:rsidP="004637AC">
      <w:pPr>
        <w:pStyle w:val="Heading1"/>
        <w:rPr>
          <w:rFonts w:asciiTheme="minorHAnsi" w:hAnsiTheme="minorHAnsi" w:cstheme="minorHAnsi"/>
        </w:rPr>
      </w:pPr>
      <w:bookmarkStart w:id="3" w:name="_Toc160284819"/>
      <w:r w:rsidRPr="00E57664">
        <w:rPr>
          <w:rFonts w:asciiTheme="minorHAnsi" w:hAnsiTheme="minorHAnsi" w:cstheme="minorHAnsi"/>
        </w:rPr>
        <w:t>Types of Consideration</w:t>
      </w:r>
      <w:bookmarkEnd w:id="3"/>
    </w:p>
    <w:p w14:paraId="3DA5BC99" w14:textId="53AD4B04" w:rsidR="00DA1167" w:rsidRPr="00E57664" w:rsidRDefault="00DA1167" w:rsidP="004637AC">
      <w:pPr>
        <w:rPr>
          <w:rFonts w:asciiTheme="minorHAnsi" w:hAnsiTheme="minorHAnsi" w:cstheme="minorHAnsi"/>
        </w:rPr>
      </w:pPr>
      <w:r w:rsidRPr="00E57664">
        <w:rPr>
          <w:rFonts w:asciiTheme="minorHAnsi" w:hAnsiTheme="minorHAnsi" w:cstheme="minorHAnsi"/>
        </w:rPr>
        <w:t xml:space="preserve">For contract law, the concept of consideration has different forms describing the different stages or the aspects of the contractual exchange. Three most significant types of consideration usually covered in this topic are executory consideration, executed consideration, and past consideration, each having its own </w:t>
      </w:r>
      <w:r w:rsidR="004D51BE" w:rsidRPr="00E57664">
        <w:rPr>
          <w:rFonts w:asciiTheme="minorHAnsi" w:hAnsiTheme="minorHAnsi" w:cstheme="minorHAnsi"/>
        </w:rPr>
        <w:t>meaning</w:t>
      </w:r>
      <w:r w:rsidRPr="00E57664">
        <w:rPr>
          <w:rFonts w:asciiTheme="minorHAnsi" w:hAnsiTheme="minorHAnsi" w:cstheme="minorHAnsi"/>
        </w:rPr>
        <w:t xml:space="preserve"> in the contractual relations. The clause of executory consideration involves an aspect of the contract that is still to be fulfilled or completed when the contract is signed</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proofErr w:type="spellStart"/>
      <w:r w:rsidR="004D51BE" w:rsidRPr="00E57664">
        <w:rPr>
          <w:rFonts w:asciiTheme="minorHAnsi" w:hAnsiTheme="minorHAnsi" w:cstheme="minorHAnsi"/>
          <w:kern w:val="0"/>
          <w:shd w:val="clear" w:color="auto" w:fill="FFFFFF"/>
          <w14:ligatures w14:val="none"/>
        </w:rPr>
        <w:t>Apostolaros</w:t>
      </w:r>
      <w:proofErr w:type="spellEnd"/>
      <w:r w:rsidR="004D51BE" w:rsidRPr="00E57664">
        <w:rPr>
          <w:rFonts w:asciiTheme="minorHAnsi" w:hAnsiTheme="minorHAnsi" w:cstheme="minorHAnsi"/>
          <w:kern w:val="0"/>
          <w:shd w:val="clear" w:color="auto" w:fill="FFFFFF"/>
          <w14:ligatures w14:val="none"/>
        </w:rPr>
        <w:t xml:space="preserve"> et al., 2020</w:t>
      </w:r>
      <w:r w:rsidR="004D51BE" w:rsidRPr="00E57664">
        <w:rPr>
          <w:rFonts w:asciiTheme="minorHAnsi" w:hAnsiTheme="minorHAnsi" w:cstheme="minorHAnsi"/>
          <w:kern w:val="0"/>
          <w14:ligatures w14:val="none"/>
        </w:rPr>
        <w:t>)</w:t>
      </w:r>
      <w:r w:rsidRPr="00E57664">
        <w:rPr>
          <w:rFonts w:asciiTheme="minorHAnsi" w:hAnsiTheme="minorHAnsi" w:cstheme="minorHAnsi"/>
        </w:rPr>
        <w:t>. An example is the sale of goods contract where the buyer promises to pay the purchase price and the seller promises to deliver the goods. These promises are executory consideration until the parties have fulfilled their obligations.</w:t>
      </w:r>
    </w:p>
    <w:p w14:paraId="186DFCA1" w14:textId="4E815BD8" w:rsidR="000317D9" w:rsidRPr="00E57664" w:rsidRDefault="00DA1167" w:rsidP="004637AC">
      <w:pPr>
        <w:rPr>
          <w:rFonts w:asciiTheme="minorHAnsi" w:hAnsiTheme="minorHAnsi" w:cstheme="minorHAnsi"/>
        </w:rPr>
      </w:pPr>
      <w:r w:rsidRPr="00E57664">
        <w:rPr>
          <w:rFonts w:asciiTheme="minorHAnsi" w:hAnsiTheme="minorHAnsi" w:cstheme="minorHAnsi"/>
        </w:rPr>
        <w:t>On the contrary, there is also executed consideration, which is a type of consideration that is already carried out or performed at the time the contract is made. While in these matters, one party has performed their duty before the contract is even made, and the consideration has already been provided</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r w:rsidR="004D51BE" w:rsidRPr="00E57664">
        <w:rPr>
          <w:rFonts w:asciiTheme="minorHAnsi" w:hAnsiTheme="minorHAnsi" w:cstheme="minorHAnsi"/>
          <w:kern w:val="0"/>
          <w:shd w:val="clear" w:color="auto" w:fill="FFFFFF"/>
          <w14:ligatures w14:val="none"/>
        </w:rPr>
        <w:t>O'Sullivan, 2020</w:t>
      </w:r>
      <w:r w:rsidR="004D51BE" w:rsidRPr="00E57664">
        <w:rPr>
          <w:rFonts w:asciiTheme="minorHAnsi" w:hAnsiTheme="minorHAnsi" w:cstheme="minorHAnsi"/>
          <w:kern w:val="0"/>
          <w14:ligatures w14:val="none"/>
        </w:rPr>
        <w:t>)</w:t>
      </w:r>
      <w:r w:rsidRPr="00E57664">
        <w:rPr>
          <w:rFonts w:asciiTheme="minorHAnsi" w:hAnsiTheme="minorHAnsi" w:cstheme="minorHAnsi"/>
        </w:rPr>
        <w:t>. Implementation of performed consideration approach could be by a contract, in which a service has been already done, for instance, a completed construction project, for the payment. The other scenario is the past consideration, which is a bit complex as the consideration is a promise made or action performed before the contract.</w:t>
      </w:r>
    </w:p>
    <w:p w14:paraId="4284FBC6" w14:textId="017FA1C7" w:rsidR="00DA1167" w:rsidRPr="00E57664" w:rsidRDefault="00DA1167" w:rsidP="004637AC">
      <w:pPr>
        <w:rPr>
          <w:rFonts w:asciiTheme="minorHAnsi" w:hAnsiTheme="minorHAnsi" w:cstheme="minorHAnsi"/>
        </w:rPr>
      </w:pPr>
      <w:r w:rsidRPr="00E57664">
        <w:rPr>
          <w:rFonts w:asciiTheme="minorHAnsi" w:hAnsiTheme="minorHAnsi" w:cstheme="minorHAnsi"/>
        </w:rPr>
        <w:lastRenderedPageBreak/>
        <w:t>Generally, past consideration is not an acceptable consideration as it does not have a mandatory bargained-for exchange element required for contractual enforceability. Yet, there are exceptional cases, which involve a previous consideration where the promisor was asked to provide it and did so only under the impression that he will be reimbursed</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r w:rsidR="004D51BE" w:rsidRPr="00E57664">
        <w:rPr>
          <w:rFonts w:asciiTheme="minorHAnsi" w:hAnsiTheme="minorHAnsi" w:cstheme="minorHAnsi"/>
          <w:kern w:val="0"/>
          <w:shd w:val="clear" w:color="auto" w:fill="FFFFFF"/>
          <w14:ligatures w14:val="none"/>
        </w:rPr>
        <w:t xml:space="preserve">McNamara and </w:t>
      </w:r>
      <w:proofErr w:type="spellStart"/>
      <w:r w:rsidR="004D51BE" w:rsidRPr="00E57664">
        <w:rPr>
          <w:rFonts w:asciiTheme="minorHAnsi" w:hAnsiTheme="minorHAnsi" w:cstheme="minorHAnsi"/>
          <w:kern w:val="0"/>
          <w:shd w:val="clear" w:color="auto" w:fill="FFFFFF"/>
          <w14:ligatures w14:val="none"/>
        </w:rPr>
        <w:t>Sepasgozar</w:t>
      </w:r>
      <w:proofErr w:type="spellEnd"/>
      <w:r w:rsidR="004D51BE" w:rsidRPr="00E57664">
        <w:rPr>
          <w:rFonts w:asciiTheme="minorHAnsi" w:hAnsiTheme="minorHAnsi" w:cstheme="minorHAnsi"/>
          <w:kern w:val="0"/>
          <w:shd w:val="clear" w:color="auto" w:fill="FFFFFF"/>
          <w14:ligatures w14:val="none"/>
        </w:rPr>
        <w:t>, 2021</w:t>
      </w:r>
      <w:r w:rsidR="004D51BE" w:rsidRPr="00E57664">
        <w:rPr>
          <w:rFonts w:asciiTheme="minorHAnsi" w:hAnsiTheme="minorHAnsi" w:cstheme="minorHAnsi"/>
          <w:kern w:val="0"/>
          <w14:ligatures w14:val="none"/>
        </w:rPr>
        <w:t>)</w:t>
      </w:r>
      <w:r w:rsidRPr="00E57664">
        <w:rPr>
          <w:rFonts w:asciiTheme="minorHAnsi" w:hAnsiTheme="minorHAnsi" w:cstheme="minorHAnsi"/>
        </w:rPr>
        <w:t xml:space="preserve">. As an example, if a homeowner offers an agreement to pay their </w:t>
      </w:r>
      <w:r w:rsidR="004D51BE" w:rsidRPr="00E57664">
        <w:rPr>
          <w:rFonts w:asciiTheme="minorHAnsi" w:hAnsiTheme="minorHAnsi" w:cstheme="minorHAnsi"/>
        </w:rPr>
        <w:t>neighbour</w:t>
      </w:r>
      <w:r w:rsidRPr="00E57664">
        <w:rPr>
          <w:rFonts w:asciiTheme="minorHAnsi" w:hAnsiTheme="minorHAnsi" w:cstheme="minorHAnsi"/>
        </w:rPr>
        <w:t xml:space="preserve"> for repair of a fence built in the past, and the </w:t>
      </w:r>
      <w:r w:rsidR="004D51BE" w:rsidRPr="00E57664">
        <w:rPr>
          <w:rFonts w:asciiTheme="minorHAnsi" w:hAnsiTheme="minorHAnsi" w:cstheme="minorHAnsi"/>
        </w:rPr>
        <w:t>neighbour</w:t>
      </w:r>
      <w:r w:rsidRPr="00E57664">
        <w:rPr>
          <w:rFonts w:asciiTheme="minorHAnsi" w:hAnsiTheme="minorHAnsi" w:cstheme="minorHAnsi"/>
        </w:rPr>
        <w:t xml:space="preserve"> has accepted the offer conceiving that he would be paid for the repair, then past consideration may be recogni</w:t>
      </w:r>
      <w:r w:rsidR="000317D9" w:rsidRPr="00E57664">
        <w:rPr>
          <w:rFonts w:asciiTheme="minorHAnsi" w:hAnsiTheme="minorHAnsi" w:cstheme="minorHAnsi"/>
        </w:rPr>
        <w:t>s</w:t>
      </w:r>
      <w:r w:rsidRPr="00E57664">
        <w:rPr>
          <w:rFonts w:asciiTheme="minorHAnsi" w:hAnsiTheme="minorHAnsi" w:cstheme="minorHAnsi"/>
        </w:rPr>
        <w:t>ed as valid.</w:t>
      </w:r>
    </w:p>
    <w:p w14:paraId="116B4F1B" w14:textId="59058051" w:rsidR="00B94F45" w:rsidRPr="00E57664" w:rsidRDefault="00B94F45" w:rsidP="004637AC">
      <w:pPr>
        <w:pStyle w:val="Heading1"/>
        <w:rPr>
          <w:rFonts w:asciiTheme="minorHAnsi" w:hAnsiTheme="minorHAnsi" w:cstheme="minorHAnsi"/>
        </w:rPr>
      </w:pPr>
      <w:bookmarkStart w:id="4" w:name="_Toc160284820"/>
      <w:r w:rsidRPr="00E57664">
        <w:rPr>
          <w:rFonts w:asciiTheme="minorHAnsi" w:hAnsiTheme="minorHAnsi" w:cstheme="minorHAnsi"/>
        </w:rPr>
        <w:t>When Consideration is Valid</w:t>
      </w:r>
      <w:bookmarkEnd w:id="4"/>
    </w:p>
    <w:p w14:paraId="37DE1D5A" w14:textId="25F58B9C" w:rsidR="000D265F" w:rsidRPr="00E57664" w:rsidRDefault="000D265F" w:rsidP="004637AC">
      <w:pPr>
        <w:rPr>
          <w:rFonts w:asciiTheme="minorHAnsi" w:hAnsiTheme="minorHAnsi" w:cstheme="minorHAnsi"/>
        </w:rPr>
      </w:pPr>
      <w:r w:rsidRPr="00E57664">
        <w:rPr>
          <w:rFonts w:asciiTheme="minorHAnsi" w:hAnsiTheme="minorHAnsi" w:cstheme="minorHAnsi"/>
        </w:rPr>
        <w:t xml:space="preserve">In a contract law, it is the thought which is accepted as the valid consideration that the parties </w:t>
      </w:r>
      <w:r w:rsidR="004D51BE" w:rsidRPr="00E57664">
        <w:rPr>
          <w:rFonts w:asciiTheme="minorHAnsi" w:hAnsiTheme="minorHAnsi" w:cstheme="minorHAnsi"/>
        </w:rPr>
        <w:t>must</w:t>
      </w:r>
      <w:r w:rsidRPr="00E57664">
        <w:rPr>
          <w:rFonts w:asciiTheme="minorHAnsi" w:hAnsiTheme="minorHAnsi" w:cstheme="minorHAnsi"/>
        </w:rPr>
        <w:t xml:space="preserve"> satisfy some requirements </w:t>
      </w:r>
      <w:r w:rsidR="004D51BE" w:rsidRPr="00E57664">
        <w:rPr>
          <w:rFonts w:asciiTheme="minorHAnsi" w:hAnsiTheme="minorHAnsi" w:cstheme="minorHAnsi"/>
        </w:rPr>
        <w:t>to</w:t>
      </w:r>
      <w:r w:rsidRPr="00E57664">
        <w:rPr>
          <w:rFonts w:asciiTheme="minorHAnsi" w:hAnsiTheme="minorHAnsi" w:cstheme="minorHAnsi"/>
        </w:rPr>
        <w:t xml:space="preserve"> confirm the agreement. First and foremost, it is an important step to determine whether the amount involved is "sufficient," which is the amount that is noticeable to the eyes of law</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r w:rsidR="004D51BE" w:rsidRPr="00E57664">
        <w:rPr>
          <w:rFonts w:asciiTheme="minorHAnsi" w:hAnsiTheme="minorHAnsi" w:cstheme="minorHAnsi"/>
          <w:kern w:val="0"/>
          <w:shd w:val="clear" w:color="auto" w:fill="FFFFFF"/>
          <w14:ligatures w14:val="none"/>
        </w:rPr>
        <w:t>Knapp et al., 2023</w:t>
      </w:r>
      <w:r w:rsidR="004D51BE" w:rsidRPr="00E57664">
        <w:rPr>
          <w:rFonts w:asciiTheme="minorHAnsi" w:hAnsiTheme="minorHAnsi" w:cstheme="minorHAnsi"/>
          <w:kern w:val="0"/>
          <w14:ligatures w14:val="none"/>
        </w:rPr>
        <w:t>)</w:t>
      </w:r>
      <w:r w:rsidRPr="00E57664">
        <w:rPr>
          <w:rFonts w:asciiTheme="minorHAnsi" w:hAnsiTheme="minorHAnsi" w:cstheme="minorHAnsi"/>
        </w:rPr>
        <w:t>. This notion is aimed at preventing such engagement from taking place if it does not have a substance or it is only based on the verbal commitments. Another instance is the pledge that one gives a small amount of money, perhaps as little as one dollar, which may look like nothing as it does not carry any value</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r w:rsidR="004D51BE" w:rsidRPr="00E57664">
        <w:rPr>
          <w:rFonts w:asciiTheme="minorHAnsi" w:hAnsiTheme="minorHAnsi" w:cstheme="minorHAnsi"/>
          <w:kern w:val="0"/>
          <w:shd w:val="clear" w:color="auto" w:fill="FFFFFF"/>
          <w14:ligatures w14:val="none"/>
        </w:rPr>
        <w:t>Markovits, 2020</w:t>
      </w:r>
      <w:r w:rsidR="004D51BE" w:rsidRPr="00E57664">
        <w:rPr>
          <w:rFonts w:asciiTheme="minorHAnsi" w:hAnsiTheme="minorHAnsi" w:cstheme="minorHAnsi"/>
          <w:kern w:val="0"/>
          <w14:ligatures w14:val="none"/>
        </w:rPr>
        <w:t>)</w:t>
      </w:r>
      <w:r w:rsidRPr="00E57664">
        <w:rPr>
          <w:rFonts w:asciiTheme="minorHAnsi" w:hAnsiTheme="minorHAnsi" w:cstheme="minorHAnsi"/>
        </w:rPr>
        <w:t xml:space="preserve">. </w:t>
      </w:r>
    </w:p>
    <w:p w14:paraId="12F92789" w14:textId="3064CC12" w:rsidR="000D265F" w:rsidRPr="00E57664" w:rsidRDefault="000D265F" w:rsidP="004637AC">
      <w:pPr>
        <w:rPr>
          <w:rFonts w:asciiTheme="minorHAnsi" w:hAnsiTheme="minorHAnsi" w:cstheme="minorHAnsi"/>
        </w:rPr>
      </w:pPr>
      <w:r w:rsidRPr="00E57664">
        <w:rPr>
          <w:rFonts w:asciiTheme="minorHAnsi" w:hAnsiTheme="minorHAnsi" w:cstheme="minorHAnsi"/>
        </w:rPr>
        <w:t>Moreover, it is necessary to place no emphasis on the past or the future. Past consideration is the performance of an act or making of a promise before the contract formation and due to which the element of mutuality is missing. Moreover, executed consideration highlights actions or promises that have been already fully carried out or satisfied by the time of the signing of the contract hence not giving enough reason why the other party should have entered into the agreement</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r w:rsidR="004D51BE" w:rsidRPr="00E57664">
        <w:rPr>
          <w:rFonts w:asciiTheme="minorHAnsi" w:hAnsiTheme="minorHAnsi" w:cstheme="minorHAnsi"/>
          <w:kern w:val="0"/>
          <w:shd w:val="clear" w:color="auto" w:fill="FFFFFF"/>
          <w14:ligatures w14:val="none"/>
        </w:rPr>
        <w:t>Stone and Devenney, 2022</w:t>
      </w:r>
      <w:r w:rsidR="004D51BE" w:rsidRPr="00E57664">
        <w:rPr>
          <w:rFonts w:asciiTheme="minorHAnsi" w:hAnsiTheme="minorHAnsi" w:cstheme="minorHAnsi"/>
          <w:kern w:val="0"/>
          <w14:ligatures w14:val="none"/>
        </w:rPr>
        <w:t>)</w:t>
      </w:r>
      <w:r w:rsidRPr="00E57664">
        <w:rPr>
          <w:rFonts w:asciiTheme="minorHAnsi" w:hAnsiTheme="minorHAnsi" w:cstheme="minorHAnsi"/>
        </w:rPr>
        <w:t xml:space="preserve">. Cases where consent may be declared invalid encompass instances of sham promises, which are promises that are not accompanied by </w:t>
      </w:r>
      <w:r w:rsidRPr="00E57664">
        <w:rPr>
          <w:rFonts w:asciiTheme="minorHAnsi" w:hAnsiTheme="minorHAnsi" w:cstheme="minorHAnsi"/>
        </w:rPr>
        <w:lastRenderedPageBreak/>
        <w:t>any actual commitment or value, as well as instances where there is no actual intention to create legal relations. For example, agreements made in jest or social arrangements connected merely with the lack of serious intention may lack valid consideration</w:t>
      </w:r>
      <w:r w:rsidR="004D51BE" w:rsidRPr="00E57664">
        <w:rPr>
          <w:rFonts w:asciiTheme="minorHAnsi" w:hAnsiTheme="minorHAnsi" w:cstheme="minorHAnsi"/>
        </w:rPr>
        <w:t xml:space="preserve"> </w:t>
      </w:r>
      <w:r w:rsidR="004D51BE" w:rsidRPr="00E57664">
        <w:rPr>
          <w:rFonts w:asciiTheme="minorHAnsi" w:hAnsiTheme="minorHAnsi" w:cstheme="minorHAnsi"/>
          <w:kern w:val="0"/>
          <w:shd w:val="clear" w:color="auto" w:fill="FFFFFF"/>
          <w14:ligatures w14:val="none"/>
        </w:rPr>
        <w:t>(Macaulay, 2020</w:t>
      </w:r>
      <w:r w:rsidR="004D51BE" w:rsidRPr="00E57664">
        <w:rPr>
          <w:rFonts w:asciiTheme="minorHAnsi" w:hAnsiTheme="minorHAnsi" w:cstheme="minorHAnsi"/>
          <w:kern w:val="0"/>
          <w14:ligatures w14:val="none"/>
        </w:rPr>
        <w:t>)</w:t>
      </w:r>
      <w:r w:rsidRPr="00E57664">
        <w:rPr>
          <w:rFonts w:asciiTheme="minorHAnsi" w:hAnsiTheme="minorHAnsi" w:cstheme="minorHAnsi"/>
        </w:rPr>
        <w:t xml:space="preserve">. </w:t>
      </w:r>
    </w:p>
    <w:p w14:paraId="2AA0CFD7" w14:textId="04CDB905" w:rsidR="00B94F45" w:rsidRPr="00E57664" w:rsidRDefault="00B94F45" w:rsidP="004637AC">
      <w:pPr>
        <w:pStyle w:val="Heading1"/>
        <w:rPr>
          <w:rFonts w:asciiTheme="minorHAnsi" w:hAnsiTheme="minorHAnsi" w:cstheme="minorHAnsi"/>
        </w:rPr>
      </w:pPr>
      <w:bookmarkStart w:id="5" w:name="_Toc160284821"/>
      <w:r w:rsidRPr="00E57664">
        <w:rPr>
          <w:rFonts w:asciiTheme="minorHAnsi" w:hAnsiTheme="minorHAnsi" w:cstheme="minorHAnsi"/>
        </w:rPr>
        <w:t>Issues with Consideration</w:t>
      </w:r>
      <w:bookmarkEnd w:id="5"/>
    </w:p>
    <w:p w14:paraId="1F8B1D86" w14:textId="4A8D9890" w:rsidR="000D265F" w:rsidRPr="00E57664" w:rsidRDefault="000D265F" w:rsidP="004637AC">
      <w:pPr>
        <w:rPr>
          <w:rFonts w:asciiTheme="minorHAnsi" w:hAnsiTheme="minorHAnsi" w:cstheme="minorHAnsi"/>
        </w:rPr>
      </w:pPr>
      <w:r w:rsidRPr="00E57664">
        <w:rPr>
          <w:rFonts w:asciiTheme="minorHAnsi" w:hAnsiTheme="minorHAnsi" w:cstheme="minorHAnsi"/>
        </w:rPr>
        <w:t xml:space="preserve">Qualification, though essential for contractual formation, has its complexities and problems that contract law </w:t>
      </w:r>
      <w:r w:rsidR="004D51BE" w:rsidRPr="00E57664">
        <w:rPr>
          <w:rFonts w:asciiTheme="minorHAnsi" w:hAnsiTheme="minorHAnsi" w:cstheme="minorHAnsi"/>
        </w:rPr>
        <w:t>must</w:t>
      </w:r>
      <w:r w:rsidRPr="00E57664">
        <w:rPr>
          <w:rFonts w:asciiTheme="minorHAnsi" w:hAnsiTheme="minorHAnsi" w:cstheme="minorHAnsi"/>
        </w:rPr>
        <w:t xml:space="preserve"> deal with. One of the many problems is the considering requirement itself, which may lead to biased decisions in some cases</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proofErr w:type="spellStart"/>
      <w:r w:rsidR="004D51BE" w:rsidRPr="00E57664">
        <w:rPr>
          <w:rFonts w:asciiTheme="minorHAnsi" w:hAnsiTheme="minorHAnsi" w:cstheme="minorHAnsi"/>
          <w:kern w:val="0"/>
          <w:shd w:val="clear" w:color="auto" w:fill="FFFFFF"/>
          <w14:ligatures w14:val="none"/>
        </w:rPr>
        <w:t>Hanotiau</w:t>
      </w:r>
      <w:proofErr w:type="spellEnd"/>
      <w:r w:rsidR="004D51BE" w:rsidRPr="00E57664">
        <w:rPr>
          <w:rFonts w:asciiTheme="minorHAnsi" w:hAnsiTheme="minorHAnsi" w:cstheme="minorHAnsi"/>
          <w:kern w:val="0"/>
          <w:shd w:val="clear" w:color="auto" w:fill="FFFFFF"/>
          <w14:ligatures w14:val="none"/>
        </w:rPr>
        <w:t>, 2020</w:t>
      </w:r>
      <w:r w:rsidR="004D51BE" w:rsidRPr="00E57664">
        <w:rPr>
          <w:rFonts w:asciiTheme="minorHAnsi" w:hAnsiTheme="minorHAnsi" w:cstheme="minorHAnsi"/>
          <w:kern w:val="0"/>
          <w14:ligatures w14:val="none"/>
        </w:rPr>
        <w:t>)</w:t>
      </w:r>
      <w:r w:rsidRPr="00E57664">
        <w:rPr>
          <w:rFonts w:asciiTheme="minorHAnsi" w:hAnsiTheme="minorHAnsi" w:cstheme="minorHAnsi"/>
        </w:rPr>
        <w:t xml:space="preserve">. As another example, consideration doctrine could be too rigid which could then lead to the contract not being enforced even though parties intended to create a legally binding agreement. It is not unusual that when one party has already done their duty, the other party is likely to go against their obligations. </w:t>
      </w:r>
    </w:p>
    <w:p w14:paraId="14E72E9A" w14:textId="3522A973" w:rsidR="000D265F" w:rsidRPr="00E57664" w:rsidRDefault="000D265F" w:rsidP="004637AC">
      <w:pPr>
        <w:rPr>
          <w:rFonts w:asciiTheme="minorHAnsi" w:hAnsiTheme="minorHAnsi" w:cstheme="minorHAnsi"/>
        </w:rPr>
      </w:pPr>
      <w:r w:rsidRPr="00E57664">
        <w:rPr>
          <w:rFonts w:asciiTheme="minorHAnsi" w:hAnsiTheme="minorHAnsi" w:cstheme="minorHAnsi"/>
        </w:rPr>
        <w:t>Secondly, the field of consideration and application of the law has a great number of ambiguities and inconsistencies which influence both parties in a contractual dispute and all those in the legal profession. It is not always easy to establish as to what is the point of consideration that is related to the subjectivity and context of a case in contract law jurisprudence</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r w:rsidR="004D51BE" w:rsidRPr="00E57664">
        <w:rPr>
          <w:rFonts w:asciiTheme="minorHAnsi" w:hAnsiTheme="minorHAnsi" w:cstheme="minorHAnsi"/>
          <w:kern w:val="0"/>
          <w:shd w:val="clear" w:color="auto" w:fill="FFFFFF"/>
          <w14:ligatures w14:val="none"/>
        </w:rPr>
        <w:t>Shojaei et al., 2020</w:t>
      </w:r>
      <w:r w:rsidR="004D51BE" w:rsidRPr="00E57664">
        <w:rPr>
          <w:rFonts w:asciiTheme="minorHAnsi" w:hAnsiTheme="minorHAnsi" w:cstheme="minorHAnsi"/>
          <w:kern w:val="0"/>
          <w14:ligatures w14:val="none"/>
        </w:rPr>
        <w:t>)</w:t>
      </w:r>
      <w:r w:rsidRPr="00E57664">
        <w:rPr>
          <w:rFonts w:asciiTheme="minorHAnsi" w:hAnsiTheme="minorHAnsi" w:cstheme="minorHAnsi"/>
        </w:rPr>
        <w:t xml:space="preserve">. Courts will struggle to adopt the classical rules of consideration to unimagined situations, therefore, there will be unpredictable results and barriers to justice. In addition, it is proposed that the current approach of considering whether a given commercial transaction is legally binding is not adequate. </w:t>
      </w:r>
    </w:p>
    <w:p w14:paraId="1D588241" w14:textId="50E6FFAF" w:rsidR="000D265F" w:rsidRPr="00E57664" w:rsidRDefault="000D265F" w:rsidP="004637AC">
      <w:pPr>
        <w:rPr>
          <w:rFonts w:asciiTheme="minorHAnsi" w:hAnsiTheme="minorHAnsi" w:cstheme="minorHAnsi"/>
        </w:rPr>
      </w:pPr>
      <w:r w:rsidRPr="00E57664">
        <w:rPr>
          <w:rFonts w:asciiTheme="minorHAnsi" w:hAnsiTheme="minorHAnsi" w:cstheme="minorHAnsi"/>
        </w:rPr>
        <w:t xml:space="preserve">In this sense, the notion of reason of consideration is widely considered to </w:t>
      </w:r>
      <w:r w:rsidR="00E57664">
        <w:rPr>
          <w:rFonts w:asciiTheme="minorHAnsi" w:hAnsiTheme="minorHAnsi" w:cstheme="minorHAnsi"/>
        </w:rPr>
        <w:t>support</w:t>
      </w:r>
      <w:r w:rsidRPr="00E57664">
        <w:rPr>
          <w:rFonts w:asciiTheme="minorHAnsi" w:hAnsiTheme="minorHAnsi" w:cstheme="minorHAnsi"/>
        </w:rPr>
        <w:t xml:space="preserve"> inequality and it is as well seen as a tool of stronger power of bargaining. At times cases of inequitable agreements may be enforced by the principle of consideration in the </w:t>
      </w:r>
      <w:r w:rsidR="004D51BE" w:rsidRPr="00E57664">
        <w:rPr>
          <w:rFonts w:asciiTheme="minorHAnsi" w:hAnsiTheme="minorHAnsi" w:cstheme="minorHAnsi"/>
        </w:rPr>
        <w:t>favour</w:t>
      </w:r>
      <w:r w:rsidRPr="00E57664">
        <w:rPr>
          <w:rFonts w:asciiTheme="minorHAnsi" w:hAnsiTheme="minorHAnsi" w:cstheme="minorHAnsi"/>
        </w:rPr>
        <w:t xml:space="preserve"> of the </w:t>
      </w:r>
      <w:r w:rsidRPr="00E57664">
        <w:rPr>
          <w:rFonts w:asciiTheme="minorHAnsi" w:hAnsiTheme="minorHAnsi" w:cstheme="minorHAnsi"/>
        </w:rPr>
        <w:lastRenderedPageBreak/>
        <w:t>party that will benefit more than the other. Such consequence may emerge that the notion of a fair contract is eroded and the power imbalances in the commercial interactions could become even more dominant</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proofErr w:type="spellStart"/>
      <w:r w:rsidR="004D51BE" w:rsidRPr="00E57664">
        <w:rPr>
          <w:rFonts w:asciiTheme="minorHAnsi" w:hAnsiTheme="minorHAnsi" w:cstheme="minorHAnsi"/>
          <w:kern w:val="0"/>
          <w:shd w:val="clear" w:color="auto" w:fill="FFFFFF"/>
          <w14:ligatures w14:val="none"/>
        </w:rPr>
        <w:t>Iasechko</w:t>
      </w:r>
      <w:proofErr w:type="spellEnd"/>
      <w:r w:rsidR="004D51BE" w:rsidRPr="00E57664">
        <w:rPr>
          <w:rFonts w:asciiTheme="minorHAnsi" w:hAnsiTheme="minorHAnsi" w:cstheme="minorHAnsi"/>
          <w:kern w:val="0"/>
          <w:shd w:val="clear" w:color="auto" w:fill="FFFFFF"/>
          <w14:ligatures w14:val="none"/>
        </w:rPr>
        <w:t xml:space="preserve"> et al., 2020</w:t>
      </w:r>
      <w:r w:rsidR="004D51BE" w:rsidRPr="00E57664">
        <w:rPr>
          <w:rFonts w:asciiTheme="minorHAnsi" w:hAnsiTheme="minorHAnsi" w:cstheme="minorHAnsi"/>
          <w:kern w:val="0"/>
          <w14:ligatures w14:val="none"/>
        </w:rPr>
        <w:t>)</w:t>
      </w:r>
      <w:r w:rsidRPr="00E57664">
        <w:rPr>
          <w:rFonts w:asciiTheme="minorHAnsi" w:hAnsiTheme="minorHAnsi" w:cstheme="minorHAnsi"/>
        </w:rPr>
        <w:t xml:space="preserve">. Besides, the problem embraces the limitation of consideration's area of application, which can lead to some contracts being excluded from contractual enforcement. </w:t>
      </w:r>
    </w:p>
    <w:p w14:paraId="2741D098" w14:textId="55ADE4CE" w:rsidR="00B94F45" w:rsidRPr="00E57664" w:rsidRDefault="00B94F45" w:rsidP="004637AC">
      <w:pPr>
        <w:pStyle w:val="Heading1"/>
        <w:rPr>
          <w:rFonts w:asciiTheme="minorHAnsi" w:hAnsiTheme="minorHAnsi" w:cstheme="minorHAnsi"/>
        </w:rPr>
      </w:pPr>
      <w:bookmarkStart w:id="6" w:name="_Toc160284822"/>
      <w:r w:rsidRPr="00E57664">
        <w:rPr>
          <w:rFonts w:asciiTheme="minorHAnsi" w:hAnsiTheme="minorHAnsi" w:cstheme="minorHAnsi"/>
        </w:rPr>
        <w:t>Reform Suggestions</w:t>
      </w:r>
      <w:bookmarkEnd w:id="6"/>
    </w:p>
    <w:p w14:paraId="2A8A3956" w14:textId="167CA9C7" w:rsidR="00C93D1C" w:rsidRPr="00E57664" w:rsidRDefault="000D265F" w:rsidP="004637AC">
      <w:pPr>
        <w:rPr>
          <w:rFonts w:asciiTheme="minorHAnsi" w:hAnsiTheme="minorHAnsi" w:cstheme="minorHAnsi"/>
        </w:rPr>
      </w:pPr>
      <w:r w:rsidRPr="00E57664">
        <w:rPr>
          <w:rFonts w:asciiTheme="minorHAnsi" w:hAnsiTheme="minorHAnsi" w:cstheme="minorHAnsi"/>
        </w:rPr>
        <w:t>The doctrine of consideration was faced with different challenges and criticisms and as a result, there are some reforms and improvements suggested to be implemented to improve the moderni</w:t>
      </w:r>
      <w:r w:rsidR="000317D9" w:rsidRPr="00E57664">
        <w:rPr>
          <w:rFonts w:asciiTheme="minorHAnsi" w:hAnsiTheme="minorHAnsi" w:cstheme="minorHAnsi"/>
        </w:rPr>
        <w:t>s</w:t>
      </w:r>
      <w:r w:rsidRPr="00E57664">
        <w:rPr>
          <w:rFonts w:asciiTheme="minorHAnsi" w:hAnsiTheme="minorHAnsi" w:cstheme="minorHAnsi"/>
        </w:rPr>
        <w:t>ation and efficiency of the law. A recommendation is to lighten the conditions of consideration in certain cases, especially where there is an informal agreement or a deal struck in a social context</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r w:rsidR="004D51BE" w:rsidRPr="00E57664">
        <w:rPr>
          <w:rFonts w:asciiTheme="minorHAnsi" w:hAnsiTheme="minorHAnsi" w:cstheme="minorHAnsi"/>
          <w:kern w:val="0"/>
          <w:shd w:val="clear" w:color="auto" w:fill="FFFFFF"/>
          <w14:ligatures w14:val="none"/>
        </w:rPr>
        <w:t>Robertson, 2020</w:t>
      </w:r>
      <w:r w:rsidR="004D51BE" w:rsidRPr="00E57664">
        <w:rPr>
          <w:rFonts w:asciiTheme="minorHAnsi" w:hAnsiTheme="minorHAnsi" w:cstheme="minorHAnsi"/>
          <w:kern w:val="0"/>
          <w14:ligatures w14:val="none"/>
        </w:rPr>
        <w:t>)</w:t>
      </w:r>
      <w:r w:rsidRPr="00E57664">
        <w:rPr>
          <w:rFonts w:asciiTheme="minorHAnsi" w:hAnsiTheme="minorHAnsi" w:cstheme="minorHAnsi"/>
        </w:rPr>
        <w:t xml:space="preserve">. Even the opponents of this type of amendment say that the loosening of the doctrine of consideration can be contrary to the principle of contractual certainty and can entail </w:t>
      </w:r>
      <w:r w:rsidR="00E57664">
        <w:rPr>
          <w:rFonts w:asciiTheme="minorHAnsi" w:hAnsiTheme="minorHAnsi" w:cstheme="minorHAnsi"/>
        </w:rPr>
        <w:t xml:space="preserve">an </w:t>
      </w:r>
      <w:r w:rsidRPr="00E57664">
        <w:rPr>
          <w:rFonts w:asciiTheme="minorHAnsi" w:hAnsiTheme="minorHAnsi" w:cstheme="minorHAnsi"/>
        </w:rPr>
        <w:t>increase of baseless or speculative claims</w:t>
      </w:r>
      <w:r w:rsidR="00C93D1C" w:rsidRPr="00E57664">
        <w:rPr>
          <w:rFonts w:asciiTheme="minorHAnsi" w:hAnsiTheme="minorHAnsi" w:cstheme="minorHAnsi"/>
        </w:rPr>
        <w:t xml:space="preserve"> </w:t>
      </w:r>
      <w:r w:rsidR="00C93D1C" w:rsidRPr="00E57664">
        <w:rPr>
          <w:rFonts w:asciiTheme="minorHAnsi" w:hAnsiTheme="minorHAnsi" w:cstheme="minorHAnsi"/>
          <w:kern w:val="0"/>
          <w14:ligatures w14:val="none"/>
        </w:rPr>
        <w:t>(</w:t>
      </w:r>
      <w:proofErr w:type="spellStart"/>
      <w:r w:rsidR="00C93D1C" w:rsidRPr="00E57664">
        <w:rPr>
          <w:rFonts w:asciiTheme="minorHAnsi" w:hAnsiTheme="minorHAnsi" w:cstheme="minorHAnsi"/>
          <w:kern w:val="0"/>
          <w:shd w:val="clear" w:color="auto" w:fill="FFFFFF"/>
          <w14:ligatures w14:val="none"/>
        </w:rPr>
        <w:t>Iasechko</w:t>
      </w:r>
      <w:proofErr w:type="spellEnd"/>
      <w:r w:rsidR="00C93D1C" w:rsidRPr="00E57664">
        <w:rPr>
          <w:rFonts w:asciiTheme="minorHAnsi" w:hAnsiTheme="minorHAnsi" w:cstheme="minorHAnsi"/>
          <w:kern w:val="0"/>
          <w:shd w:val="clear" w:color="auto" w:fill="FFFFFF"/>
          <w14:ligatures w14:val="none"/>
        </w:rPr>
        <w:t xml:space="preserve"> et al., 2020</w:t>
      </w:r>
      <w:r w:rsidR="00C93D1C" w:rsidRPr="00E57664">
        <w:rPr>
          <w:rFonts w:asciiTheme="minorHAnsi" w:hAnsiTheme="minorHAnsi" w:cstheme="minorHAnsi"/>
          <w:kern w:val="0"/>
          <w14:ligatures w14:val="none"/>
        </w:rPr>
        <w:t>)</w:t>
      </w:r>
      <w:r w:rsidR="00C93D1C" w:rsidRPr="00E57664">
        <w:rPr>
          <w:rFonts w:asciiTheme="minorHAnsi" w:hAnsiTheme="minorHAnsi" w:cstheme="minorHAnsi"/>
        </w:rPr>
        <w:t>.</w:t>
      </w:r>
    </w:p>
    <w:p w14:paraId="53CF0A40" w14:textId="77777777" w:rsidR="00C93D1C" w:rsidRPr="00E57664" w:rsidRDefault="000D265F" w:rsidP="004637AC">
      <w:pPr>
        <w:rPr>
          <w:rFonts w:asciiTheme="minorHAnsi" w:hAnsiTheme="minorHAnsi" w:cstheme="minorHAnsi"/>
        </w:rPr>
      </w:pPr>
      <w:r w:rsidRPr="00E57664">
        <w:rPr>
          <w:rFonts w:asciiTheme="minorHAnsi" w:hAnsiTheme="minorHAnsi" w:cstheme="minorHAnsi"/>
        </w:rPr>
        <w:t>When there isn't clarification on borders, parties can be encouraged to push the limits in their intention to contract which can result in the confusion and possibility of misuse of the legal system</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r w:rsidR="004D51BE" w:rsidRPr="00E57664">
        <w:rPr>
          <w:rFonts w:asciiTheme="minorHAnsi" w:hAnsiTheme="minorHAnsi" w:cstheme="minorHAnsi"/>
          <w:kern w:val="0"/>
          <w:shd w:val="clear" w:color="auto" w:fill="FFFFFF"/>
          <w14:ligatures w14:val="none"/>
        </w:rPr>
        <w:t>Hendrycks et al., 2021</w:t>
      </w:r>
      <w:r w:rsidR="004D51BE" w:rsidRPr="00E57664">
        <w:rPr>
          <w:rFonts w:asciiTheme="minorHAnsi" w:hAnsiTheme="minorHAnsi" w:cstheme="minorHAnsi"/>
          <w:kern w:val="0"/>
          <w14:ligatures w14:val="none"/>
        </w:rPr>
        <w:t>)</w:t>
      </w:r>
      <w:r w:rsidRPr="00E57664">
        <w:rPr>
          <w:rFonts w:asciiTheme="minorHAnsi" w:hAnsiTheme="minorHAnsi" w:cstheme="minorHAnsi"/>
        </w:rPr>
        <w:t xml:space="preserve">. Furthermore, some </w:t>
      </w:r>
      <w:r w:rsidR="004D51BE" w:rsidRPr="00E57664">
        <w:rPr>
          <w:rFonts w:asciiTheme="minorHAnsi" w:hAnsiTheme="minorHAnsi" w:cstheme="minorHAnsi"/>
        </w:rPr>
        <w:t>sceptics</w:t>
      </w:r>
      <w:r w:rsidRPr="00E57664">
        <w:rPr>
          <w:rFonts w:asciiTheme="minorHAnsi" w:hAnsiTheme="minorHAnsi" w:cstheme="minorHAnsi"/>
        </w:rPr>
        <w:t xml:space="preserve"> believe that the reforms might as well violate the sanctity of contracts and erode the incentives of parties for acting in good faith. The other reform proposed is to expand the scope of consideration to include non-tangible intents such as promises to love, promises to stop doing some things, or promises to engage in certain </w:t>
      </w:r>
      <w:r w:rsidR="004D51BE" w:rsidRPr="00E57664">
        <w:rPr>
          <w:rFonts w:asciiTheme="minorHAnsi" w:hAnsiTheme="minorHAnsi" w:cstheme="minorHAnsi"/>
        </w:rPr>
        <w:t xml:space="preserve">behaviours </w:t>
      </w:r>
      <w:r w:rsidR="004D51BE" w:rsidRPr="00E57664">
        <w:rPr>
          <w:rFonts w:asciiTheme="minorHAnsi" w:hAnsiTheme="minorHAnsi" w:cstheme="minorHAnsi"/>
          <w:kern w:val="0"/>
          <w14:ligatures w14:val="none"/>
        </w:rPr>
        <w:t>(</w:t>
      </w:r>
      <w:proofErr w:type="spellStart"/>
      <w:r w:rsidR="004D51BE" w:rsidRPr="00E57664">
        <w:rPr>
          <w:rFonts w:asciiTheme="minorHAnsi" w:hAnsiTheme="minorHAnsi" w:cstheme="minorHAnsi"/>
          <w:kern w:val="0"/>
          <w:shd w:val="clear" w:color="auto" w:fill="FFFFFF"/>
          <w14:ligatures w14:val="none"/>
        </w:rPr>
        <w:t>Apostolaros</w:t>
      </w:r>
      <w:proofErr w:type="spellEnd"/>
      <w:r w:rsidR="004D51BE" w:rsidRPr="00E57664">
        <w:rPr>
          <w:rFonts w:asciiTheme="minorHAnsi" w:hAnsiTheme="minorHAnsi" w:cstheme="minorHAnsi"/>
          <w:kern w:val="0"/>
          <w:shd w:val="clear" w:color="auto" w:fill="FFFFFF"/>
          <w14:ligatures w14:val="none"/>
        </w:rPr>
        <w:t xml:space="preserve"> et al., 2020</w:t>
      </w:r>
      <w:r w:rsidR="004D51BE" w:rsidRPr="00E57664">
        <w:rPr>
          <w:rFonts w:asciiTheme="minorHAnsi" w:hAnsiTheme="minorHAnsi" w:cstheme="minorHAnsi"/>
          <w:kern w:val="0"/>
          <w14:ligatures w14:val="none"/>
        </w:rPr>
        <w:t>)</w:t>
      </w:r>
      <w:r w:rsidRPr="00E57664">
        <w:rPr>
          <w:rFonts w:asciiTheme="minorHAnsi" w:hAnsiTheme="minorHAnsi" w:cstheme="minorHAnsi"/>
        </w:rPr>
        <w:t>.</w:t>
      </w:r>
    </w:p>
    <w:p w14:paraId="388BA42F" w14:textId="35E2C214" w:rsidR="000D265F" w:rsidRPr="00E57664" w:rsidRDefault="000D265F" w:rsidP="004637AC">
      <w:pPr>
        <w:rPr>
          <w:rFonts w:asciiTheme="minorHAnsi" w:hAnsiTheme="minorHAnsi" w:cstheme="minorHAnsi"/>
        </w:rPr>
      </w:pPr>
      <w:r w:rsidRPr="00E57664">
        <w:rPr>
          <w:rFonts w:asciiTheme="minorHAnsi" w:hAnsiTheme="minorHAnsi" w:cstheme="minorHAnsi"/>
        </w:rPr>
        <w:t xml:space="preserve">The courts may resort to the concept of non-monetary exchanges much more frequently than they do, allowing for contractual relationships to be more accurately captured and fairness </w:t>
      </w:r>
      <w:r w:rsidRPr="00E57664">
        <w:rPr>
          <w:rFonts w:asciiTheme="minorHAnsi" w:hAnsiTheme="minorHAnsi" w:cstheme="minorHAnsi"/>
        </w:rPr>
        <w:lastRenderedPageBreak/>
        <w:t>to be ultimately guaranteed. Though the installation of this change will bring along a lot of intangible considerations like the amount and effect, there is a chance that these can be faced with great problems</w:t>
      </w:r>
      <w:r w:rsidR="004D51BE" w:rsidRPr="00E57664">
        <w:rPr>
          <w:rFonts w:asciiTheme="minorHAnsi" w:hAnsiTheme="minorHAnsi" w:cstheme="minorHAnsi"/>
        </w:rPr>
        <w:t xml:space="preserve"> </w:t>
      </w:r>
      <w:r w:rsidR="004D51BE" w:rsidRPr="00E57664">
        <w:rPr>
          <w:rFonts w:asciiTheme="minorHAnsi" w:hAnsiTheme="minorHAnsi" w:cstheme="minorHAnsi"/>
          <w:kern w:val="0"/>
          <w14:ligatures w14:val="none"/>
        </w:rPr>
        <w:t>(</w:t>
      </w:r>
      <w:r w:rsidR="004D51BE" w:rsidRPr="00E57664">
        <w:rPr>
          <w:rFonts w:asciiTheme="minorHAnsi" w:hAnsiTheme="minorHAnsi" w:cstheme="minorHAnsi"/>
          <w:kern w:val="0"/>
          <w:shd w:val="clear" w:color="auto" w:fill="FFFFFF"/>
          <w14:ligatures w14:val="none"/>
        </w:rPr>
        <w:t>Markovits, 2020</w:t>
      </w:r>
      <w:r w:rsidR="004D51BE" w:rsidRPr="00E57664">
        <w:rPr>
          <w:rFonts w:asciiTheme="minorHAnsi" w:hAnsiTheme="minorHAnsi" w:cstheme="minorHAnsi"/>
          <w:kern w:val="0"/>
          <w14:ligatures w14:val="none"/>
        </w:rPr>
        <w:t>)</w:t>
      </w:r>
      <w:r w:rsidRPr="00E57664">
        <w:rPr>
          <w:rFonts w:asciiTheme="minorHAnsi" w:hAnsiTheme="minorHAnsi" w:cstheme="minorHAnsi"/>
        </w:rPr>
        <w:t xml:space="preserve">. This is a probability that courts may face some difficulties with the valuation, or the evaluation of the promises, and this will further more lead to the situation of inconsistencies and subjective interpretations. </w:t>
      </w:r>
    </w:p>
    <w:p w14:paraId="1AB064B3" w14:textId="63E90078" w:rsidR="00B94F45" w:rsidRPr="00E57664" w:rsidRDefault="00B94F45" w:rsidP="004637AC">
      <w:pPr>
        <w:pStyle w:val="Heading1"/>
        <w:rPr>
          <w:rFonts w:asciiTheme="minorHAnsi" w:hAnsiTheme="minorHAnsi" w:cstheme="minorHAnsi"/>
        </w:rPr>
      </w:pPr>
      <w:bookmarkStart w:id="7" w:name="_Toc160284823"/>
      <w:r w:rsidRPr="00E57664">
        <w:rPr>
          <w:rFonts w:asciiTheme="minorHAnsi" w:hAnsiTheme="minorHAnsi" w:cstheme="minorHAnsi"/>
        </w:rPr>
        <w:t>Conclusion</w:t>
      </w:r>
      <w:bookmarkEnd w:id="7"/>
    </w:p>
    <w:p w14:paraId="42FFE8B3" w14:textId="1108F8DA" w:rsidR="00234024" w:rsidRPr="00E57664" w:rsidRDefault="00D258A2" w:rsidP="004764C9">
      <w:pPr>
        <w:rPr>
          <w:rFonts w:asciiTheme="minorHAnsi" w:hAnsiTheme="minorHAnsi" w:cstheme="minorHAnsi"/>
        </w:rPr>
      </w:pPr>
      <w:r w:rsidRPr="00E57664">
        <w:rPr>
          <w:rFonts w:asciiTheme="minorHAnsi" w:hAnsiTheme="minorHAnsi" w:cstheme="minorHAnsi"/>
        </w:rPr>
        <w:t xml:space="preserve">For that reason, consideration </w:t>
      </w:r>
      <w:r w:rsidR="000345F6" w:rsidRPr="00E57664">
        <w:rPr>
          <w:rFonts w:asciiTheme="minorHAnsi" w:hAnsiTheme="minorHAnsi" w:cstheme="minorHAnsi"/>
        </w:rPr>
        <w:t>remains</w:t>
      </w:r>
      <w:r w:rsidRPr="00E57664">
        <w:rPr>
          <w:rFonts w:asciiTheme="minorHAnsi" w:hAnsiTheme="minorHAnsi" w:cstheme="minorHAnsi"/>
        </w:rPr>
        <w:t xml:space="preserve"> one of the key elements of the contract legislation - the initial building block around which the entire agreement structure is being constructed. The multifaceted role of consideration is discussed in this assignment, it involves consideration as a requirement for a valid contract, kinds of consideration, and some issues related to consideration. The fact that consideration is in place is signifying that both parties will be entering the contract </w:t>
      </w:r>
      <w:r w:rsidR="00E57664">
        <w:rPr>
          <w:rFonts w:asciiTheme="minorHAnsi" w:hAnsiTheme="minorHAnsi" w:cstheme="minorHAnsi"/>
        </w:rPr>
        <w:t>to</w:t>
      </w:r>
      <w:r w:rsidRPr="00E57664">
        <w:rPr>
          <w:rFonts w:asciiTheme="minorHAnsi" w:hAnsiTheme="minorHAnsi" w:cstheme="minorHAnsi"/>
        </w:rPr>
        <w:t xml:space="preserve"> exchange value </w:t>
      </w:r>
      <w:r w:rsidR="000345F6" w:rsidRPr="00E57664">
        <w:rPr>
          <w:rFonts w:asciiTheme="minorHAnsi" w:hAnsiTheme="minorHAnsi" w:cstheme="minorHAnsi"/>
        </w:rPr>
        <w:t>and</w:t>
      </w:r>
      <w:r w:rsidRPr="00E57664">
        <w:rPr>
          <w:rFonts w:asciiTheme="minorHAnsi" w:hAnsiTheme="minorHAnsi" w:cstheme="minorHAnsi"/>
        </w:rPr>
        <w:t xml:space="preserve"> commit to the terms of the contract. Its presence wants to make the contracts to be valid and to be used as a legal structure, which in turn is the reason for the equal and fair allocation of the rights and obligations of all the parties involved. </w:t>
      </w:r>
      <w:r w:rsidR="004764C9" w:rsidRPr="00E57664">
        <w:rPr>
          <w:rFonts w:asciiTheme="minorHAnsi" w:hAnsiTheme="minorHAnsi" w:cstheme="minorHAnsi"/>
        </w:rPr>
        <w:t xml:space="preserve"> </w:t>
      </w:r>
      <w:r w:rsidRPr="00E57664">
        <w:rPr>
          <w:rFonts w:asciiTheme="minorHAnsi" w:hAnsiTheme="minorHAnsi" w:cstheme="minorHAnsi"/>
        </w:rPr>
        <w:t xml:space="preserve">Attitude will be the most problematic problem for parties to the contract; but it is of primary importance for the application of the fundamental principle of contractual fairness, mutuality, and certainty. The system is responsible for not only the smooth functioning of the transactions but also the </w:t>
      </w:r>
      <w:r w:rsidR="000345F6" w:rsidRPr="00E57664">
        <w:rPr>
          <w:rFonts w:asciiTheme="minorHAnsi" w:hAnsiTheme="minorHAnsi" w:cstheme="minorHAnsi"/>
        </w:rPr>
        <w:t>way</w:t>
      </w:r>
      <w:r w:rsidRPr="00E57664">
        <w:rPr>
          <w:rFonts w:asciiTheme="minorHAnsi" w:hAnsiTheme="minorHAnsi" w:cstheme="minorHAnsi"/>
        </w:rPr>
        <w:t xml:space="preserve"> economic activity is shaped and the confidence levels of parties concerned are generated. </w:t>
      </w:r>
    </w:p>
    <w:p w14:paraId="5BD8C357" w14:textId="77777777" w:rsidR="00234024" w:rsidRPr="00E57664" w:rsidRDefault="00234024" w:rsidP="004637AC">
      <w:pPr>
        <w:spacing w:before="0" w:after="160"/>
        <w:ind w:firstLine="0"/>
        <w:contextualSpacing w:val="0"/>
        <w:jc w:val="left"/>
        <w:rPr>
          <w:rFonts w:asciiTheme="minorHAnsi" w:hAnsiTheme="minorHAnsi" w:cstheme="minorHAnsi"/>
        </w:rPr>
      </w:pPr>
      <w:r w:rsidRPr="00E57664">
        <w:rPr>
          <w:rFonts w:asciiTheme="minorHAnsi" w:hAnsiTheme="minorHAnsi" w:cstheme="minorHAnsi"/>
        </w:rPr>
        <w:br w:type="page"/>
      </w:r>
    </w:p>
    <w:p w14:paraId="1F73D633" w14:textId="2602ED69" w:rsidR="00D258A2" w:rsidRPr="00E57664" w:rsidRDefault="00234024" w:rsidP="004637AC">
      <w:pPr>
        <w:pStyle w:val="Heading1"/>
        <w:rPr>
          <w:rFonts w:asciiTheme="minorHAnsi" w:hAnsiTheme="minorHAnsi" w:cstheme="minorHAnsi"/>
        </w:rPr>
      </w:pPr>
      <w:bookmarkStart w:id="8" w:name="_Toc160284824"/>
      <w:r w:rsidRPr="00E57664">
        <w:rPr>
          <w:rFonts w:asciiTheme="minorHAnsi" w:hAnsiTheme="minorHAnsi" w:cstheme="minorHAnsi"/>
        </w:rPr>
        <w:lastRenderedPageBreak/>
        <w:t>References</w:t>
      </w:r>
      <w:bookmarkEnd w:id="8"/>
    </w:p>
    <w:p w14:paraId="3BBCE0CA" w14:textId="77777777" w:rsidR="004D51BE" w:rsidRPr="00E57664" w:rsidRDefault="004D51BE" w:rsidP="004637AC">
      <w:pPr>
        <w:ind w:left="720" w:hanging="720"/>
        <w:rPr>
          <w:rFonts w:asciiTheme="minorHAnsi" w:hAnsiTheme="minorHAnsi" w:cstheme="minorHAnsi"/>
          <w:shd w:val="clear" w:color="auto" w:fill="FFFFFF"/>
        </w:rPr>
      </w:pPr>
      <w:r w:rsidRPr="00E57664">
        <w:rPr>
          <w:rFonts w:asciiTheme="minorHAnsi" w:hAnsiTheme="minorHAnsi" w:cstheme="minorHAnsi"/>
          <w:shd w:val="clear" w:color="auto" w:fill="FFFFFF"/>
        </w:rPr>
        <w:t xml:space="preserve">Allen, S., </w:t>
      </w:r>
      <w:proofErr w:type="spellStart"/>
      <w:r w:rsidRPr="00E57664">
        <w:rPr>
          <w:rFonts w:asciiTheme="minorHAnsi" w:hAnsiTheme="minorHAnsi" w:cstheme="minorHAnsi"/>
          <w:shd w:val="clear" w:color="auto" w:fill="FFFFFF"/>
        </w:rPr>
        <w:t>Čapkun</w:t>
      </w:r>
      <w:proofErr w:type="spellEnd"/>
      <w:r w:rsidRPr="00E57664">
        <w:rPr>
          <w:rFonts w:asciiTheme="minorHAnsi" w:hAnsiTheme="minorHAnsi" w:cstheme="minorHAnsi"/>
          <w:shd w:val="clear" w:color="auto" w:fill="FFFFFF"/>
        </w:rPr>
        <w:t xml:space="preserve">, S., Eyal, I., Fanti, G., Ford, B.A., </w:t>
      </w:r>
      <w:proofErr w:type="spellStart"/>
      <w:r w:rsidRPr="00E57664">
        <w:rPr>
          <w:rFonts w:asciiTheme="minorHAnsi" w:hAnsiTheme="minorHAnsi" w:cstheme="minorHAnsi"/>
          <w:shd w:val="clear" w:color="auto" w:fill="FFFFFF"/>
        </w:rPr>
        <w:t>Grimmelmann</w:t>
      </w:r>
      <w:proofErr w:type="spellEnd"/>
      <w:r w:rsidRPr="00E57664">
        <w:rPr>
          <w:rFonts w:asciiTheme="minorHAnsi" w:hAnsiTheme="minorHAnsi" w:cstheme="minorHAnsi"/>
          <w:shd w:val="clear" w:color="auto" w:fill="FFFFFF"/>
        </w:rPr>
        <w:t xml:space="preserve">, J., Juels, A., </w:t>
      </w:r>
      <w:proofErr w:type="spellStart"/>
      <w:r w:rsidRPr="00E57664">
        <w:rPr>
          <w:rFonts w:asciiTheme="minorHAnsi" w:hAnsiTheme="minorHAnsi" w:cstheme="minorHAnsi"/>
          <w:shd w:val="clear" w:color="auto" w:fill="FFFFFF"/>
        </w:rPr>
        <w:t>Kostiainen</w:t>
      </w:r>
      <w:proofErr w:type="spellEnd"/>
      <w:r w:rsidRPr="00E57664">
        <w:rPr>
          <w:rFonts w:asciiTheme="minorHAnsi" w:hAnsiTheme="minorHAnsi" w:cstheme="minorHAnsi"/>
          <w:shd w:val="clear" w:color="auto" w:fill="FFFFFF"/>
        </w:rPr>
        <w:t>, K., Meiklejohn, S., Miller, A. and Prasad, E., 2020. </w:t>
      </w:r>
      <w:r w:rsidRPr="00E57664">
        <w:rPr>
          <w:rFonts w:asciiTheme="minorHAnsi" w:hAnsiTheme="minorHAnsi" w:cstheme="minorHAnsi"/>
          <w:i/>
          <w:iCs/>
          <w:shd w:val="clear" w:color="auto" w:fill="FFFFFF"/>
        </w:rPr>
        <w:t>Design choices for central bank digital currency: Policy and technical considerations</w:t>
      </w:r>
      <w:r w:rsidRPr="00E57664">
        <w:rPr>
          <w:rFonts w:asciiTheme="minorHAnsi" w:hAnsiTheme="minorHAnsi" w:cstheme="minorHAnsi"/>
          <w:shd w:val="clear" w:color="auto" w:fill="FFFFFF"/>
        </w:rPr>
        <w:t> (No. w27634). National Bureau of Economic Research.</w:t>
      </w:r>
    </w:p>
    <w:p w14:paraId="580887C3" w14:textId="77777777" w:rsidR="004D51BE" w:rsidRPr="00E57664" w:rsidRDefault="004D51BE" w:rsidP="004637AC">
      <w:pPr>
        <w:ind w:left="720" w:hanging="720"/>
        <w:rPr>
          <w:rFonts w:asciiTheme="minorHAnsi" w:hAnsiTheme="minorHAnsi" w:cstheme="minorHAnsi"/>
          <w:shd w:val="clear" w:color="auto" w:fill="FFFFFF"/>
        </w:rPr>
      </w:pPr>
      <w:proofErr w:type="spellStart"/>
      <w:r w:rsidRPr="00E57664">
        <w:rPr>
          <w:rFonts w:asciiTheme="minorHAnsi" w:hAnsiTheme="minorHAnsi" w:cstheme="minorHAnsi"/>
          <w:shd w:val="clear" w:color="auto" w:fill="FFFFFF"/>
        </w:rPr>
        <w:t>Apostolaros</w:t>
      </w:r>
      <w:proofErr w:type="spellEnd"/>
      <w:r w:rsidRPr="00E57664">
        <w:rPr>
          <w:rFonts w:asciiTheme="minorHAnsi" w:hAnsiTheme="minorHAnsi" w:cstheme="minorHAnsi"/>
          <w:shd w:val="clear" w:color="auto" w:fill="FFFFFF"/>
        </w:rPr>
        <w:t>, M., Babaian, D., Corneli, A., Forrest, A., Hamre, G., Hewett, J., Podolsky, L., Popat, V. and Randall, P., 2020. Legal, regulatory, and practical issues to consider when adopting decentralized clinical trials: recommendations from the clinical trials transformation initiative. </w:t>
      </w:r>
      <w:r w:rsidRPr="00E57664">
        <w:rPr>
          <w:rFonts w:asciiTheme="minorHAnsi" w:hAnsiTheme="minorHAnsi" w:cstheme="minorHAnsi"/>
          <w:i/>
          <w:iCs/>
          <w:shd w:val="clear" w:color="auto" w:fill="FFFFFF"/>
        </w:rPr>
        <w:t>Therapeutic innovation &amp; regulatory science</w:t>
      </w:r>
      <w:r w:rsidRPr="00E57664">
        <w:rPr>
          <w:rFonts w:asciiTheme="minorHAnsi" w:hAnsiTheme="minorHAnsi" w:cstheme="minorHAnsi"/>
          <w:shd w:val="clear" w:color="auto" w:fill="FFFFFF"/>
        </w:rPr>
        <w:t>, </w:t>
      </w:r>
      <w:r w:rsidRPr="00E57664">
        <w:rPr>
          <w:rFonts w:asciiTheme="minorHAnsi" w:hAnsiTheme="minorHAnsi" w:cstheme="minorHAnsi"/>
          <w:i/>
          <w:iCs/>
          <w:shd w:val="clear" w:color="auto" w:fill="FFFFFF"/>
        </w:rPr>
        <w:t>54</w:t>
      </w:r>
      <w:r w:rsidRPr="00E57664">
        <w:rPr>
          <w:rFonts w:asciiTheme="minorHAnsi" w:hAnsiTheme="minorHAnsi" w:cstheme="minorHAnsi"/>
          <w:shd w:val="clear" w:color="auto" w:fill="FFFFFF"/>
        </w:rPr>
        <w:t>, pp.779-787.</w:t>
      </w:r>
    </w:p>
    <w:p w14:paraId="5A4D30A2" w14:textId="77777777" w:rsidR="004D51BE" w:rsidRPr="00E57664" w:rsidRDefault="004D51BE" w:rsidP="004637AC">
      <w:pPr>
        <w:ind w:left="720" w:hanging="720"/>
        <w:rPr>
          <w:rFonts w:asciiTheme="minorHAnsi" w:hAnsiTheme="minorHAnsi" w:cstheme="minorHAnsi"/>
          <w:shd w:val="clear" w:color="auto" w:fill="FFFFFF"/>
        </w:rPr>
      </w:pPr>
      <w:proofErr w:type="spellStart"/>
      <w:r w:rsidRPr="00E57664">
        <w:rPr>
          <w:rFonts w:asciiTheme="minorHAnsi" w:hAnsiTheme="minorHAnsi" w:cstheme="minorHAnsi"/>
          <w:shd w:val="clear" w:color="auto" w:fill="FFFFFF"/>
        </w:rPr>
        <w:t>Hanotiau</w:t>
      </w:r>
      <w:proofErr w:type="spellEnd"/>
      <w:r w:rsidRPr="00E57664">
        <w:rPr>
          <w:rFonts w:asciiTheme="minorHAnsi" w:hAnsiTheme="minorHAnsi" w:cstheme="minorHAnsi"/>
          <w:shd w:val="clear" w:color="auto" w:fill="FFFFFF"/>
        </w:rPr>
        <w:t>, B., 2020. </w:t>
      </w:r>
      <w:r w:rsidRPr="00E57664">
        <w:rPr>
          <w:rFonts w:asciiTheme="minorHAnsi" w:hAnsiTheme="minorHAnsi" w:cstheme="minorHAnsi"/>
          <w:i/>
          <w:iCs/>
          <w:shd w:val="clear" w:color="auto" w:fill="FFFFFF"/>
        </w:rPr>
        <w:t>Complex Arbitrations: Multi-party, Multi-contract and Multi-issue</w:t>
      </w:r>
      <w:r w:rsidRPr="00E57664">
        <w:rPr>
          <w:rFonts w:asciiTheme="minorHAnsi" w:hAnsiTheme="minorHAnsi" w:cstheme="minorHAnsi"/>
          <w:shd w:val="clear" w:color="auto" w:fill="FFFFFF"/>
        </w:rPr>
        <w:t>. Kluwer Law International BV.</w:t>
      </w:r>
    </w:p>
    <w:p w14:paraId="5E4FAD29" w14:textId="77777777" w:rsidR="004D51BE" w:rsidRPr="00E57664" w:rsidRDefault="004D51BE" w:rsidP="004637AC">
      <w:pPr>
        <w:ind w:left="720" w:hanging="720"/>
        <w:rPr>
          <w:rFonts w:asciiTheme="minorHAnsi" w:hAnsiTheme="minorHAnsi" w:cstheme="minorHAnsi"/>
          <w:shd w:val="clear" w:color="auto" w:fill="FFFFFF"/>
        </w:rPr>
      </w:pPr>
      <w:r w:rsidRPr="00E57664">
        <w:rPr>
          <w:rFonts w:asciiTheme="minorHAnsi" w:hAnsiTheme="minorHAnsi" w:cstheme="minorHAnsi"/>
          <w:shd w:val="clear" w:color="auto" w:fill="FFFFFF"/>
        </w:rPr>
        <w:t xml:space="preserve">Hendrycks, D., Burns, C., Chen, A. and Ball, S., 2021. </w:t>
      </w:r>
      <w:proofErr w:type="spellStart"/>
      <w:r w:rsidRPr="00E57664">
        <w:rPr>
          <w:rFonts w:asciiTheme="minorHAnsi" w:hAnsiTheme="minorHAnsi" w:cstheme="minorHAnsi"/>
          <w:shd w:val="clear" w:color="auto" w:fill="FFFFFF"/>
        </w:rPr>
        <w:t>Cuad</w:t>
      </w:r>
      <w:proofErr w:type="spellEnd"/>
      <w:r w:rsidRPr="00E57664">
        <w:rPr>
          <w:rFonts w:asciiTheme="minorHAnsi" w:hAnsiTheme="minorHAnsi" w:cstheme="minorHAnsi"/>
          <w:shd w:val="clear" w:color="auto" w:fill="FFFFFF"/>
        </w:rPr>
        <w:t xml:space="preserve">: An expert-annotated </w:t>
      </w:r>
      <w:proofErr w:type="spellStart"/>
      <w:r w:rsidRPr="00E57664">
        <w:rPr>
          <w:rFonts w:asciiTheme="minorHAnsi" w:hAnsiTheme="minorHAnsi" w:cstheme="minorHAnsi"/>
          <w:shd w:val="clear" w:color="auto" w:fill="FFFFFF"/>
        </w:rPr>
        <w:t>nlp</w:t>
      </w:r>
      <w:proofErr w:type="spellEnd"/>
      <w:r w:rsidRPr="00E57664">
        <w:rPr>
          <w:rFonts w:asciiTheme="minorHAnsi" w:hAnsiTheme="minorHAnsi" w:cstheme="minorHAnsi"/>
          <w:shd w:val="clear" w:color="auto" w:fill="FFFFFF"/>
        </w:rPr>
        <w:t xml:space="preserve"> dataset for legal contract review. </w:t>
      </w:r>
      <w:proofErr w:type="spellStart"/>
      <w:r w:rsidRPr="00E57664">
        <w:rPr>
          <w:rFonts w:asciiTheme="minorHAnsi" w:hAnsiTheme="minorHAnsi" w:cstheme="minorHAnsi"/>
          <w:i/>
          <w:iCs/>
          <w:shd w:val="clear" w:color="auto" w:fill="FFFFFF"/>
        </w:rPr>
        <w:t>arXiv</w:t>
      </w:r>
      <w:proofErr w:type="spellEnd"/>
      <w:r w:rsidRPr="00E57664">
        <w:rPr>
          <w:rFonts w:asciiTheme="minorHAnsi" w:hAnsiTheme="minorHAnsi" w:cstheme="minorHAnsi"/>
          <w:i/>
          <w:iCs/>
          <w:shd w:val="clear" w:color="auto" w:fill="FFFFFF"/>
        </w:rPr>
        <w:t xml:space="preserve"> preprint arXiv:2103.06268</w:t>
      </w:r>
      <w:r w:rsidRPr="00E57664">
        <w:rPr>
          <w:rFonts w:asciiTheme="minorHAnsi" w:hAnsiTheme="minorHAnsi" w:cstheme="minorHAnsi"/>
          <w:shd w:val="clear" w:color="auto" w:fill="FFFFFF"/>
        </w:rPr>
        <w:t>.</w:t>
      </w:r>
    </w:p>
    <w:p w14:paraId="31B2F6D4" w14:textId="77777777" w:rsidR="004D51BE" w:rsidRPr="00E57664" w:rsidRDefault="004D51BE" w:rsidP="004637AC">
      <w:pPr>
        <w:ind w:left="720" w:hanging="720"/>
        <w:rPr>
          <w:rFonts w:asciiTheme="minorHAnsi" w:hAnsiTheme="minorHAnsi" w:cstheme="minorHAnsi"/>
          <w:shd w:val="clear" w:color="auto" w:fill="FFFFFF"/>
        </w:rPr>
      </w:pPr>
      <w:proofErr w:type="spellStart"/>
      <w:r w:rsidRPr="00E57664">
        <w:rPr>
          <w:rFonts w:asciiTheme="minorHAnsi" w:hAnsiTheme="minorHAnsi" w:cstheme="minorHAnsi"/>
          <w:shd w:val="clear" w:color="auto" w:fill="FFFFFF"/>
        </w:rPr>
        <w:t>Iasechko</w:t>
      </w:r>
      <w:proofErr w:type="spellEnd"/>
      <w:r w:rsidRPr="00E57664">
        <w:rPr>
          <w:rFonts w:asciiTheme="minorHAnsi" w:hAnsiTheme="minorHAnsi" w:cstheme="minorHAnsi"/>
          <w:shd w:val="clear" w:color="auto" w:fill="FFFFFF"/>
        </w:rPr>
        <w:t xml:space="preserve">, S.V., </w:t>
      </w:r>
      <w:proofErr w:type="spellStart"/>
      <w:r w:rsidRPr="00E57664">
        <w:rPr>
          <w:rFonts w:asciiTheme="minorHAnsi" w:hAnsiTheme="minorHAnsi" w:cstheme="minorHAnsi"/>
          <w:shd w:val="clear" w:color="auto" w:fill="FFFFFF"/>
        </w:rPr>
        <w:t>Haliantych</w:t>
      </w:r>
      <w:proofErr w:type="spellEnd"/>
      <w:r w:rsidRPr="00E57664">
        <w:rPr>
          <w:rFonts w:asciiTheme="minorHAnsi" w:hAnsiTheme="minorHAnsi" w:cstheme="minorHAnsi"/>
          <w:shd w:val="clear" w:color="auto" w:fill="FFFFFF"/>
        </w:rPr>
        <w:t xml:space="preserve">, M.K., </w:t>
      </w:r>
      <w:proofErr w:type="spellStart"/>
      <w:r w:rsidRPr="00E57664">
        <w:rPr>
          <w:rFonts w:asciiTheme="minorHAnsi" w:hAnsiTheme="minorHAnsi" w:cstheme="minorHAnsi"/>
          <w:shd w:val="clear" w:color="auto" w:fill="FFFFFF"/>
        </w:rPr>
        <w:t>Skomorovsky</w:t>
      </w:r>
      <w:proofErr w:type="spellEnd"/>
      <w:r w:rsidRPr="00E57664">
        <w:rPr>
          <w:rFonts w:asciiTheme="minorHAnsi" w:hAnsiTheme="minorHAnsi" w:cstheme="minorHAnsi"/>
          <w:shd w:val="clear" w:color="auto" w:fill="FFFFFF"/>
        </w:rPr>
        <w:t xml:space="preserve">, V.B., </w:t>
      </w:r>
      <w:proofErr w:type="spellStart"/>
      <w:r w:rsidRPr="00E57664">
        <w:rPr>
          <w:rFonts w:asciiTheme="minorHAnsi" w:hAnsiTheme="minorHAnsi" w:cstheme="minorHAnsi"/>
          <w:shd w:val="clear" w:color="auto" w:fill="FFFFFF"/>
        </w:rPr>
        <w:t>Zadorozhnyi</w:t>
      </w:r>
      <w:proofErr w:type="spellEnd"/>
      <w:r w:rsidRPr="00E57664">
        <w:rPr>
          <w:rFonts w:asciiTheme="minorHAnsi" w:hAnsiTheme="minorHAnsi" w:cstheme="minorHAnsi"/>
          <w:shd w:val="clear" w:color="auto" w:fill="FFFFFF"/>
        </w:rPr>
        <w:t xml:space="preserve">, V., </w:t>
      </w:r>
      <w:proofErr w:type="spellStart"/>
      <w:r w:rsidRPr="00E57664">
        <w:rPr>
          <w:rFonts w:asciiTheme="minorHAnsi" w:hAnsiTheme="minorHAnsi" w:cstheme="minorHAnsi"/>
          <w:shd w:val="clear" w:color="auto" w:fill="FFFFFF"/>
        </w:rPr>
        <w:t>Obryvkina</w:t>
      </w:r>
      <w:proofErr w:type="spellEnd"/>
      <w:r w:rsidRPr="00E57664">
        <w:rPr>
          <w:rFonts w:asciiTheme="minorHAnsi" w:hAnsiTheme="minorHAnsi" w:cstheme="minorHAnsi"/>
          <w:shd w:val="clear" w:color="auto" w:fill="FFFFFF"/>
        </w:rPr>
        <w:t xml:space="preserve">, O. and </w:t>
      </w:r>
      <w:proofErr w:type="spellStart"/>
      <w:r w:rsidRPr="00E57664">
        <w:rPr>
          <w:rFonts w:asciiTheme="minorHAnsi" w:hAnsiTheme="minorHAnsi" w:cstheme="minorHAnsi"/>
          <w:shd w:val="clear" w:color="auto" w:fill="FFFFFF"/>
        </w:rPr>
        <w:t>Pohrebniak</w:t>
      </w:r>
      <w:proofErr w:type="spellEnd"/>
      <w:r w:rsidRPr="00E57664">
        <w:rPr>
          <w:rFonts w:asciiTheme="minorHAnsi" w:hAnsiTheme="minorHAnsi" w:cstheme="minorHAnsi"/>
          <w:shd w:val="clear" w:color="auto" w:fill="FFFFFF"/>
        </w:rPr>
        <w:t>, O.S., 2020. Contractual relations in the information sphere.</w:t>
      </w:r>
    </w:p>
    <w:p w14:paraId="39B4034D" w14:textId="77777777" w:rsidR="004D51BE" w:rsidRPr="00E57664" w:rsidRDefault="004D51BE" w:rsidP="004637AC">
      <w:pPr>
        <w:ind w:left="720" w:hanging="720"/>
        <w:rPr>
          <w:rFonts w:asciiTheme="minorHAnsi" w:hAnsiTheme="minorHAnsi" w:cstheme="minorHAnsi"/>
          <w:shd w:val="clear" w:color="auto" w:fill="FFFFFF"/>
        </w:rPr>
      </w:pPr>
      <w:r w:rsidRPr="00E57664">
        <w:rPr>
          <w:rFonts w:asciiTheme="minorHAnsi" w:hAnsiTheme="minorHAnsi" w:cstheme="minorHAnsi"/>
          <w:shd w:val="clear" w:color="auto" w:fill="FFFFFF"/>
        </w:rPr>
        <w:t>Knapp, C.L., Crystal, N.M., Prince, H.G., Hart, D.K. and Silverstein, J.M., 2023. </w:t>
      </w:r>
      <w:r w:rsidRPr="00E57664">
        <w:rPr>
          <w:rFonts w:asciiTheme="minorHAnsi" w:hAnsiTheme="minorHAnsi" w:cstheme="minorHAnsi"/>
          <w:i/>
          <w:iCs/>
          <w:shd w:val="clear" w:color="auto" w:fill="FFFFFF"/>
        </w:rPr>
        <w:t>Problems in Contract Law: cases and materials</w:t>
      </w:r>
      <w:r w:rsidRPr="00E57664">
        <w:rPr>
          <w:rFonts w:asciiTheme="minorHAnsi" w:hAnsiTheme="minorHAnsi" w:cstheme="minorHAnsi"/>
          <w:shd w:val="clear" w:color="auto" w:fill="FFFFFF"/>
        </w:rPr>
        <w:t>. Aspen Publishing.</w:t>
      </w:r>
    </w:p>
    <w:p w14:paraId="49EF641C" w14:textId="77777777" w:rsidR="004D51BE" w:rsidRPr="00E57664" w:rsidRDefault="004D51BE" w:rsidP="004637AC">
      <w:pPr>
        <w:ind w:left="720" w:hanging="720"/>
        <w:rPr>
          <w:rFonts w:asciiTheme="minorHAnsi" w:hAnsiTheme="minorHAnsi" w:cstheme="minorHAnsi"/>
          <w:shd w:val="clear" w:color="auto" w:fill="FFFFFF"/>
        </w:rPr>
      </w:pPr>
      <w:r w:rsidRPr="00E57664">
        <w:rPr>
          <w:rFonts w:asciiTheme="minorHAnsi" w:hAnsiTheme="minorHAnsi" w:cstheme="minorHAnsi"/>
          <w:shd w:val="clear" w:color="auto" w:fill="FFFFFF"/>
        </w:rPr>
        <w:t>Macaulay, S., 2020. The use and non-use of contracts in the manufacturing industry. </w:t>
      </w:r>
      <w:r w:rsidRPr="00E57664">
        <w:rPr>
          <w:rFonts w:asciiTheme="minorHAnsi" w:hAnsiTheme="minorHAnsi" w:cstheme="minorHAnsi"/>
          <w:i/>
          <w:iCs/>
          <w:shd w:val="clear" w:color="auto" w:fill="FFFFFF"/>
        </w:rPr>
        <w:t>Stewart Macaulay: Selected Works</w:t>
      </w:r>
      <w:r w:rsidRPr="00E57664">
        <w:rPr>
          <w:rFonts w:asciiTheme="minorHAnsi" w:hAnsiTheme="minorHAnsi" w:cstheme="minorHAnsi"/>
          <w:shd w:val="clear" w:color="auto" w:fill="FFFFFF"/>
        </w:rPr>
        <w:t>, pp.33-58.</w:t>
      </w:r>
    </w:p>
    <w:p w14:paraId="7FE0566B" w14:textId="77777777" w:rsidR="004D51BE" w:rsidRPr="00E57664" w:rsidRDefault="004D51BE" w:rsidP="004637AC">
      <w:pPr>
        <w:ind w:left="720" w:hanging="720"/>
        <w:rPr>
          <w:rFonts w:asciiTheme="minorHAnsi" w:hAnsiTheme="minorHAnsi" w:cstheme="minorHAnsi"/>
          <w:shd w:val="clear" w:color="auto" w:fill="FFFFFF"/>
        </w:rPr>
      </w:pPr>
      <w:r w:rsidRPr="00E57664">
        <w:rPr>
          <w:rFonts w:asciiTheme="minorHAnsi" w:hAnsiTheme="minorHAnsi" w:cstheme="minorHAnsi"/>
          <w:shd w:val="clear" w:color="auto" w:fill="FFFFFF"/>
        </w:rPr>
        <w:t>Markovits, D., 2020. Contract as collaboration. In </w:t>
      </w:r>
      <w:r w:rsidRPr="00E57664">
        <w:rPr>
          <w:rFonts w:asciiTheme="minorHAnsi" w:hAnsiTheme="minorHAnsi" w:cstheme="minorHAnsi"/>
          <w:i/>
          <w:iCs/>
          <w:shd w:val="clear" w:color="auto" w:fill="FFFFFF"/>
        </w:rPr>
        <w:t>Research Handbook on Private Law Theory</w:t>
      </w:r>
      <w:r w:rsidRPr="00E57664">
        <w:rPr>
          <w:rFonts w:asciiTheme="minorHAnsi" w:hAnsiTheme="minorHAnsi" w:cstheme="minorHAnsi"/>
          <w:shd w:val="clear" w:color="auto" w:fill="FFFFFF"/>
        </w:rPr>
        <w:t> (pp. 96-111). Edward Elgar Publishing.</w:t>
      </w:r>
    </w:p>
    <w:p w14:paraId="5C603550" w14:textId="77777777" w:rsidR="004D51BE" w:rsidRPr="00E57664" w:rsidRDefault="004D51BE" w:rsidP="004637AC">
      <w:pPr>
        <w:ind w:left="720" w:hanging="720"/>
        <w:rPr>
          <w:rFonts w:asciiTheme="minorHAnsi" w:hAnsiTheme="minorHAnsi" w:cstheme="minorHAnsi"/>
          <w:shd w:val="clear" w:color="auto" w:fill="FFFFFF"/>
        </w:rPr>
      </w:pPr>
      <w:r w:rsidRPr="00E57664">
        <w:rPr>
          <w:rFonts w:asciiTheme="minorHAnsi" w:hAnsiTheme="minorHAnsi" w:cstheme="minorHAnsi"/>
          <w:shd w:val="clear" w:color="auto" w:fill="FFFFFF"/>
        </w:rPr>
        <w:lastRenderedPageBreak/>
        <w:t xml:space="preserve">McNamara, A.J. and </w:t>
      </w:r>
      <w:proofErr w:type="spellStart"/>
      <w:r w:rsidRPr="00E57664">
        <w:rPr>
          <w:rFonts w:asciiTheme="minorHAnsi" w:hAnsiTheme="minorHAnsi" w:cstheme="minorHAnsi"/>
          <w:shd w:val="clear" w:color="auto" w:fill="FFFFFF"/>
        </w:rPr>
        <w:t>Sepasgozar</w:t>
      </w:r>
      <w:proofErr w:type="spellEnd"/>
      <w:r w:rsidRPr="00E57664">
        <w:rPr>
          <w:rFonts w:asciiTheme="minorHAnsi" w:hAnsiTheme="minorHAnsi" w:cstheme="minorHAnsi"/>
          <w:shd w:val="clear" w:color="auto" w:fill="FFFFFF"/>
        </w:rPr>
        <w:t>, S.M., 2021. Intelligent contract adoption in the construction industry: Concept development. </w:t>
      </w:r>
      <w:r w:rsidRPr="00E57664">
        <w:rPr>
          <w:rFonts w:asciiTheme="minorHAnsi" w:hAnsiTheme="minorHAnsi" w:cstheme="minorHAnsi"/>
          <w:i/>
          <w:iCs/>
          <w:shd w:val="clear" w:color="auto" w:fill="FFFFFF"/>
        </w:rPr>
        <w:t>Automation in construction</w:t>
      </w:r>
      <w:r w:rsidRPr="00E57664">
        <w:rPr>
          <w:rFonts w:asciiTheme="minorHAnsi" w:hAnsiTheme="minorHAnsi" w:cstheme="minorHAnsi"/>
          <w:shd w:val="clear" w:color="auto" w:fill="FFFFFF"/>
        </w:rPr>
        <w:t>, </w:t>
      </w:r>
      <w:r w:rsidRPr="00E57664">
        <w:rPr>
          <w:rFonts w:asciiTheme="minorHAnsi" w:hAnsiTheme="minorHAnsi" w:cstheme="minorHAnsi"/>
          <w:i/>
          <w:iCs/>
          <w:shd w:val="clear" w:color="auto" w:fill="FFFFFF"/>
        </w:rPr>
        <w:t>122</w:t>
      </w:r>
      <w:r w:rsidRPr="00E57664">
        <w:rPr>
          <w:rFonts w:asciiTheme="minorHAnsi" w:hAnsiTheme="minorHAnsi" w:cstheme="minorHAnsi"/>
          <w:shd w:val="clear" w:color="auto" w:fill="FFFFFF"/>
        </w:rPr>
        <w:t>, p.103452.</w:t>
      </w:r>
    </w:p>
    <w:p w14:paraId="71EA345F" w14:textId="77777777" w:rsidR="004D51BE" w:rsidRPr="00E57664" w:rsidRDefault="004D51BE" w:rsidP="004637AC">
      <w:pPr>
        <w:ind w:left="720" w:hanging="720"/>
        <w:rPr>
          <w:rFonts w:asciiTheme="minorHAnsi" w:hAnsiTheme="minorHAnsi" w:cstheme="minorHAnsi"/>
          <w:shd w:val="clear" w:color="auto" w:fill="FFFFFF"/>
        </w:rPr>
      </w:pPr>
      <w:r w:rsidRPr="00E57664">
        <w:rPr>
          <w:rFonts w:asciiTheme="minorHAnsi" w:hAnsiTheme="minorHAnsi" w:cstheme="minorHAnsi"/>
          <w:shd w:val="clear" w:color="auto" w:fill="FFFFFF"/>
        </w:rPr>
        <w:t>O'Sullivan, J., 2020. </w:t>
      </w:r>
      <w:r w:rsidRPr="00E57664">
        <w:rPr>
          <w:rFonts w:asciiTheme="minorHAnsi" w:hAnsiTheme="minorHAnsi" w:cstheme="minorHAnsi"/>
          <w:i/>
          <w:iCs/>
          <w:shd w:val="clear" w:color="auto" w:fill="FFFFFF"/>
        </w:rPr>
        <w:t>O'Sullivan and Hilliard's the Law of Contract</w:t>
      </w:r>
      <w:r w:rsidRPr="00E57664">
        <w:rPr>
          <w:rFonts w:asciiTheme="minorHAnsi" w:hAnsiTheme="minorHAnsi" w:cstheme="minorHAnsi"/>
          <w:shd w:val="clear" w:color="auto" w:fill="FFFFFF"/>
        </w:rPr>
        <w:t>. Core Texts Series.</w:t>
      </w:r>
    </w:p>
    <w:p w14:paraId="40E81972" w14:textId="77777777" w:rsidR="004D51BE" w:rsidRPr="00E57664" w:rsidRDefault="004D51BE" w:rsidP="004637AC">
      <w:pPr>
        <w:ind w:left="720" w:hanging="720"/>
        <w:rPr>
          <w:rFonts w:asciiTheme="minorHAnsi" w:hAnsiTheme="minorHAnsi" w:cstheme="minorHAnsi"/>
          <w:shd w:val="clear" w:color="auto" w:fill="FFFFFF"/>
        </w:rPr>
      </w:pPr>
      <w:r w:rsidRPr="00E57664">
        <w:rPr>
          <w:rFonts w:asciiTheme="minorHAnsi" w:hAnsiTheme="minorHAnsi" w:cstheme="minorHAnsi"/>
          <w:shd w:val="clear" w:color="auto" w:fill="FFFFFF"/>
        </w:rPr>
        <w:t>Robertson, V.H., 2020. Excessive data collection: privacy considerations and abuse of dominance in the era of big data. </w:t>
      </w:r>
      <w:r w:rsidRPr="00E57664">
        <w:rPr>
          <w:rFonts w:asciiTheme="minorHAnsi" w:hAnsiTheme="minorHAnsi" w:cstheme="minorHAnsi"/>
          <w:i/>
          <w:iCs/>
          <w:shd w:val="clear" w:color="auto" w:fill="FFFFFF"/>
        </w:rPr>
        <w:t>Common Market Law Review</w:t>
      </w:r>
      <w:r w:rsidRPr="00E57664">
        <w:rPr>
          <w:rFonts w:asciiTheme="minorHAnsi" w:hAnsiTheme="minorHAnsi" w:cstheme="minorHAnsi"/>
          <w:shd w:val="clear" w:color="auto" w:fill="FFFFFF"/>
        </w:rPr>
        <w:t>, </w:t>
      </w:r>
      <w:r w:rsidRPr="00E57664">
        <w:rPr>
          <w:rFonts w:asciiTheme="minorHAnsi" w:hAnsiTheme="minorHAnsi" w:cstheme="minorHAnsi"/>
          <w:i/>
          <w:iCs/>
          <w:shd w:val="clear" w:color="auto" w:fill="FFFFFF"/>
        </w:rPr>
        <w:t>57</w:t>
      </w:r>
      <w:r w:rsidRPr="00E57664">
        <w:rPr>
          <w:rFonts w:asciiTheme="minorHAnsi" w:hAnsiTheme="minorHAnsi" w:cstheme="minorHAnsi"/>
          <w:shd w:val="clear" w:color="auto" w:fill="FFFFFF"/>
        </w:rPr>
        <w:t>(1).</w:t>
      </w:r>
    </w:p>
    <w:p w14:paraId="23250AD9" w14:textId="77777777" w:rsidR="004D51BE" w:rsidRPr="00E57664" w:rsidRDefault="004D51BE" w:rsidP="004637AC">
      <w:pPr>
        <w:ind w:left="720" w:hanging="720"/>
        <w:rPr>
          <w:rFonts w:asciiTheme="minorHAnsi" w:hAnsiTheme="minorHAnsi" w:cstheme="minorHAnsi"/>
          <w:shd w:val="clear" w:color="auto" w:fill="FFFFFF"/>
        </w:rPr>
      </w:pPr>
      <w:r w:rsidRPr="00E57664">
        <w:rPr>
          <w:rFonts w:asciiTheme="minorHAnsi" w:hAnsiTheme="minorHAnsi" w:cstheme="minorHAnsi"/>
          <w:shd w:val="clear" w:color="auto" w:fill="FFFFFF"/>
        </w:rPr>
        <w:t xml:space="preserve">Shojaei, A., Flood, I., </w:t>
      </w:r>
      <w:proofErr w:type="spellStart"/>
      <w:r w:rsidRPr="00E57664">
        <w:rPr>
          <w:rFonts w:asciiTheme="minorHAnsi" w:hAnsiTheme="minorHAnsi" w:cstheme="minorHAnsi"/>
          <w:shd w:val="clear" w:color="auto" w:fill="FFFFFF"/>
        </w:rPr>
        <w:t>Moud</w:t>
      </w:r>
      <w:proofErr w:type="spellEnd"/>
      <w:r w:rsidRPr="00E57664">
        <w:rPr>
          <w:rFonts w:asciiTheme="minorHAnsi" w:hAnsiTheme="minorHAnsi" w:cstheme="minorHAnsi"/>
          <w:shd w:val="clear" w:color="auto" w:fill="FFFFFF"/>
        </w:rPr>
        <w:t>, H.I., Hatami, M. and Zhang, X., 2020. An implementation of smart contracts by integrating BIM and blockchain. In </w:t>
      </w:r>
      <w:r w:rsidRPr="00E57664">
        <w:rPr>
          <w:rFonts w:asciiTheme="minorHAnsi" w:hAnsiTheme="minorHAnsi" w:cstheme="minorHAnsi"/>
          <w:i/>
          <w:iCs/>
          <w:shd w:val="clear" w:color="auto" w:fill="FFFFFF"/>
        </w:rPr>
        <w:t>Proceedings of the Future Technologies Conference (FTC) 2019: Volume 2</w:t>
      </w:r>
      <w:r w:rsidRPr="00E57664">
        <w:rPr>
          <w:rFonts w:asciiTheme="minorHAnsi" w:hAnsiTheme="minorHAnsi" w:cstheme="minorHAnsi"/>
          <w:shd w:val="clear" w:color="auto" w:fill="FFFFFF"/>
        </w:rPr>
        <w:t> (pp. 519-527). Springer International Publishing.</w:t>
      </w:r>
    </w:p>
    <w:p w14:paraId="5F1DF7E7" w14:textId="77777777" w:rsidR="004D51BE" w:rsidRPr="00E57664" w:rsidRDefault="004D51BE" w:rsidP="004637AC">
      <w:pPr>
        <w:ind w:left="720" w:hanging="720"/>
        <w:rPr>
          <w:rFonts w:asciiTheme="minorHAnsi" w:hAnsiTheme="minorHAnsi" w:cstheme="minorHAnsi"/>
          <w:shd w:val="clear" w:color="auto" w:fill="FFFFFF"/>
        </w:rPr>
      </w:pPr>
      <w:r w:rsidRPr="00E57664">
        <w:rPr>
          <w:rFonts w:asciiTheme="minorHAnsi" w:hAnsiTheme="minorHAnsi" w:cstheme="minorHAnsi"/>
          <w:shd w:val="clear" w:color="auto" w:fill="FFFFFF"/>
        </w:rPr>
        <w:t>Stone, R. and Devenney, J., 2022. </w:t>
      </w:r>
      <w:r w:rsidRPr="00E57664">
        <w:rPr>
          <w:rFonts w:asciiTheme="minorHAnsi" w:hAnsiTheme="minorHAnsi" w:cstheme="minorHAnsi"/>
          <w:i/>
          <w:iCs/>
          <w:shd w:val="clear" w:color="auto" w:fill="FFFFFF"/>
        </w:rPr>
        <w:t>The modern law of contract</w:t>
      </w:r>
      <w:r w:rsidRPr="00E57664">
        <w:rPr>
          <w:rFonts w:asciiTheme="minorHAnsi" w:hAnsiTheme="minorHAnsi" w:cstheme="minorHAnsi"/>
          <w:shd w:val="clear" w:color="auto" w:fill="FFFFFF"/>
        </w:rPr>
        <w:t>. Routledge.</w:t>
      </w:r>
    </w:p>
    <w:p w14:paraId="51A104C3" w14:textId="42A22ED9" w:rsidR="004D51BE" w:rsidRDefault="004D51BE" w:rsidP="004637AC">
      <w:pPr>
        <w:ind w:left="720" w:hanging="720"/>
        <w:rPr>
          <w:shd w:val="clear" w:color="auto" w:fill="FFFFFF"/>
        </w:rPr>
      </w:pPr>
    </w:p>
    <w:p w14:paraId="179CEA41" w14:textId="42D0B7AF" w:rsidR="004D51BE" w:rsidRDefault="004D51BE" w:rsidP="004637AC"/>
    <w:p w14:paraId="7B5723B8" w14:textId="2DA7CFAE" w:rsidR="004D51BE" w:rsidRDefault="004D51BE" w:rsidP="004637AC"/>
    <w:p w14:paraId="5CC8D8E3" w14:textId="4610722E" w:rsidR="004D51BE" w:rsidRDefault="004D51BE" w:rsidP="004637AC"/>
    <w:p w14:paraId="44C86168" w14:textId="6CE6601B" w:rsidR="004D51BE" w:rsidRDefault="004D51BE" w:rsidP="004637AC"/>
    <w:p w14:paraId="3B693412" w14:textId="01A1FADC" w:rsidR="004D51BE" w:rsidRDefault="004D51BE" w:rsidP="004637AC"/>
    <w:p w14:paraId="2588B9CA" w14:textId="4213836A" w:rsidR="004D51BE" w:rsidRDefault="004D51BE" w:rsidP="004637AC"/>
    <w:p w14:paraId="59098053" w14:textId="6E0A66E9" w:rsidR="004D51BE" w:rsidRDefault="004D51BE" w:rsidP="004637AC"/>
    <w:p w14:paraId="7BDFD2C8" w14:textId="465D69D4" w:rsidR="004D51BE" w:rsidRDefault="004D51BE" w:rsidP="004637AC"/>
    <w:p w14:paraId="2E1E87A6" w14:textId="62BE1143" w:rsidR="004D51BE" w:rsidRDefault="004D51BE" w:rsidP="004637AC"/>
    <w:p w14:paraId="3EC79C61" w14:textId="08887895" w:rsidR="004D51BE" w:rsidRDefault="004D51BE" w:rsidP="004637AC"/>
    <w:p w14:paraId="6C00F0E0" w14:textId="32FFCF13" w:rsidR="004D51BE" w:rsidRDefault="004D51BE" w:rsidP="004637AC"/>
    <w:p w14:paraId="037FB772" w14:textId="78E1B3A3" w:rsidR="004D51BE" w:rsidRDefault="004D51BE" w:rsidP="004637AC"/>
    <w:p w14:paraId="63B64AC5" w14:textId="13BCD4DC" w:rsidR="004D51BE" w:rsidRDefault="004D51BE" w:rsidP="004637AC"/>
    <w:p w14:paraId="02C00444" w14:textId="12CD3611" w:rsidR="004D51BE" w:rsidRDefault="004D51BE" w:rsidP="004637AC">
      <w:pPr>
        <w:ind w:left="720" w:hanging="720"/>
      </w:pPr>
    </w:p>
    <w:p w14:paraId="69E0F6B6" w14:textId="659FE85D" w:rsidR="00B94F45" w:rsidRDefault="00B94F45" w:rsidP="004637AC"/>
    <w:sectPr w:rsidR="00B94F45" w:rsidSect="00E57664">
      <w:head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452DE" w14:textId="77777777" w:rsidR="00E36808" w:rsidRDefault="00E36808" w:rsidP="00B94F45">
      <w:pPr>
        <w:spacing w:before="0" w:after="0" w:line="240" w:lineRule="auto"/>
      </w:pPr>
      <w:r>
        <w:separator/>
      </w:r>
    </w:p>
  </w:endnote>
  <w:endnote w:type="continuationSeparator" w:id="0">
    <w:p w14:paraId="4FF1B537" w14:textId="77777777" w:rsidR="00E36808" w:rsidRDefault="00E36808" w:rsidP="00B94F4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BCF10" w14:textId="77777777" w:rsidR="00E36808" w:rsidRDefault="00E36808" w:rsidP="00B94F45">
      <w:pPr>
        <w:spacing w:before="0" w:after="0" w:line="240" w:lineRule="auto"/>
      </w:pPr>
      <w:r>
        <w:separator/>
      </w:r>
    </w:p>
  </w:footnote>
  <w:footnote w:type="continuationSeparator" w:id="0">
    <w:p w14:paraId="20CBEB44" w14:textId="77777777" w:rsidR="00E36808" w:rsidRDefault="00E36808" w:rsidP="00B94F4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7467000"/>
      <w:docPartObj>
        <w:docPartGallery w:val="Page Numbers (Top of Page)"/>
        <w:docPartUnique/>
      </w:docPartObj>
    </w:sdtPr>
    <w:sdtEndPr>
      <w:rPr>
        <w:noProof/>
      </w:rPr>
    </w:sdtEndPr>
    <w:sdtContent>
      <w:p w14:paraId="496A01A5" w14:textId="3394E391" w:rsidR="00B94F45" w:rsidRDefault="00B94F4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DE618C3" w14:textId="77777777" w:rsidR="00B94F45" w:rsidRDefault="00B94F4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FFD"/>
    <w:rsid w:val="000317D9"/>
    <w:rsid w:val="000345F6"/>
    <w:rsid w:val="000A2D41"/>
    <w:rsid w:val="000D265F"/>
    <w:rsid w:val="00234024"/>
    <w:rsid w:val="00253B73"/>
    <w:rsid w:val="002E0ACD"/>
    <w:rsid w:val="00314FFD"/>
    <w:rsid w:val="0040494A"/>
    <w:rsid w:val="004637AC"/>
    <w:rsid w:val="004764C9"/>
    <w:rsid w:val="004D51BE"/>
    <w:rsid w:val="005C50E8"/>
    <w:rsid w:val="0088024C"/>
    <w:rsid w:val="009211D0"/>
    <w:rsid w:val="009D4CE9"/>
    <w:rsid w:val="00AF558E"/>
    <w:rsid w:val="00B94F45"/>
    <w:rsid w:val="00C93D1C"/>
    <w:rsid w:val="00D258A2"/>
    <w:rsid w:val="00DA1167"/>
    <w:rsid w:val="00E36808"/>
    <w:rsid w:val="00E57664"/>
    <w:rsid w:val="00FE49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79EE37"/>
  <w15:chartTrackingRefBased/>
  <w15:docId w15:val="{F0F901E3-F0C9-4C41-B97E-7F56C3DA6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4CE9"/>
    <w:pPr>
      <w:spacing w:before="120" w:after="120" w:line="480" w:lineRule="auto"/>
      <w:ind w:firstLine="720"/>
      <w:contextualSpacing/>
      <w:jc w:val="both"/>
    </w:pPr>
    <w:rPr>
      <w:rFonts w:ascii="Times New Roman" w:hAnsi="Times New Roman"/>
      <w:sz w:val="24"/>
      <w:lang w:val="en-GB"/>
    </w:rPr>
  </w:style>
  <w:style w:type="paragraph" w:styleId="Heading1">
    <w:name w:val="heading 1"/>
    <w:basedOn w:val="Normal"/>
    <w:next w:val="Normal"/>
    <w:link w:val="Heading1Char"/>
    <w:uiPriority w:val="9"/>
    <w:qFormat/>
    <w:rsid w:val="009D4CE9"/>
    <w:pPr>
      <w:ind w:firstLine="0"/>
      <w:jc w:val="left"/>
      <w:outlineLvl w:val="0"/>
    </w:pPr>
    <w:rPr>
      <w:b/>
      <w:i/>
    </w:rPr>
  </w:style>
  <w:style w:type="paragraph" w:styleId="Heading2">
    <w:name w:val="heading 2"/>
    <w:basedOn w:val="Heading1"/>
    <w:next w:val="Normal"/>
    <w:link w:val="Heading2Char"/>
    <w:uiPriority w:val="9"/>
    <w:unhideWhenUsed/>
    <w:qFormat/>
    <w:rsid w:val="009D4CE9"/>
    <w:pPr>
      <w:outlineLvl w:val="1"/>
    </w:pPr>
    <w:rPr>
      <w:b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4CE9"/>
    <w:rPr>
      <w:rFonts w:ascii="Times New Roman" w:hAnsi="Times New Roman"/>
      <w:b/>
      <w:i/>
      <w:sz w:val="24"/>
      <w:lang w:val="en-GB"/>
    </w:rPr>
  </w:style>
  <w:style w:type="character" w:customStyle="1" w:styleId="Heading2Char">
    <w:name w:val="Heading 2 Char"/>
    <w:basedOn w:val="DefaultParagraphFont"/>
    <w:link w:val="Heading2"/>
    <w:uiPriority w:val="9"/>
    <w:rsid w:val="009D4CE9"/>
    <w:rPr>
      <w:rFonts w:ascii="Times New Roman" w:hAnsi="Times New Roman"/>
      <w:i/>
      <w:sz w:val="24"/>
      <w:lang w:val="en-GB"/>
    </w:rPr>
  </w:style>
  <w:style w:type="paragraph" w:styleId="Header">
    <w:name w:val="header"/>
    <w:basedOn w:val="Normal"/>
    <w:link w:val="HeaderChar"/>
    <w:uiPriority w:val="99"/>
    <w:unhideWhenUsed/>
    <w:rsid w:val="00B94F4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94F45"/>
    <w:rPr>
      <w:rFonts w:ascii="Times New Roman" w:hAnsi="Times New Roman"/>
      <w:sz w:val="24"/>
      <w:lang w:val="en-GB"/>
    </w:rPr>
  </w:style>
  <w:style w:type="paragraph" w:styleId="Footer">
    <w:name w:val="footer"/>
    <w:basedOn w:val="Normal"/>
    <w:link w:val="FooterChar"/>
    <w:uiPriority w:val="99"/>
    <w:unhideWhenUsed/>
    <w:rsid w:val="00B94F4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94F45"/>
    <w:rPr>
      <w:rFonts w:ascii="Times New Roman" w:hAnsi="Times New Roman"/>
      <w:sz w:val="24"/>
      <w:lang w:val="en-GB"/>
    </w:rPr>
  </w:style>
  <w:style w:type="paragraph" w:styleId="TOCHeading">
    <w:name w:val="TOC Heading"/>
    <w:basedOn w:val="Heading1"/>
    <w:next w:val="Normal"/>
    <w:uiPriority w:val="39"/>
    <w:unhideWhenUsed/>
    <w:qFormat/>
    <w:rsid w:val="009211D0"/>
    <w:pPr>
      <w:keepNext/>
      <w:keepLines/>
      <w:spacing w:before="240" w:after="0" w:line="259" w:lineRule="auto"/>
      <w:contextualSpacing w:val="0"/>
      <w:outlineLvl w:val="9"/>
    </w:pPr>
    <w:rPr>
      <w:rFonts w:asciiTheme="majorHAnsi" w:eastAsiaTheme="majorEastAsia" w:hAnsiTheme="majorHAnsi" w:cstheme="majorBidi"/>
      <w:b w:val="0"/>
      <w:i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9211D0"/>
    <w:pPr>
      <w:spacing w:after="100"/>
    </w:pPr>
  </w:style>
  <w:style w:type="character" w:styleId="Hyperlink">
    <w:name w:val="Hyperlink"/>
    <w:basedOn w:val="DefaultParagraphFont"/>
    <w:uiPriority w:val="99"/>
    <w:unhideWhenUsed/>
    <w:rsid w:val="009211D0"/>
    <w:rPr>
      <w:color w:val="0563C1" w:themeColor="hyperlink"/>
      <w:u w:val="single"/>
    </w:rPr>
  </w:style>
  <w:style w:type="paragraph" w:styleId="NoSpacing">
    <w:name w:val="No Spacing"/>
    <w:link w:val="NoSpacingChar"/>
    <w:uiPriority w:val="1"/>
    <w:qFormat/>
    <w:rsid w:val="00E57664"/>
    <w:pPr>
      <w:spacing w:after="0" w:line="240" w:lineRule="auto"/>
    </w:pPr>
    <w:rPr>
      <w:rFonts w:eastAsiaTheme="minorEastAsia"/>
      <w:kern w:val="0"/>
      <w:lang w:val="en-GB" w:eastAsia="en-GB"/>
      <w14:ligatures w14:val="none"/>
    </w:rPr>
  </w:style>
  <w:style w:type="character" w:customStyle="1" w:styleId="NoSpacingChar">
    <w:name w:val="No Spacing Char"/>
    <w:basedOn w:val="DefaultParagraphFont"/>
    <w:link w:val="NoSpacing"/>
    <w:uiPriority w:val="1"/>
    <w:rsid w:val="00E57664"/>
    <w:rPr>
      <w:rFonts w:eastAsiaTheme="minorEastAsia"/>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2207678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1FC4A3-74FC-472E-B399-EB81F5E2D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2409</Words>
  <Characters>12957</Characters>
  <Application>Microsoft Office Word</Application>
  <DocSecurity>0</DocSecurity>
  <Lines>210</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LAW</dc:title>
  <dc:subject>Consideration</dc:subject>
  <dc:creator>Madalina Blaglosov</dc:creator>
  <cp:keywords/>
  <dc:description/>
  <cp:lastModifiedBy>Madalina Blaglosov</cp:lastModifiedBy>
  <cp:revision>2</cp:revision>
  <dcterms:created xsi:type="dcterms:W3CDTF">2024-03-10T13:42:00Z</dcterms:created>
  <dcterms:modified xsi:type="dcterms:W3CDTF">2024-03-10T13:42:00Z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3b90b6018ff7de75c550c9f81f6cd8fa364763a6cc303b965479099298128867</vt:lpwstr>
  </property>
</Properties>
</file>