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7"/>
      </w:tblGrid>
      <w:tr w:rsidR="00F927A1" w:rsidRPr="005D3F07" w14:paraId="68CAA39D" w14:textId="77777777" w:rsidTr="00483B2C">
        <w:trPr>
          <w:trHeight w:val="4153"/>
        </w:trPr>
        <w:tc>
          <w:tcPr>
            <w:tcW w:w="10757" w:type="dxa"/>
          </w:tcPr>
          <w:p w14:paraId="49DE13E9" w14:textId="77777777" w:rsidR="00483B2C" w:rsidRPr="00483B2C" w:rsidRDefault="00483B2C" w:rsidP="00483B2C">
            <w:pPr>
              <w:overflowPunct/>
              <w:autoSpaceDE/>
              <w:autoSpaceDN/>
              <w:adjustRightInd/>
              <w:ind w:right="-957"/>
              <w:textAlignment w:val="auto"/>
              <w:rPr>
                <w:rFonts w:ascii="Times New Roman" w:hAnsi="Times New Roman" w:cs="Times New Roman"/>
                <w:b/>
                <w:color w:val="auto"/>
                <w:sz w:val="48"/>
              </w:rPr>
            </w:pPr>
            <w:r w:rsidRPr="00483B2C">
              <w:rPr>
                <w:rFonts w:ascii="Times New Roman" w:hAnsi="Times New Roman" w:cs="Times New Roman"/>
                <w:b/>
                <w:color w:val="auto"/>
                <w:sz w:val="48"/>
              </w:rPr>
              <w:t>Learner’s name: Andrew O’Rourke</w:t>
            </w:r>
          </w:p>
          <w:p w14:paraId="67AEB23A" w14:textId="77777777" w:rsidR="00483B2C" w:rsidRPr="00483B2C" w:rsidRDefault="00483B2C" w:rsidP="00483B2C">
            <w:pPr>
              <w:overflowPunct/>
              <w:autoSpaceDE/>
              <w:autoSpaceDN/>
              <w:adjustRightInd/>
              <w:ind w:right="-957"/>
              <w:textAlignment w:val="auto"/>
              <w:rPr>
                <w:rFonts w:ascii="Times New Roman" w:hAnsi="Times New Roman" w:cs="Times New Roman"/>
                <w:b/>
                <w:color w:val="auto"/>
                <w:sz w:val="48"/>
              </w:rPr>
            </w:pPr>
          </w:p>
          <w:p w14:paraId="33F83A15" w14:textId="64B3AE29" w:rsidR="00483B2C" w:rsidRPr="00483B2C" w:rsidRDefault="00483B2C" w:rsidP="00483B2C">
            <w:pPr>
              <w:overflowPunct/>
              <w:autoSpaceDE/>
              <w:autoSpaceDN/>
              <w:adjustRightInd/>
              <w:ind w:right="-957"/>
              <w:textAlignment w:val="auto"/>
              <w:rPr>
                <w:rFonts w:ascii="Times New Roman" w:hAnsi="Times New Roman" w:cs="Times New Roman"/>
                <w:b/>
                <w:color w:val="auto"/>
                <w:sz w:val="48"/>
              </w:rPr>
            </w:pPr>
            <w:r w:rsidRPr="00483B2C">
              <w:rPr>
                <w:rFonts w:ascii="Times New Roman" w:hAnsi="Times New Roman" w:cs="Times New Roman"/>
                <w:b/>
                <w:color w:val="auto"/>
                <w:sz w:val="48"/>
              </w:rPr>
              <w:t xml:space="preserve">Email address: </w:t>
            </w:r>
            <w:hyperlink r:id="rId11" w:history="1">
              <w:r w:rsidR="006D7756" w:rsidRPr="00A96722">
                <w:rPr>
                  <w:rStyle w:val="Hyperlink"/>
                  <w:rFonts w:ascii="Times New Roman" w:hAnsi="Times New Roman" w:cs="Times New Roman"/>
                  <w:b/>
                  <w:sz w:val="48"/>
                </w:rPr>
                <w:t>Andrew.orourke@flintshire.gov.uk</w:t>
              </w:r>
            </w:hyperlink>
            <w:r w:rsidR="006D7756">
              <w:rPr>
                <w:rFonts w:ascii="Times New Roman" w:hAnsi="Times New Roman" w:cs="Times New Roman"/>
                <w:b/>
                <w:color w:val="auto"/>
                <w:sz w:val="48"/>
              </w:rPr>
              <w:t xml:space="preserve"> </w:t>
            </w:r>
          </w:p>
          <w:p w14:paraId="54D8F764" w14:textId="77777777" w:rsidR="00483B2C" w:rsidRPr="00483B2C" w:rsidRDefault="00483B2C" w:rsidP="00483B2C">
            <w:pPr>
              <w:overflowPunct/>
              <w:autoSpaceDE/>
              <w:autoSpaceDN/>
              <w:adjustRightInd/>
              <w:ind w:right="-957"/>
              <w:textAlignment w:val="auto"/>
              <w:rPr>
                <w:rFonts w:ascii="Times New Roman" w:hAnsi="Times New Roman" w:cs="Times New Roman"/>
                <w:b/>
                <w:color w:val="auto"/>
                <w:sz w:val="48"/>
              </w:rPr>
            </w:pPr>
          </w:p>
          <w:p w14:paraId="3FB24DA8" w14:textId="77777777" w:rsidR="00483B2C" w:rsidRDefault="00483B2C" w:rsidP="00483B2C">
            <w:pPr>
              <w:overflowPunct/>
              <w:autoSpaceDE/>
              <w:autoSpaceDN/>
              <w:adjustRightInd/>
              <w:ind w:right="-957"/>
              <w:textAlignment w:val="auto"/>
              <w:rPr>
                <w:rFonts w:ascii="Times New Roman" w:hAnsi="Times New Roman" w:cs="Times New Roman"/>
                <w:b/>
                <w:color w:val="auto"/>
                <w:sz w:val="48"/>
              </w:rPr>
            </w:pPr>
            <w:r w:rsidRPr="00483B2C">
              <w:rPr>
                <w:rFonts w:ascii="Times New Roman" w:hAnsi="Times New Roman" w:cs="Times New Roman"/>
                <w:b/>
                <w:color w:val="auto"/>
                <w:sz w:val="48"/>
              </w:rPr>
              <w:t xml:space="preserve">Learner’s University Registration Number: </w:t>
            </w:r>
          </w:p>
          <w:p w14:paraId="2297A746" w14:textId="63EE1541" w:rsidR="00483B2C" w:rsidRPr="00483B2C" w:rsidRDefault="00483B2C" w:rsidP="00483B2C">
            <w:pPr>
              <w:overflowPunct/>
              <w:autoSpaceDE/>
              <w:autoSpaceDN/>
              <w:adjustRightInd/>
              <w:ind w:right="-957"/>
              <w:textAlignment w:val="auto"/>
              <w:rPr>
                <w:rFonts w:ascii="Times New Roman" w:hAnsi="Times New Roman" w:cs="Times New Roman"/>
                <w:b/>
                <w:color w:val="auto"/>
                <w:sz w:val="48"/>
              </w:rPr>
            </w:pPr>
            <w:r w:rsidRPr="00483B2C">
              <w:rPr>
                <w:rFonts w:ascii="Times New Roman" w:hAnsi="Times New Roman" w:cs="Times New Roman"/>
                <w:b/>
                <w:color w:val="auto"/>
                <w:sz w:val="48"/>
              </w:rPr>
              <w:t>2517663</w:t>
            </w:r>
          </w:p>
          <w:p w14:paraId="2EF8EA25" w14:textId="77777777" w:rsidR="00483B2C" w:rsidRPr="00483B2C" w:rsidRDefault="00483B2C" w:rsidP="00483B2C">
            <w:pPr>
              <w:overflowPunct/>
              <w:autoSpaceDE/>
              <w:autoSpaceDN/>
              <w:adjustRightInd/>
              <w:ind w:right="-957"/>
              <w:textAlignment w:val="auto"/>
              <w:rPr>
                <w:rFonts w:ascii="Times New Roman" w:hAnsi="Times New Roman" w:cs="Times New Roman"/>
                <w:b/>
                <w:color w:val="auto"/>
                <w:sz w:val="48"/>
              </w:rPr>
            </w:pPr>
          </w:p>
          <w:p w14:paraId="5F84129B" w14:textId="1E3B4C62" w:rsidR="0085230E" w:rsidRPr="005D3F07" w:rsidRDefault="00483B2C" w:rsidP="00483B2C">
            <w:pPr>
              <w:overflowPunct/>
              <w:autoSpaceDE/>
              <w:autoSpaceDN/>
              <w:adjustRightInd/>
              <w:ind w:right="-957"/>
              <w:textAlignment w:val="auto"/>
              <w:rPr>
                <w:rFonts w:ascii="Times New Roman" w:hAnsi="Times New Roman" w:cs="Times New Roman"/>
                <w:b/>
                <w:color w:val="auto"/>
                <w:sz w:val="48"/>
              </w:rPr>
            </w:pPr>
            <w:r w:rsidRPr="00483B2C">
              <w:rPr>
                <w:rFonts w:ascii="Times New Roman" w:hAnsi="Times New Roman" w:cs="Times New Roman"/>
                <w:b/>
                <w:color w:val="auto"/>
                <w:sz w:val="48"/>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34E4C34F" w14:textId="77777777" w:rsidR="00483B2C" w:rsidRDefault="00483B2C" w:rsidP="00FF7EBB">
            <w:pPr>
              <w:jc w:val="both"/>
              <w:rPr>
                <w:sz w:val="24"/>
                <w:szCs w:val="24"/>
              </w:rPr>
            </w:pPr>
          </w:p>
          <w:p w14:paraId="6C964C7F" w14:textId="77777777" w:rsidR="006D7756" w:rsidRPr="006D7756" w:rsidRDefault="006D7756" w:rsidP="006D7756">
            <w:pPr>
              <w:overflowPunct/>
              <w:autoSpaceDE/>
              <w:autoSpaceDN/>
              <w:adjustRightInd/>
              <w:textAlignment w:val="auto"/>
              <w:rPr>
                <w:rFonts w:eastAsia="Aptos"/>
                <w:b/>
                <w:bCs/>
                <w:color w:val="auto"/>
                <w:sz w:val="24"/>
                <w:szCs w:val="24"/>
                <w:lang w:eastAsia="en-US"/>
              </w:rPr>
            </w:pPr>
            <w:r w:rsidRPr="006D7756">
              <w:rPr>
                <w:rFonts w:eastAsia="Aptos"/>
                <w:b/>
                <w:bCs/>
                <w:color w:val="auto"/>
                <w:sz w:val="24"/>
                <w:szCs w:val="24"/>
                <w:lang w:eastAsia="en-US"/>
              </w:rPr>
              <w:t>Task 4 – Safeguarding in an Area Which Is Not My Main Area of Work</w:t>
            </w:r>
          </w:p>
          <w:p w14:paraId="5D018AB6" w14:textId="77777777" w:rsidR="006D7756" w:rsidRPr="006D7756" w:rsidRDefault="006D7756" w:rsidP="006D7756">
            <w:pPr>
              <w:overflowPunct/>
              <w:autoSpaceDE/>
              <w:autoSpaceDN/>
              <w:adjustRightInd/>
              <w:textAlignment w:val="auto"/>
              <w:rPr>
                <w:rFonts w:eastAsia="Aptos"/>
                <w:b/>
                <w:bCs/>
                <w:color w:val="auto"/>
                <w:sz w:val="24"/>
                <w:szCs w:val="24"/>
                <w:lang w:eastAsia="en-US"/>
              </w:rPr>
            </w:pPr>
            <w:r w:rsidRPr="006D7756">
              <w:rPr>
                <w:rFonts w:eastAsia="Aptos"/>
                <w:b/>
                <w:bCs/>
                <w:color w:val="auto"/>
                <w:sz w:val="24"/>
                <w:szCs w:val="24"/>
                <w:lang w:eastAsia="en-US"/>
              </w:rPr>
              <w:t>Question A</w:t>
            </w:r>
          </w:p>
          <w:p w14:paraId="1F335B96" w14:textId="77777777" w:rsidR="006D7756" w:rsidRPr="006D7756" w:rsidRDefault="006D7756" w:rsidP="006D7756">
            <w:pPr>
              <w:overflowPunct/>
              <w:autoSpaceDE/>
              <w:autoSpaceDN/>
              <w:adjustRightInd/>
              <w:textAlignment w:val="auto"/>
              <w:rPr>
                <w:rFonts w:eastAsia="Aptos"/>
                <w:color w:val="auto"/>
                <w:sz w:val="24"/>
                <w:szCs w:val="24"/>
                <w:lang w:eastAsia="en-US"/>
              </w:rPr>
            </w:pPr>
          </w:p>
          <w:p w14:paraId="104D3973" w14:textId="77777777" w:rsidR="006D7756" w:rsidRPr="006D7756" w:rsidRDefault="006D7756" w:rsidP="006D7756">
            <w:pPr>
              <w:overflowPunct/>
              <w:autoSpaceDE/>
              <w:autoSpaceDN/>
              <w:adjustRightInd/>
              <w:textAlignment w:val="auto"/>
              <w:rPr>
                <w:rFonts w:eastAsia="Aptos"/>
                <w:color w:val="auto"/>
                <w:sz w:val="24"/>
                <w:szCs w:val="24"/>
                <w:lang w:eastAsia="en-US"/>
              </w:rPr>
            </w:pPr>
            <w:r w:rsidRPr="006D7756">
              <w:rPr>
                <w:rFonts w:eastAsia="Aptos"/>
                <w:color w:val="auto"/>
                <w:sz w:val="24"/>
                <w:szCs w:val="24"/>
                <w:lang w:eastAsia="en-US"/>
              </w:rPr>
              <w:t>Due to my main area of work being adult social care, I decided that this section will focus on safeguarding children in Wales. The main legislation includes the Social Services and Well-being (Wales) Act 2014, the Children Act 1989 and the Children Act 2004.</w:t>
            </w:r>
          </w:p>
          <w:p w14:paraId="7DA1ADD7" w14:textId="77777777" w:rsidR="006D7756" w:rsidRPr="006D7756" w:rsidRDefault="006D7756" w:rsidP="006D7756">
            <w:pPr>
              <w:overflowPunct/>
              <w:autoSpaceDE/>
              <w:autoSpaceDN/>
              <w:adjustRightInd/>
              <w:textAlignment w:val="auto"/>
              <w:rPr>
                <w:rFonts w:eastAsia="Aptos"/>
                <w:color w:val="auto"/>
                <w:sz w:val="24"/>
                <w:szCs w:val="24"/>
                <w:lang w:eastAsia="en-US"/>
              </w:rPr>
            </w:pPr>
          </w:p>
          <w:p w14:paraId="3E9712BB" w14:textId="77777777" w:rsidR="006D7756" w:rsidRPr="006D7756" w:rsidRDefault="006D7756" w:rsidP="006D7756">
            <w:pPr>
              <w:overflowPunct/>
              <w:autoSpaceDE/>
              <w:autoSpaceDN/>
              <w:adjustRightInd/>
              <w:textAlignment w:val="auto"/>
              <w:rPr>
                <w:rFonts w:eastAsia="Aptos"/>
                <w:color w:val="auto"/>
                <w:sz w:val="24"/>
                <w:szCs w:val="24"/>
                <w:lang w:eastAsia="en-US"/>
              </w:rPr>
            </w:pPr>
            <w:r w:rsidRPr="006D7756">
              <w:rPr>
                <w:rFonts w:eastAsia="Aptos"/>
                <w:color w:val="auto"/>
                <w:sz w:val="24"/>
                <w:szCs w:val="24"/>
                <w:lang w:eastAsia="en-US"/>
              </w:rPr>
              <w:t>Under section 130 of the Social Services and Well-being (Wales) Act 2014, relevant partners have a duty to report a child to the local authority where there is reasonable cause to suspect that they are a child at risk. A child at risk is a child who is experiencing, or is at risk of, abuse, neglect or other harm and who has needs for care and support (Social Services and Well-being (Wales) Act 2014).</w:t>
            </w:r>
          </w:p>
          <w:p w14:paraId="44B67310" w14:textId="77777777" w:rsidR="006D7756" w:rsidRPr="006D7756" w:rsidRDefault="006D7756" w:rsidP="006D7756">
            <w:pPr>
              <w:overflowPunct/>
              <w:autoSpaceDE/>
              <w:autoSpaceDN/>
              <w:adjustRightInd/>
              <w:textAlignment w:val="auto"/>
              <w:rPr>
                <w:rFonts w:eastAsia="Aptos"/>
                <w:color w:val="auto"/>
                <w:sz w:val="24"/>
                <w:szCs w:val="24"/>
                <w:lang w:eastAsia="en-US"/>
              </w:rPr>
            </w:pPr>
          </w:p>
          <w:p w14:paraId="26691291" w14:textId="77777777" w:rsidR="006D7756" w:rsidRPr="006D7756" w:rsidRDefault="006D7756" w:rsidP="006D7756">
            <w:pPr>
              <w:overflowPunct/>
              <w:autoSpaceDE/>
              <w:autoSpaceDN/>
              <w:adjustRightInd/>
              <w:textAlignment w:val="auto"/>
              <w:rPr>
                <w:rFonts w:eastAsia="Aptos"/>
                <w:color w:val="auto"/>
                <w:sz w:val="24"/>
                <w:szCs w:val="24"/>
                <w:lang w:eastAsia="en-US"/>
              </w:rPr>
            </w:pPr>
            <w:r w:rsidRPr="006D7756">
              <w:rPr>
                <w:rFonts w:eastAsia="Aptos"/>
                <w:color w:val="auto"/>
                <w:sz w:val="24"/>
                <w:szCs w:val="24"/>
                <w:lang w:eastAsia="en-US"/>
              </w:rPr>
              <w:t>The Children Act 1989 is also central to child safeguarding. Section 47 places a duty on the local authority to make enquiries where there is reasonable cause to suspect that a child is suffering or is likely to suffer significant harm. Section 17 provides the wider framework for assessing and supporting children in need (Children Act 1989). The Children Act 2004 strengthened the responsibilities of organisations to work together to safeguard and promote the welfare of children (Children Act 2004).</w:t>
            </w:r>
          </w:p>
          <w:p w14:paraId="27FA11C7" w14:textId="77777777" w:rsidR="006D7756" w:rsidRPr="006D7756" w:rsidRDefault="006D7756" w:rsidP="006D7756">
            <w:pPr>
              <w:overflowPunct/>
              <w:autoSpaceDE/>
              <w:autoSpaceDN/>
              <w:adjustRightInd/>
              <w:textAlignment w:val="auto"/>
              <w:rPr>
                <w:rFonts w:eastAsia="Aptos"/>
                <w:color w:val="auto"/>
                <w:sz w:val="24"/>
                <w:szCs w:val="24"/>
                <w:lang w:eastAsia="en-US"/>
              </w:rPr>
            </w:pPr>
          </w:p>
          <w:p w14:paraId="3F88D59C" w14:textId="77777777" w:rsidR="006D7756" w:rsidRPr="006D7756" w:rsidRDefault="006D7756" w:rsidP="006D7756">
            <w:pPr>
              <w:overflowPunct/>
              <w:autoSpaceDE/>
              <w:autoSpaceDN/>
              <w:adjustRightInd/>
              <w:textAlignment w:val="auto"/>
              <w:rPr>
                <w:rFonts w:eastAsia="Aptos"/>
                <w:color w:val="auto"/>
                <w:sz w:val="24"/>
                <w:szCs w:val="24"/>
                <w:lang w:eastAsia="en-US"/>
              </w:rPr>
            </w:pPr>
            <w:r w:rsidRPr="006D7756">
              <w:rPr>
                <w:rFonts w:eastAsia="Aptos"/>
                <w:color w:val="auto"/>
                <w:sz w:val="24"/>
                <w:szCs w:val="24"/>
                <w:lang w:eastAsia="en-US"/>
              </w:rPr>
              <w:t>In Wales, the legislation is supported by national guidance and procedures. Working Together to Safeguard People: Volume 5 – Handling Individual Cases to Protect Children at Risk sets out how concerns should be responded to, including reporting, assessment and child protection processes (Welsh Government, 2018a). The Wales Safeguarding Procedures provide further guidance for practitioners and support a consistent multi-agency approach across Wales (Wales Safeguarding Procedures, n.d.).</w:t>
            </w:r>
          </w:p>
          <w:p w14:paraId="7F77A519" w14:textId="77777777" w:rsidR="006D7756" w:rsidRPr="006D7756" w:rsidRDefault="006D7756" w:rsidP="006D7756">
            <w:pPr>
              <w:overflowPunct/>
              <w:autoSpaceDE/>
              <w:autoSpaceDN/>
              <w:adjustRightInd/>
              <w:textAlignment w:val="auto"/>
              <w:rPr>
                <w:rFonts w:eastAsia="Aptos"/>
                <w:color w:val="auto"/>
                <w:sz w:val="24"/>
                <w:szCs w:val="24"/>
                <w:lang w:eastAsia="en-US"/>
              </w:rPr>
            </w:pPr>
          </w:p>
          <w:p w14:paraId="2C05B1B6" w14:textId="77777777" w:rsidR="006D7756" w:rsidRPr="006D7756" w:rsidRDefault="006D7756" w:rsidP="006D7756">
            <w:pPr>
              <w:overflowPunct/>
              <w:autoSpaceDE/>
              <w:autoSpaceDN/>
              <w:adjustRightInd/>
              <w:textAlignment w:val="auto"/>
              <w:rPr>
                <w:rFonts w:eastAsia="Aptos"/>
                <w:color w:val="auto"/>
                <w:sz w:val="24"/>
                <w:szCs w:val="24"/>
                <w:lang w:eastAsia="en-US"/>
              </w:rPr>
            </w:pPr>
            <w:r w:rsidRPr="006D7756">
              <w:rPr>
                <w:rFonts w:eastAsia="Aptos"/>
                <w:color w:val="auto"/>
                <w:sz w:val="24"/>
                <w:szCs w:val="24"/>
                <w:lang w:eastAsia="en-US"/>
              </w:rPr>
              <w:lastRenderedPageBreak/>
              <w:t>At local level, XXX Authority procedures explain how these duties are carried out in practice. Safeguarding concerns should be recorded clearly and reported through the correct safeguarding route. Depending on the concern and the information available, this may involve further information gathering, a strategy discussion, section 47 enquiries or other child protection action. Local procedures also cover information sharing, escalation, management oversight and recording (XXX Authority, 2022).</w:t>
            </w:r>
          </w:p>
          <w:p w14:paraId="717F4FE2" w14:textId="77777777" w:rsidR="006D7756" w:rsidRPr="006D7756" w:rsidRDefault="006D7756" w:rsidP="006D7756">
            <w:pPr>
              <w:overflowPunct/>
              <w:autoSpaceDE/>
              <w:autoSpaceDN/>
              <w:adjustRightInd/>
              <w:textAlignment w:val="auto"/>
              <w:rPr>
                <w:rFonts w:eastAsia="Aptos"/>
                <w:color w:val="auto"/>
                <w:sz w:val="24"/>
                <w:szCs w:val="24"/>
                <w:lang w:eastAsia="en-US"/>
              </w:rPr>
            </w:pPr>
          </w:p>
          <w:p w14:paraId="3C2876DB" w14:textId="77777777" w:rsidR="006D7756" w:rsidRPr="006D7756" w:rsidRDefault="006D7756" w:rsidP="006D7756">
            <w:pPr>
              <w:overflowPunct/>
              <w:autoSpaceDE/>
              <w:autoSpaceDN/>
              <w:adjustRightInd/>
              <w:textAlignment w:val="auto"/>
              <w:rPr>
                <w:rFonts w:eastAsia="Aptos"/>
                <w:color w:val="auto"/>
                <w:sz w:val="24"/>
                <w:szCs w:val="24"/>
                <w:lang w:eastAsia="en-US"/>
              </w:rPr>
            </w:pPr>
            <w:r w:rsidRPr="006D7756">
              <w:rPr>
                <w:rFonts w:eastAsia="Aptos"/>
                <w:color w:val="auto"/>
                <w:sz w:val="24"/>
                <w:szCs w:val="24"/>
                <w:lang w:eastAsia="en-US"/>
              </w:rPr>
              <w:t>I understand that child safeguarding is not something social workers do alone. It can involve health, education and the police, with each organisation having its own responsibilities. At the same time, the child should remain central to the process. Their wishes, feelings, communication needs, culture and language should be considered when assessing risk and deciding what action is needed. In Wales, this also includes making the Active Offer of Welsh-language services. The Social Care Wales Code of Professional Practice requires social workers to promote rights, dignity, safety and well-being and to work responsibly with others (Social Care Wales, 2026a).</w:t>
            </w:r>
          </w:p>
          <w:p w14:paraId="77647CCE" w14:textId="77777777" w:rsidR="006D7756" w:rsidRPr="006D7756" w:rsidRDefault="006D7756" w:rsidP="006D7756">
            <w:pPr>
              <w:overflowPunct/>
              <w:autoSpaceDE/>
              <w:autoSpaceDN/>
              <w:adjustRightInd/>
              <w:textAlignment w:val="auto"/>
              <w:rPr>
                <w:rFonts w:eastAsia="Aptos"/>
                <w:color w:val="auto"/>
                <w:sz w:val="24"/>
                <w:szCs w:val="24"/>
                <w:lang w:eastAsia="en-US"/>
              </w:rPr>
            </w:pPr>
          </w:p>
          <w:p w14:paraId="6514F574" w14:textId="77777777" w:rsidR="006D7756" w:rsidRPr="006D7756" w:rsidRDefault="006D7756" w:rsidP="006D7756">
            <w:pPr>
              <w:overflowPunct/>
              <w:autoSpaceDE/>
              <w:autoSpaceDN/>
              <w:adjustRightInd/>
              <w:textAlignment w:val="auto"/>
              <w:rPr>
                <w:rFonts w:eastAsia="Aptos"/>
                <w:color w:val="auto"/>
                <w:sz w:val="24"/>
                <w:szCs w:val="24"/>
                <w:lang w:eastAsia="en-US"/>
              </w:rPr>
            </w:pPr>
            <w:r w:rsidRPr="006D7756">
              <w:rPr>
                <w:rFonts w:eastAsia="Aptos"/>
                <w:color w:val="auto"/>
                <w:sz w:val="24"/>
                <w:szCs w:val="24"/>
                <w:lang w:eastAsia="en-US"/>
              </w:rPr>
              <w:t>Overall, I understand that child safeguarding in Wales works through legislation, national guidance, Wales-wide procedures and local organisational processes. These different layers work together to guide how concerns are identified, reported, assessed and responded to. This also helps make sure concerns are dealt with consistently and that responsibility for next steps is clear.</w:t>
            </w:r>
          </w:p>
          <w:p w14:paraId="5295C48F" w14:textId="77777777" w:rsidR="00B1481E" w:rsidRDefault="00B1481E" w:rsidP="00B1481E">
            <w:pPr>
              <w:jc w:val="both"/>
              <w:rPr>
                <w:b/>
                <w:bCs/>
                <w:sz w:val="24"/>
                <w:szCs w:val="24"/>
              </w:rPr>
            </w:pPr>
          </w:p>
          <w:p w14:paraId="02B9EE3E" w14:textId="011A155C" w:rsidR="00483B2C" w:rsidRPr="00483B2C" w:rsidRDefault="00483B2C" w:rsidP="00B1481E">
            <w:pPr>
              <w:jc w:val="both"/>
              <w:rPr>
                <w:b/>
                <w:bCs/>
                <w:sz w:val="24"/>
                <w:szCs w:val="24"/>
              </w:rPr>
            </w:pPr>
            <w:r w:rsidRPr="00483B2C">
              <w:rPr>
                <w:b/>
                <w:bCs/>
                <w:sz w:val="24"/>
                <w:szCs w:val="24"/>
              </w:rPr>
              <w:t>Word count: 4</w:t>
            </w:r>
            <w:r w:rsidR="006D7756">
              <w:rPr>
                <w:b/>
                <w:bCs/>
                <w:sz w:val="24"/>
                <w:szCs w:val="24"/>
              </w:rPr>
              <w:t>98</w:t>
            </w:r>
            <w:r w:rsidRPr="00483B2C">
              <w:rPr>
                <w:b/>
                <w:bCs/>
                <w:sz w:val="24"/>
                <w:szCs w:val="24"/>
              </w:rPr>
              <w:t xml:space="preserve"> words</w:t>
            </w:r>
            <w:r w:rsidR="006D7756">
              <w:rPr>
                <w:b/>
                <w:bCs/>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5DD31642" w14:textId="77777777" w:rsidR="00483B2C" w:rsidRDefault="00483B2C" w:rsidP="00FC0334">
            <w:pPr>
              <w:jc w:val="both"/>
              <w:rPr>
                <w:i/>
                <w:sz w:val="24"/>
                <w:szCs w:val="24"/>
              </w:rPr>
            </w:pPr>
          </w:p>
          <w:p w14:paraId="6BA3DD84" w14:textId="6106D2D5"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436AB991" w14:textId="77777777" w:rsidR="00483B2C" w:rsidRDefault="00483B2C" w:rsidP="00FC0334">
            <w:pPr>
              <w:jc w:val="both"/>
              <w:rPr>
                <w:i/>
                <w:sz w:val="24"/>
                <w:szCs w:val="24"/>
              </w:rPr>
            </w:pPr>
          </w:p>
          <w:p w14:paraId="4891837D" w14:textId="77777777" w:rsidR="00483B2C" w:rsidRPr="00483B2C" w:rsidRDefault="00483B2C" w:rsidP="00483B2C">
            <w:pPr>
              <w:jc w:val="both"/>
              <w:rPr>
                <w:b/>
                <w:bCs/>
                <w:iCs/>
                <w:sz w:val="24"/>
                <w:szCs w:val="24"/>
              </w:rPr>
            </w:pPr>
            <w:r w:rsidRPr="00483B2C">
              <w:rPr>
                <w:b/>
                <w:bCs/>
                <w:iCs/>
                <w:sz w:val="24"/>
                <w:szCs w:val="24"/>
              </w:rPr>
              <w:t>Question B</w:t>
            </w:r>
          </w:p>
          <w:p w14:paraId="116E1D91" w14:textId="77777777" w:rsidR="00483B2C" w:rsidRPr="00483B2C" w:rsidRDefault="00483B2C" w:rsidP="00483B2C">
            <w:pPr>
              <w:jc w:val="both"/>
              <w:rPr>
                <w:iCs/>
                <w:sz w:val="24"/>
                <w:szCs w:val="24"/>
              </w:rPr>
            </w:pPr>
          </w:p>
          <w:p w14:paraId="65B6FA59" w14:textId="77777777" w:rsidR="00823943" w:rsidRPr="00823943" w:rsidRDefault="00823943" w:rsidP="00823943">
            <w:pPr>
              <w:jc w:val="both"/>
              <w:rPr>
                <w:iCs/>
                <w:sz w:val="24"/>
                <w:szCs w:val="24"/>
              </w:rPr>
            </w:pPr>
            <w:r w:rsidRPr="00823943">
              <w:rPr>
                <w:iCs/>
                <w:sz w:val="24"/>
                <w:szCs w:val="24"/>
              </w:rPr>
              <w:t>For me, I feel the biggest difference between adult and children’s safeguarding is how autonomy and protection are balanced. In adult social work, the starting point is that an adult is presumed to have capacity for the specific decision that is being considered, unless it is established otherwise. An adult with capacity can make decisions that professionals may think are risky or unwise, and this does not automatically mean that professionals can intervene against their wishes (Mental Capacity Act 2005).</w:t>
            </w:r>
          </w:p>
          <w:p w14:paraId="37AF2191" w14:textId="77777777" w:rsidR="00823943" w:rsidRPr="00823943" w:rsidRDefault="00823943" w:rsidP="00823943">
            <w:pPr>
              <w:jc w:val="both"/>
              <w:rPr>
                <w:iCs/>
                <w:sz w:val="24"/>
                <w:szCs w:val="24"/>
              </w:rPr>
            </w:pPr>
          </w:p>
          <w:p w14:paraId="54A78D78" w14:textId="77777777" w:rsidR="00823943" w:rsidRPr="00823943" w:rsidRDefault="00823943" w:rsidP="00823943">
            <w:pPr>
              <w:jc w:val="both"/>
              <w:rPr>
                <w:iCs/>
                <w:sz w:val="24"/>
                <w:szCs w:val="24"/>
              </w:rPr>
            </w:pPr>
            <w:r w:rsidRPr="00823943">
              <w:rPr>
                <w:iCs/>
                <w:sz w:val="24"/>
                <w:szCs w:val="24"/>
              </w:rPr>
              <w:t>This is something I am very used to in adult practice. Safeguarding can involve being worried about somebody while still having to recognise their right to make their own decisions. I feel my work with Person 3 in Task 3 was a good example of this. I may have felt that keeping a protective arrangement in place was safer, but once the person had capacity to make the decision, I knew my own view of what was safest could not override theirs.</w:t>
            </w:r>
          </w:p>
          <w:p w14:paraId="3AEB0D9C" w14:textId="77777777" w:rsidR="00823943" w:rsidRPr="00823943" w:rsidRDefault="00823943" w:rsidP="00823943">
            <w:pPr>
              <w:jc w:val="both"/>
              <w:rPr>
                <w:iCs/>
                <w:sz w:val="24"/>
                <w:szCs w:val="24"/>
              </w:rPr>
            </w:pPr>
          </w:p>
          <w:p w14:paraId="6675EB6B" w14:textId="77777777" w:rsidR="00823943" w:rsidRPr="00823943" w:rsidRDefault="00823943" w:rsidP="00823943">
            <w:pPr>
              <w:jc w:val="both"/>
              <w:rPr>
                <w:iCs/>
                <w:sz w:val="24"/>
                <w:szCs w:val="24"/>
              </w:rPr>
            </w:pPr>
            <w:r w:rsidRPr="00823943">
              <w:rPr>
                <w:iCs/>
                <w:sz w:val="24"/>
                <w:szCs w:val="24"/>
              </w:rPr>
              <w:t>I understand that children’s safeguarding has a different starting point. A child’s age, maturity, level of understanding and dependence on adults all need to be considered. There are also stronger statutory duties to protect children where there is suspected significant harm. Under section 47 of the Children Act 1989, the local authority may be required to make enquiries even where a parent or carer does not agree (Children Act 1989). This means that consent and autonomy do not operate in the same way as they do in adult safeguarding.</w:t>
            </w:r>
          </w:p>
          <w:p w14:paraId="54D5483A" w14:textId="77777777" w:rsidR="00823943" w:rsidRPr="00823943" w:rsidRDefault="00823943" w:rsidP="00823943">
            <w:pPr>
              <w:jc w:val="both"/>
              <w:rPr>
                <w:iCs/>
                <w:sz w:val="24"/>
                <w:szCs w:val="24"/>
              </w:rPr>
            </w:pPr>
          </w:p>
          <w:p w14:paraId="1540C98A" w14:textId="77777777" w:rsidR="00823943" w:rsidRPr="00823943" w:rsidRDefault="00823943" w:rsidP="00823943">
            <w:pPr>
              <w:jc w:val="both"/>
              <w:rPr>
                <w:iCs/>
                <w:sz w:val="24"/>
                <w:szCs w:val="24"/>
              </w:rPr>
            </w:pPr>
            <w:r w:rsidRPr="00823943">
              <w:rPr>
                <w:iCs/>
                <w:sz w:val="24"/>
                <w:szCs w:val="24"/>
              </w:rPr>
              <w:t>That does not mean that children should simply have decisions made for them. Their wishes and feelings still need to be heard, and their communication needs, culture, language and level of understanding should influence how professionals work with them. What changes is the weight placed on protection and the legal responsibilities held by adults and agencies.</w:t>
            </w:r>
          </w:p>
          <w:p w14:paraId="71807F42" w14:textId="77777777" w:rsidR="00823943" w:rsidRPr="00823943" w:rsidRDefault="00823943" w:rsidP="00823943">
            <w:pPr>
              <w:jc w:val="both"/>
              <w:rPr>
                <w:iCs/>
                <w:sz w:val="24"/>
                <w:szCs w:val="24"/>
              </w:rPr>
            </w:pPr>
          </w:p>
          <w:p w14:paraId="699EF5CB" w14:textId="77777777" w:rsidR="00823943" w:rsidRPr="00823943" w:rsidRDefault="00823943" w:rsidP="00823943">
            <w:pPr>
              <w:jc w:val="both"/>
              <w:rPr>
                <w:iCs/>
                <w:sz w:val="24"/>
                <w:szCs w:val="24"/>
              </w:rPr>
            </w:pPr>
            <w:r w:rsidRPr="00823943">
              <w:rPr>
                <w:iCs/>
                <w:sz w:val="24"/>
                <w:szCs w:val="24"/>
              </w:rPr>
              <w:t>However, I have come to learn that there are also similarities between the two areas. Both require clear recording, information sharing, multi-agency working, professional judgement and attention to the person’s voice. In Wales, both sit within the Social Services and Well-being (Wales) Act 2014 and Wales Safeguarding Procedures, although the legal tests are different (Social Services and Well-being (Wales) Act 2014; Wales Safeguarding Procedures, n.d.). Section 126 relates to an adult at risk, while section 130 relates to a child at risk (Social Services and Well-being (Wales) Act 2014).</w:t>
            </w:r>
          </w:p>
          <w:p w14:paraId="12485F77" w14:textId="77777777" w:rsidR="00823943" w:rsidRPr="00823943" w:rsidRDefault="00823943" w:rsidP="00823943">
            <w:pPr>
              <w:jc w:val="both"/>
              <w:rPr>
                <w:iCs/>
                <w:sz w:val="24"/>
                <w:szCs w:val="24"/>
              </w:rPr>
            </w:pPr>
          </w:p>
          <w:p w14:paraId="36B19E48" w14:textId="7D830F39" w:rsidR="009E483B" w:rsidRDefault="00823943" w:rsidP="00823943">
            <w:pPr>
              <w:jc w:val="both"/>
              <w:rPr>
                <w:iCs/>
                <w:sz w:val="24"/>
                <w:szCs w:val="24"/>
              </w:rPr>
            </w:pPr>
            <w:r w:rsidRPr="00823943">
              <w:rPr>
                <w:iCs/>
                <w:sz w:val="24"/>
                <w:szCs w:val="24"/>
              </w:rPr>
              <w:t>I feel that reflecting on this has reminded me that I cannot simply transfer an adult safeguarding approach into children’s work. The underlying principles are similar, but age, development, parental responsibility and the stronger protective duties towards children change how those principles are applied.</w:t>
            </w:r>
          </w:p>
          <w:p w14:paraId="2555CFED" w14:textId="77777777" w:rsidR="00823943" w:rsidRDefault="00823943" w:rsidP="00823943">
            <w:pPr>
              <w:jc w:val="both"/>
              <w:rPr>
                <w:iCs/>
                <w:sz w:val="24"/>
                <w:szCs w:val="24"/>
              </w:rPr>
            </w:pPr>
          </w:p>
          <w:p w14:paraId="56D2581A" w14:textId="7E14008B" w:rsidR="00483B2C" w:rsidRPr="00483B2C" w:rsidRDefault="00483B2C" w:rsidP="009E483B">
            <w:pPr>
              <w:jc w:val="both"/>
              <w:rPr>
                <w:b/>
                <w:bCs/>
                <w:iCs/>
                <w:sz w:val="24"/>
                <w:szCs w:val="24"/>
              </w:rPr>
            </w:pPr>
            <w:r w:rsidRPr="00483B2C">
              <w:rPr>
                <w:b/>
                <w:bCs/>
                <w:iCs/>
                <w:sz w:val="24"/>
                <w:szCs w:val="24"/>
              </w:rPr>
              <w:t xml:space="preserve">Word count: </w:t>
            </w:r>
            <w:r w:rsidR="009E483B">
              <w:rPr>
                <w:b/>
                <w:bCs/>
                <w:iCs/>
                <w:sz w:val="24"/>
                <w:szCs w:val="24"/>
              </w:rPr>
              <w:t>4</w:t>
            </w:r>
            <w:r w:rsidR="00823943">
              <w:rPr>
                <w:b/>
                <w:bCs/>
                <w:iCs/>
                <w:sz w:val="24"/>
                <w:szCs w:val="24"/>
              </w:rPr>
              <w:t>40</w:t>
            </w:r>
            <w:r w:rsidRPr="00483B2C">
              <w:rPr>
                <w:b/>
                <w:bCs/>
                <w:iCs/>
                <w:sz w:val="24"/>
                <w:szCs w:val="24"/>
              </w:rPr>
              <w:t xml:space="preserve"> words</w:t>
            </w:r>
            <w:r w:rsidR="00823943">
              <w:rPr>
                <w:b/>
                <w:bCs/>
                <w:iCs/>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F2D3E" w14:textId="77777777" w:rsidR="005D22C8" w:rsidRDefault="005D22C8">
      <w:r>
        <w:separator/>
      </w:r>
    </w:p>
  </w:endnote>
  <w:endnote w:type="continuationSeparator" w:id="0">
    <w:p w14:paraId="48464CB6" w14:textId="77777777" w:rsidR="005D22C8" w:rsidRDefault="005D2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1C3EB" w14:textId="77777777" w:rsidR="005D22C8" w:rsidRDefault="005D22C8">
      <w:r>
        <w:separator/>
      </w:r>
    </w:p>
  </w:footnote>
  <w:footnote w:type="continuationSeparator" w:id="0">
    <w:p w14:paraId="24E0333F" w14:textId="77777777" w:rsidR="005D22C8" w:rsidRDefault="005D2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03B3"/>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3B2C"/>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22C8"/>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7756"/>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3943"/>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1B95"/>
    <w:rsid w:val="0094495F"/>
    <w:rsid w:val="009544C0"/>
    <w:rsid w:val="00954FA4"/>
    <w:rsid w:val="00956AE9"/>
    <w:rsid w:val="00964CC6"/>
    <w:rsid w:val="00967BFA"/>
    <w:rsid w:val="0098262C"/>
    <w:rsid w:val="0098427C"/>
    <w:rsid w:val="00986B43"/>
    <w:rsid w:val="00986C0B"/>
    <w:rsid w:val="00986D46"/>
    <w:rsid w:val="00991FDA"/>
    <w:rsid w:val="00992ACA"/>
    <w:rsid w:val="009A59DD"/>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83B"/>
    <w:rsid w:val="009E4D2C"/>
    <w:rsid w:val="009F0978"/>
    <w:rsid w:val="009F3AEC"/>
    <w:rsid w:val="009F6801"/>
    <w:rsid w:val="00A00081"/>
    <w:rsid w:val="00A06422"/>
    <w:rsid w:val="00A072CA"/>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481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868"/>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D77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ndrew.orourke@flintshire.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1119</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 O'Rourke (Student)</cp:lastModifiedBy>
  <cp:revision>8</cp:revision>
  <cp:lastPrinted>2020-02-11T19:20:00Z</cp:lastPrinted>
  <dcterms:created xsi:type="dcterms:W3CDTF">2022-09-29T11:35:00Z</dcterms:created>
  <dcterms:modified xsi:type="dcterms:W3CDTF">2026-10-06T19:16:00Z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