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hint="default" w:ascii="Times New Roman" w:hAnsi="Times New Roman" w:cs="Times New Roman"/>
          <w:b/>
          <w:bCs/>
          <w:i w:val="0"/>
          <w:iCs w:val="0"/>
          <w:sz w:val="36"/>
          <w:szCs w:val="36"/>
          <w:lang w:val="en-MY"/>
        </w:rPr>
      </w:pPr>
      <w:r>
        <w:rPr>
          <w:rFonts w:hint="default" w:ascii="Times New Roman" w:hAnsi="Times New Roman" w:cs="Times New Roman"/>
          <w:b/>
          <w:bCs/>
          <w:i w:val="0"/>
          <w:iCs w:val="0"/>
          <w:sz w:val="36"/>
          <w:szCs w:val="36"/>
          <w:lang w:val="en-MY"/>
        </w:rPr>
        <w:t>STRATEGIC MANAGEMENT ASSIGNMENT 2019</w:t>
      </w:r>
    </w:p>
    <w:p>
      <w:pPr>
        <w:spacing w:line="240" w:lineRule="auto"/>
        <w:jc w:val="center"/>
        <w:rPr>
          <w:rFonts w:hint="default" w:ascii="Times New Roman" w:hAnsi="Times New Roman" w:cs="Times New Roman"/>
          <w:b/>
          <w:bCs/>
          <w:i w:val="0"/>
          <w:iCs w:val="0"/>
          <w:sz w:val="24"/>
          <w:szCs w:val="24"/>
          <w:lang w:val="en-MY"/>
        </w:rPr>
      </w:pPr>
    </w:p>
    <w:p>
      <w:pPr>
        <w:spacing w:line="480" w:lineRule="auto"/>
        <w:jc w:val="center"/>
        <w:rPr>
          <w:rFonts w:hint="default" w:ascii="Times New Roman" w:hAnsi="Times New Roman" w:cs="Times New Roman"/>
          <w:b/>
          <w:bCs/>
          <w:i w:val="0"/>
          <w:iCs w:val="0"/>
          <w:sz w:val="32"/>
          <w:szCs w:val="32"/>
          <w:lang w:val="en-US"/>
        </w:rPr>
      </w:pPr>
      <w:r>
        <w:rPr>
          <w:rFonts w:hint="default" w:ascii="Times New Roman" w:hAnsi="Times New Roman" w:cs="Times New Roman"/>
          <w:b/>
          <w:bCs/>
          <w:i w:val="0"/>
          <w:iCs w:val="0"/>
          <w:sz w:val="32"/>
          <w:szCs w:val="32"/>
          <w:lang w:val="en-MY"/>
        </w:rPr>
        <w:t>LIDL</w:t>
      </w:r>
      <w:r>
        <w:rPr>
          <w:rFonts w:hint="default" w:ascii="Times New Roman" w:hAnsi="Times New Roman" w:cs="Times New Roman"/>
          <w:b/>
          <w:bCs/>
          <w:i w:val="0"/>
          <w:iCs w:val="0"/>
          <w:sz w:val="32"/>
          <w:szCs w:val="32"/>
          <w:lang w:val="en-US"/>
        </w:rPr>
        <w:t xml:space="preserve"> :</w:t>
      </w:r>
    </w:p>
    <w:p>
      <w:pPr>
        <w:spacing w:line="480" w:lineRule="auto"/>
        <w:jc w:val="center"/>
        <w:rPr>
          <w:rFonts w:hint="default" w:ascii="Times New Roman" w:hAnsi="Times New Roman"/>
          <w:b/>
          <w:bCs/>
          <w:i/>
          <w:iCs/>
          <w:sz w:val="32"/>
          <w:szCs w:val="32"/>
          <w:lang w:val="en-US"/>
        </w:rPr>
      </w:pPr>
      <w:r>
        <w:rPr>
          <w:rFonts w:hint="default" w:ascii="Times New Roman" w:hAnsi="Times New Roman"/>
          <w:b/>
          <w:bCs/>
          <w:i w:val="0"/>
          <w:iCs w:val="0"/>
          <w:sz w:val="32"/>
          <w:szCs w:val="32"/>
          <w:lang w:val="en-US"/>
        </w:rPr>
        <w:t>GERMAN DISCOUNTER GAINING MARKETSHARE</w:t>
      </w:r>
    </w:p>
    <w:p>
      <w:pPr>
        <w:spacing w:line="480" w:lineRule="auto"/>
        <w:jc w:val="center"/>
        <w:rPr>
          <w:rFonts w:hint="default" w:ascii="Times New Roman" w:hAnsi="Times New Roman"/>
          <w:b/>
          <w:bCs/>
          <w:sz w:val="28"/>
          <w:szCs w:val="28"/>
          <w:lang w:val="en-US"/>
        </w:rPr>
      </w:pPr>
    </w:p>
    <w:p>
      <w:pPr>
        <w:spacing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2928620" cy="2928620"/>
            <wp:effectExtent l="0" t="0"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4"/>
                    <a:stretch>
                      <a:fillRect/>
                    </a:stretch>
                  </pic:blipFill>
                  <pic:spPr>
                    <a:xfrm>
                      <a:off x="0" y="0"/>
                      <a:ext cx="2928620" cy="2928620"/>
                    </a:xfrm>
                    <a:prstGeom prst="rect">
                      <a:avLst/>
                    </a:prstGeom>
                    <a:noFill/>
                    <a:ln>
                      <a:noFill/>
                    </a:ln>
                  </pic:spPr>
                </pic:pic>
              </a:graphicData>
            </a:graphic>
          </wp:inline>
        </w:drawing>
      </w:r>
    </w:p>
    <w:p>
      <w:pPr>
        <w:spacing w:line="480" w:lineRule="auto"/>
        <w:jc w:val="center"/>
        <w:rPr>
          <w:rFonts w:hint="default" w:ascii="Times New Roman" w:hAnsi="Times New Roman" w:cs="Times New Roman"/>
          <w:sz w:val="24"/>
          <w:szCs w:val="24"/>
          <w:lang w:val="en-MY"/>
        </w:rPr>
      </w:pPr>
    </w:p>
    <w:p>
      <w:pPr>
        <w:spacing w:line="480" w:lineRule="auto"/>
        <w:jc w:val="center"/>
        <w:rPr>
          <w:rFonts w:hint="default" w:ascii="Times New Roman" w:hAnsi="Times New Roman" w:cs="Times New Roman"/>
          <w:b/>
          <w:bCs/>
          <w:sz w:val="32"/>
          <w:szCs w:val="32"/>
          <w:lang w:val="en-MY"/>
        </w:rPr>
      </w:pPr>
      <w:r>
        <w:rPr>
          <w:rFonts w:hint="default" w:ascii="Times New Roman" w:hAnsi="Times New Roman" w:cs="Times New Roman"/>
          <w:b/>
          <w:bCs/>
          <w:sz w:val="32"/>
          <w:szCs w:val="32"/>
          <w:lang w:val="en-MY"/>
        </w:rPr>
        <w:t>2</w:t>
      </w:r>
      <w:r>
        <w:rPr>
          <w:rFonts w:hint="default" w:ascii="Times New Roman" w:hAnsi="Times New Roman" w:cs="Times New Roman"/>
          <w:b/>
          <w:bCs/>
          <w:sz w:val="32"/>
          <w:szCs w:val="32"/>
          <w:lang w:val="en-US"/>
        </w:rPr>
        <w:t>6</w:t>
      </w:r>
      <w:r>
        <w:rPr>
          <w:rFonts w:hint="default" w:ascii="Times New Roman" w:hAnsi="Times New Roman" w:cs="Times New Roman"/>
          <w:b/>
          <w:bCs/>
          <w:sz w:val="32"/>
          <w:szCs w:val="32"/>
          <w:lang w:val="en-MY"/>
        </w:rPr>
        <w:t xml:space="preserve"> NOVEMBER 2019</w:t>
      </w:r>
    </w:p>
    <w:p>
      <w:pPr>
        <w:spacing w:line="480" w:lineRule="auto"/>
        <w:jc w:val="center"/>
        <w:rPr>
          <w:rFonts w:hint="default" w:ascii="Times New Roman" w:hAnsi="Times New Roman" w:cs="Times New Roman"/>
          <w:sz w:val="24"/>
          <w:szCs w:val="24"/>
          <w:lang w:val="en-MY"/>
        </w:rPr>
      </w:pPr>
    </w:p>
    <w:p>
      <w:pPr>
        <w:spacing w:line="480" w:lineRule="auto"/>
        <w:ind w:left="0" w:leftChars="0"/>
        <w:jc w:val="left"/>
        <w:rPr>
          <w:rFonts w:hint="default" w:ascii="Times New Roman" w:hAnsi="Times New Roman" w:cs="Times New Roman"/>
          <w:sz w:val="28"/>
          <w:szCs w:val="28"/>
          <w:lang w:val="en-MY"/>
        </w:rPr>
      </w:pPr>
      <w:r>
        <w:rPr>
          <w:rFonts w:hint="default" w:ascii="Times New Roman" w:hAnsi="Times New Roman" w:cs="Times New Roman"/>
          <w:b/>
          <w:bCs/>
          <w:sz w:val="24"/>
          <w:szCs w:val="24"/>
          <w:lang w:val="en-MY"/>
        </w:rPr>
        <w:t xml:space="preserve">MODULE NAME: </w:t>
      </w:r>
      <w:r>
        <w:rPr>
          <w:rFonts w:hint="default" w:ascii="Times New Roman" w:hAnsi="Times New Roman" w:cs="Times New Roman"/>
          <w:sz w:val="22"/>
          <w:szCs w:val="22"/>
          <w:lang w:val="en-MY"/>
        </w:rPr>
        <w:t xml:space="preserve">STRATEGIC MANAGEMENT &amp; SUSTAINABILITY </w:t>
      </w:r>
      <w:r>
        <w:rPr>
          <w:rFonts w:hint="default" w:ascii="Times New Roman" w:hAnsi="Times New Roman"/>
          <w:sz w:val="24"/>
          <w:szCs w:val="24"/>
          <w:lang w:val="en-MY"/>
        </w:rPr>
        <w:t>(M3X9111)</w:t>
      </w:r>
    </w:p>
    <w:p>
      <w:pPr>
        <w:spacing w:line="480" w:lineRule="auto"/>
        <w:jc w:val="left"/>
        <w:rPr>
          <w:rFonts w:hint="default" w:ascii="Times New Roman" w:hAnsi="Times New Roman" w:cs="Times New Roman"/>
          <w:sz w:val="24"/>
          <w:szCs w:val="24"/>
          <w:lang w:val="en-MY"/>
        </w:rPr>
      </w:pPr>
      <w:r>
        <w:rPr>
          <w:rFonts w:hint="default" w:ascii="Times New Roman" w:hAnsi="Times New Roman" w:cs="Times New Roman"/>
          <w:b/>
          <w:bCs/>
          <w:sz w:val="24"/>
          <w:szCs w:val="24"/>
          <w:lang w:val="en-MY"/>
        </w:rPr>
        <w:t>NAME:</w:t>
      </w:r>
      <w:r>
        <w:rPr>
          <w:rFonts w:hint="default" w:ascii="Times New Roman" w:hAnsi="Times New Roman" w:cs="Times New Roman"/>
          <w:sz w:val="24"/>
          <w:szCs w:val="24"/>
          <w:lang w:val="en-MY"/>
        </w:rPr>
        <w:t xml:space="preserve"> NURUL SHAFINAS BINTI SHAFIE</w:t>
      </w:r>
    </w:p>
    <w:p>
      <w:pPr>
        <w:spacing w:line="480" w:lineRule="auto"/>
        <w:jc w:val="left"/>
        <w:sectPr>
          <w:headerReference r:id="rId3" w:type="default"/>
          <w:pgSz w:w="11906" w:h="16838"/>
          <w:pgMar w:top="1440" w:right="1800" w:bottom="1440" w:left="1800" w:header="720" w:footer="720" w:gutter="0"/>
          <w:cols w:space="720" w:num="1"/>
          <w:docGrid w:linePitch="360" w:charSpace="0"/>
        </w:sectPr>
      </w:pPr>
      <w:r>
        <w:rPr>
          <w:rFonts w:hint="default" w:ascii="Times New Roman" w:hAnsi="Times New Roman" w:cs="Times New Roman"/>
          <w:b/>
          <w:bCs/>
          <w:sz w:val="24"/>
          <w:szCs w:val="24"/>
          <w:lang w:val="en-MY"/>
        </w:rPr>
        <w:t xml:space="preserve">STUDENT NUMBER: </w:t>
      </w:r>
      <w:r>
        <w:rPr>
          <w:rFonts w:hint="default" w:ascii="Times New Roman" w:hAnsi="Times New Roman" w:cs="Times New Roman"/>
          <w:sz w:val="24"/>
          <w:szCs w:val="24"/>
          <w:lang w:val="en-MY"/>
        </w:rPr>
        <w:t>1903967</w:t>
      </w:r>
    </w:p>
    <w:sdt>
      <w:sdtPr>
        <w:rPr>
          <w:rFonts w:ascii="SimSun" w:hAnsi="SimSun" w:eastAsia="SimSun" w:cstheme="minorBidi"/>
          <w:sz w:val="21"/>
          <w:lang w:val="en-US" w:eastAsia="zh-CN" w:bidi="ar-SA"/>
        </w:rPr>
        <w:id w:val="147456135"/>
        <w15:color w:val="DBDBDB"/>
        <w:docPartObj>
          <w:docPartGallery w:val="Table of Contents"/>
          <w:docPartUnique/>
        </w:docPartObj>
      </w:sdtPr>
      <w:sdtEndPr>
        <w:rPr>
          <w:rFonts w:hint="default" w:ascii="Times New Roman" w:hAnsi="Times New Roman" w:cs="Times New Roman" w:eastAsiaTheme="minorEastAsia"/>
          <w:sz w:val="21"/>
          <w:szCs w:val="24"/>
          <w:lang w:val="en-MY" w:eastAsia="zh-CN" w:bidi="ar-SA"/>
        </w:rPr>
      </w:sdtEndPr>
      <w:sdtContent>
        <w:p>
          <w:pPr>
            <w:spacing w:line="480" w:lineRule="auto"/>
            <w:jc w:val="both"/>
            <w:rPr>
              <w:rFonts w:hint="default" w:ascii="Times New Roman" w:hAnsi="Times New Roman" w:cs="Times New Roman"/>
              <w:b/>
              <w:bCs/>
              <w:sz w:val="28"/>
              <w:szCs w:val="28"/>
              <w:u w:val="single"/>
            </w:rPr>
          </w:pPr>
          <w:r>
            <w:rPr>
              <w:rFonts w:hint="default" w:ascii="Times New Roman" w:hAnsi="Times New Roman" w:eastAsia="SimSun" w:cs="Times New Roman"/>
              <w:b/>
              <w:bCs/>
              <w:sz w:val="28"/>
              <w:szCs w:val="28"/>
              <w:u w:val="single"/>
            </w:rPr>
            <w:t>TABLE OF CONTENTS</w:t>
          </w:r>
        </w:p>
        <w:p>
          <w:pPr>
            <w:pStyle w:val="14"/>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TOC \o "1-3" \h \u </w:instrText>
          </w:r>
          <w:r>
            <w:rPr>
              <w:rFonts w:hint="default" w:ascii="Times New Roman" w:hAnsi="Times New Roman" w:cs="Times New Roman"/>
              <w:sz w:val="24"/>
              <w:szCs w:val="24"/>
              <w:lang w:val="en-MY"/>
            </w:rPr>
            <w:fldChar w:fldCharType="separate"/>
          </w: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_Toc10591 </w:instrText>
          </w:r>
          <w:r>
            <w:rPr>
              <w:rFonts w:hint="default" w:ascii="Times New Roman" w:hAnsi="Times New Roman" w:cs="Times New Roman"/>
              <w:b/>
              <w:bCs/>
              <w:sz w:val="24"/>
              <w:szCs w:val="24"/>
              <w:lang w:val="en-MY"/>
            </w:rPr>
            <w:fldChar w:fldCharType="separate"/>
          </w:r>
          <w:r>
            <w:rPr>
              <w:rFonts w:hint="default"/>
              <w:b/>
              <w:bCs/>
              <w:sz w:val="24"/>
              <w:szCs w:val="24"/>
              <w:lang w:val="en-MY"/>
            </w:rPr>
            <w:t>1.0 EXECUTIVE SUMMARY</w:t>
          </w:r>
          <w:r>
            <w:rPr>
              <w:b/>
              <w:bCs/>
              <w:sz w:val="24"/>
              <w:szCs w:val="24"/>
            </w:rPr>
            <w:tab/>
          </w:r>
          <w:r>
            <w:rPr>
              <w:b/>
              <w:bCs/>
              <w:sz w:val="24"/>
              <w:szCs w:val="24"/>
            </w:rPr>
            <w:fldChar w:fldCharType="begin"/>
          </w:r>
          <w:r>
            <w:rPr>
              <w:b/>
              <w:bCs/>
              <w:sz w:val="24"/>
              <w:szCs w:val="24"/>
            </w:rPr>
            <w:instrText xml:space="preserve"> PAGEREF _Toc10591 </w:instrText>
          </w:r>
          <w:r>
            <w:rPr>
              <w:b/>
              <w:bCs/>
              <w:sz w:val="24"/>
              <w:szCs w:val="24"/>
            </w:rPr>
            <w:fldChar w:fldCharType="separate"/>
          </w:r>
          <w:r>
            <w:rPr>
              <w:b/>
              <w:bCs/>
              <w:sz w:val="24"/>
              <w:szCs w:val="24"/>
            </w:rPr>
            <w:t>1</w:t>
          </w:r>
          <w:r>
            <w:rPr>
              <w:b/>
              <w:bCs/>
              <w:sz w:val="24"/>
              <w:szCs w:val="24"/>
            </w:rPr>
            <w:fldChar w:fldCharType="end"/>
          </w:r>
          <w:r>
            <w:rPr>
              <w:rFonts w:hint="default" w:ascii="Times New Roman" w:hAnsi="Times New Roman" w:cs="Times New Roman"/>
              <w:b/>
              <w:bCs/>
              <w:sz w:val="24"/>
              <w:szCs w:val="24"/>
              <w:lang w:val="en-MY"/>
            </w:rPr>
            <w:fldChar w:fldCharType="end"/>
          </w:r>
        </w:p>
        <w:p>
          <w:pPr>
            <w:pStyle w:val="14"/>
            <w:tabs>
              <w:tab w:val="right" w:leader="dot" w:pos="8306"/>
            </w:tabs>
            <w:spacing w:line="480" w:lineRule="auto"/>
            <w:jc w:val="lef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_Toc18225 </w:instrText>
          </w:r>
          <w:r>
            <w:rPr>
              <w:rFonts w:hint="default" w:ascii="Times New Roman" w:hAnsi="Times New Roman" w:cs="Times New Roman"/>
              <w:b/>
              <w:bCs/>
              <w:sz w:val="24"/>
              <w:szCs w:val="24"/>
              <w:lang w:val="en-MY"/>
            </w:rPr>
            <w:fldChar w:fldCharType="separate"/>
          </w:r>
          <w:r>
            <w:rPr>
              <w:rFonts w:hint="default"/>
              <w:b/>
              <w:bCs/>
              <w:sz w:val="24"/>
              <w:szCs w:val="24"/>
              <w:lang w:val="en-MY"/>
            </w:rPr>
            <w:t>2.0 INTRODUCTION</w:t>
          </w:r>
          <w:r>
            <w:rPr>
              <w:b/>
              <w:bCs/>
              <w:sz w:val="24"/>
              <w:szCs w:val="24"/>
            </w:rPr>
            <w:tab/>
          </w:r>
          <w:r>
            <w:rPr>
              <w:b/>
              <w:bCs/>
              <w:sz w:val="24"/>
              <w:szCs w:val="24"/>
            </w:rPr>
            <w:fldChar w:fldCharType="begin"/>
          </w:r>
          <w:r>
            <w:rPr>
              <w:b/>
              <w:bCs/>
              <w:sz w:val="24"/>
              <w:szCs w:val="24"/>
            </w:rPr>
            <w:instrText xml:space="preserve"> PAGEREF _Toc18225 </w:instrText>
          </w:r>
          <w:r>
            <w:rPr>
              <w:b/>
              <w:bCs/>
              <w:sz w:val="24"/>
              <w:szCs w:val="24"/>
            </w:rPr>
            <w:fldChar w:fldCharType="separate"/>
          </w:r>
          <w:r>
            <w:rPr>
              <w:b/>
              <w:bCs/>
              <w:sz w:val="24"/>
              <w:szCs w:val="24"/>
            </w:rPr>
            <w:t>2</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_Toc11422 </w:instrText>
          </w:r>
          <w:r>
            <w:rPr>
              <w:rFonts w:hint="default" w:ascii="Times New Roman" w:hAnsi="Times New Roman" w:cs="Times New Roman"/>
              <w:sz w:val="24"/>
              <w:szCs w:val="24"/>
              <w:lang w:val="en-MY"/>
            </w:rPr>
            <w:fldChar w:fldCharType="separate"/>
          </w:r>
          <w:r>
            <w:rPr>
              <w:rFonts w:hint="default"/>
              <w:sz w:val="24"/>
              <w:szCs w:val="24"/>
              <w:lang w:val="en-MY"/>
            </w:rPr>
            <w:t>2.1 REPORT REMIT</w:t>
          </w:r>
          <w:r>
            <w:rPr>
              <w:sz w:val="24"/>
              <w:szCs w:val="24"/>
            </w:rPr>
            <w:tab/>
          </w:r>
          <w:r>
            <w:rPr>
              <w:sz w:val="24"/>
              <w:szCs w:val="24"/>
            </w:rPr>
            <w:fldChar w:fldCharType="begin"/>
          </w:r>
          <w:r>
            <w:rPr>
              <w:sz w:val="24"/>
              <w:szCs w:val="24"/>
            </w:rPr>
            <w:instrText xml:space="preserve"> PAGEREF _Toc11422 </w:instrText>
          </w:r>
          <w:r>
            <w:rPr>
              <w:sz w:val="24"/>
              <w:szCs w:val="24"/>
            </w:rPr>
            <w:fldChar w:fldCharType="separate"/>
          </w:r>
          <w:r>
            <w:rPr>
              <w:sz w:val="24"/>
              <w:szCs w:val="24"/>
            </w:rPr>
            <w:t>2</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_Toc13721 </w:instrText>
          </w:r>
          <w:r>
            <w:rPr>
              <w:rFonts w:hint="default" w:ascii="Times New Roman" w:hAnsi="Times New Roman" w:cs="Times New Roman"/>
              <w:sz w:val="24"/>
              <w:szCs w:val="24"/>
              <w:lang w:val="en-MY"/>
            </w:rPr>
            <w:fldChar w:fldCharType="separate"/>
          </w:r>
          <w:r>
            <w:rPr>
              <w:rFonts w:hint="default"/>
              <w:sz w:val="24"/>
              <w:szCs w:val="24"/>
              <w:lang w:val="en-MY"/>
            </w:rPr>
            <w:t>2.2 BACKGROUND OF THE ORGANISATION</w:t>
          </w:r>
          <w:r>
            <w:rPr>
              <w:sz w:val="24"/>
              <w:szCs w:val="24"/>
            </w:rPr>
            <w:tab/>
          </w:r>
          <w:r>
            <w:rPr>
              <w:sz w:val="24"/>
              <w:szCs w:val="24"/>
            </w:rPr>
            <w:fldChar w:fldCharType="begin"/>
          </w:r>
          <w:r>
            <w:rPr>
              <w:sz w:val="24"/>
              <w:szCs w:val="24"/>
            </w:rPr>
            <w:instrText xml:space="preserve"> PAGEREF _Toc13721 </w:instrText>
          </w:r>
          <w:r>
            <w:rPr>
              <w:sz w:val="24"/>
              <w:szCs w:val="24"/>
            </w:rPr>
            <w:fldChar w:fldCharType="separate"/>
          </w:r>
          <w:r>
            <w:rPr>
              <w:sz w:val="24"/>
              <w:szCs w:val="24"/>
            </w:rPr>
            <w:t>2</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_Toc19731 </w:instrText>
          </w:r>
          <w:r>
            <w:rPr>
              <w:rFonts w:hint="default" w:ascii="Times New Roman" w:hAnsi="Times New Roman" w:cs="Times New Roman"/>
              <w:sz w:val="24"/>
              <w:szCs w:val="24"/>
              <w:lang w:val="en-MY"/>
            </w:rPr>
            <w:fldChar w:fldCharType="separate"/>
          </w:r>
          <w:r>
            <w:rPr>
              <w:rFonts w:hint="default"/>
              <w:sz w:val="24"/>
              <w:szCs w:val="24"/>
              <w:lang w:val="en-MY"/>
            </w:rPr>
            <w:t>2.3 DEFINITIONS OF MAJOR CONCEPTS</w:t>
          </w:r>
          <w:r>
            <w:rPr>
              <w:sz w:val="24"/>
              <w:szCs w:val="24"/>
            </w:rPr>
            <w:tab/>
          </w:r>
          <w:r>
            <w:rPr>
              <w:sz w:val="24"/>
              <w:szCs w:val="24"/>
            </w:rPr>
            <w:fldChar w:fldCharType="begin"/>
          </w:r>
          <w:r>
            <w:rPr>
              <w:sz w:val="24"/>
              <w:szCs w:val="24"/>
            </w:rPr>
            <w:instrText xml:space="preserve"> PAGEREF _Toc19731 </w:instrText>
          </w:r>
          <w:r>
            <w:rPr>
              <w:sz w:val="24"/>
              <w:szCs w:val="24"/>
            </w:rPr>
            <w:fldChar w:fldCharType="separate"/>
          </w:r>
          <w:r>
            <w:rPr>
              <w:sz w:val="24"/>
              <w:szCs w:val="24"/>
            </w:rPr>
            <w:t>3</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_Toc5334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2.3.1 STRATEGY</w:t>
          </w:r>
          <w:r>
            <w:rPr>
              <w:sz w:val="24"/>
              <w:szCs w:val="24"/>
            </w:rPr>
            <w:tab/>
          </w:r>
          <w:r>
            <w:rPr>
              <w:sz w:val="24"/>
              <w:szCs w:val="24"/>
            </w:rPr>
            <w:fldChar w:fldCharType="begin"/>
          </w:r>
          <w:r>
            <w:rPr>
              <w:sz w:val="24"/>
              <w:szCs w:val="24"/>
            </w:rPr>
            <w:instrText xml:space="preserve"> PAGEREF _Toc5334 </w:instrText>
          </w:r>
          <w:r>
            <w:rPr>
              <w:sz w:val="24"/>
              <w:szCs w:val="24"/>
            </w:rPr>
            <w:fldChar w:fldCharType="separate"/>
          </w:r>
          <w:r>
            <w:rPr>
              <w:sz w:val="24"/>
              <w:szCs w:val="24"/>
            </w:rPr>
            <w:t>3</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_Toc25259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2.3.2 BUSINESS LEVEL STRATEGY</w:t>
          </w:r>
          <w:r>
            <w:rPr>
              <w:sz w:val="24"/>
              <w:szCs w:val="24"/>
            </w:rPr>
            <w:tab/>
          </w:r>
          <w:r>
            <w:rPr>
              <w:sz w:val="24"/>
              <w:szCs w:val="24"/>
            </w:rPr>
            <w:fldChar w:fldCharType="begin"/>
          </w:r>
          <w:r>
            <w:rPr>
              <w:sz w:val="24"/>
              <w:szCs w:val="24"/>
            </w:rPr>
            <w:instrText xml:space="preserve"> PAGEREF _Toc25259 </w:instrText>
          </w:r>
          <w:r>
            <w:rPr>
              <w:sz w:val="24"/>
              <w:szCs w:val="24"/>
            </w:rPr>
            <w:fldChar w:fldCharType="separate"/>
          </w:r>
          <w:r>
            <w:rPr>
              <w:sz w:val="24"/>
              <w:szCs w:val="24"/>
            </w:rPr>
            <w:t>3</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_Toc23229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2.3.3 COMPETITIVE ADVANTAGE</w:t>
          </w:r>
          <w:r>
            <w:rPr>
              <w:sz w:val="24"/>
              <w:szCs w:val="24"/>
            </w:rPr>
            <w:tab/>
          </w:r>
          <w:r>
            <w:rPr>
              <w:sz w:val="24"/>
              <w:szCs w:val="24"/>
            </w:rPr>
            <w:fldChar w:fldCharType="begin"/>
          </w:r>
          <w:r>
            <w:rPr>
              <w:sz w:val="24"/>
              <w:szCs w:val="24"/>
            </w:rPr>
            <w:instrText xml:space="preserve"> PAGEREF _Toc23229 </w:instrText>
          </w:r>
          <w:r>
            <w:rPr>
              <w:sz w:val="24"/>
              <w:szCs w:val="24"/>
            </w:rPr>
            <w:fldChar w:fldCharType="separate"/>
          </w:r>
          <w:r>
            <w:rPr>
              <w:sz w:val="24"/>
              <w:szCs w:val="24"/>
            </w:rPr>
            <w:t>4</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_Toc6915 </w:instrText>
          </w:r>
          <w:r>
            <w:rPr>
              <w:rFonts w:hint="default" w:ascii="Times New Roman" w:hAnsi="Times New Roman" w:cs="Times New Roman"/>
              <w:sz w:val="24"/>
              <w:szCs w:val="24"/>
              <w:lang w:val="en-MY"/>
            </w:rPr>
            <w:fldChar w:fldCharType="separate"/>
          </w:r>
          <w:r>
            <w:rPr>
              <w:rFonts w:hint="default"/>
              <w:sz w:val="24"/>
              <w:szCs w:val="24"/>
              <w:lang w:val="en-US"/>
            </w:rPr>
            <w:t>2.4 PORTER’S GENERIC STRATEGIES</w:t>
          </w:r>
          <w:r>
            <w:rPr>
              <w:sz w:val="24"/>
              <w:szCs w:val="24"/>
            </w:rPr>
            <w:tab/>
          </w:r>
          <w:r>
            <w:rPr>
              <w:sz w:val="24"/>
              <w:szCs w:val="24"/>
            </w:rPr>
            <w:fldChar w:fldCharType="begin"/>
          </w:r>
          <w:r>
            <w:rPr>
              <w:sz w:val="24"/>
              <w:szCs w:val="24"/>
            </w:rPr>
            <w:instrText xml:space="preserve"> PAGEREF _Toc6915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_Toc14639 </w:instrText>
          </w:r>
          <w:r>
            <w:rPr>
              <w:rFonts w:hint="default" w:ascii="Times New Roman" w:hAnsi="Times New Roman" w:cs="Times New Roman"/>
              <w:b/>
              <w:bCs/>
              <w:sz w:val="24"/>
              <w:szCs w:val="24"/>
              <w:lang w:val="en-MY"/>
            </w:rPr>
            <w:fldChar w:fldCharType="separate"/>
          </w:r>
          <w:r>
            <w:rPr>
              <w:rFonts w:hint="default"/>
              <w:b/>
              <w:bCs/>
              <w:sz w:val="24"/>
              <w:szCs w:val="24"/>
              <w:lang w:val="en-MY"/>
            </w:rPr>
            <w:t>3.0 MAIN BODY</w:t>
          </w:r>
          <w:r>
            <w:rPr>
              <w:b/>
              <w:bCs/>
              <w:sz w:val="24"/>
              <w:szCs w:val="24"/>
            </w:rPr>
            <w:tab/>
          </w:r>
          <w:r>
            <w:rPr>
              <w:b/>
              <w:bCs/>
              <w:sz w:val="24"/>
              <w:szCs w:val="24"/>
            </w:rPr>
            <w:fldChar w:fldCharType="begin"/>
          </w:r>
          <w:r>
            <w:rPr>
              <w:b/>
              <w:bCs/>
              <w:sz w:val="24"/>
              <w:szCs w:val="24"/>
            </w:rPr>
            <w:instrText xml:space="preserve"> PAGEREF _Toc14639 </w:instrText>
          </w:r>
          <w:r>
            <w:rPr>
              <w:b/>
              <w:bCs/>
              <w:sz w:val="24"/>
              <w:szCs w:val="24"/>
            </w:rPr>
            <w:fldChar w:fldCharType="separate"/>
          </w:r>
          <w:r>
            <w:rPr>
              <w:b/>
              <w:bCs/>
              <w:sz w:val="24"/>
              <w:szCs w:val="24"/>
            </w:rPr>
            <w:t>7</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_Toc30817 </w:instrText>
          </w:r>
          <w:r>
            <w:rPr>
              <w:rFonts w:hint="default" w:ascii="Times New Roman" w:hAnsi="Times New Roman" w:cs="Times New Roman"/>
              <w:sz w:val="24"/>
              <w:szCs w:val="24"/>
              <w:lang w:val="en-MY"/>
            </w:rPr>
            <w:fldChar w:fldCharType="separate"/>
          </w:r>
          <w:r>
            <w:rPr>
              <w:rFonts w:hint="default"/>
              <w:sz w:val="24"/>
              <w:szCs w:val="24"/>
              <w:lang w:val="en-MY"/>
            </w:rPr>
            <w:t>3.1 IMPLEMENTATION OF THE STRATEGY</w:t>
          </w:r>
          <w:r>
            <w:rPr>
              <w:sz w:val="24"/>
              <w:szCs w:val="24"/>
            </w:rPr>
            <w:tab/>
          </w:r>
          <w:r>
            <w:rPr>
              <w:sz w:val="24"/>
              <w:szCs w:val="24"/>
            </w:rPr>
            <w:fldChar w:fldCharType="begin"/>
          </w:r>
          <w:r>
            <w:rPr>
              <w:sz w:val="24"/>
              <w:szCs w:val="24"/>
            </w:rPr>
            <w:instrText xml:space="preserve"> PAGEREF _Toc30817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_Toc2457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3.1.1 GOOD RELATIONSHIP WITH LOCAL SUPPLIERS</w:t>
          </w:r>
          <w:r>
            <w:rPr>
              <w:sz w:val="24"/>
              <w:szCs w:val="24"/>
            </w:rPr>
            <w:tab/>
          </w:r>
          <w:r>
            <w:rPr>
              <w:sz w:val="24"/>
              <w:szCs w:val="24"/>
            </w:rPr>
            <w:fldChar w:fldCharType="begin"/>
          </w:r>
          <w:r>
            <w:rPr>
              <w:sz w:val="24"/>
              <w:szCs w:val="24"/>
            </w:rPr>
            <w:instrText xml:space="preserve"> PAGEREF _Toc2457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_Toc21946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3.1.2 STORES NEAR NATIONAL DISTRIBUTION CENTRES</w:t>
          </w:r>
          <w:r>
            <w:rPr>
              <w:sz w:val="24"/>
              <w:szCs w:val="24"/>
            </w:rPr>
            <w:tab/>
          </w:r>
          <w:r>
            <w:rPr>
              <w:sz w:val="24"/>
              <w:szCs w:val="24"/>
            </w:rPr>
            <w:fldChar w:fldCharType="begin"/>
          </w:r>
          <w:r>
            <w:rPr>
              <w:sz w:val="24"/>
              <w:szCs w:val="24"/>
            </w:rPr>
            <w:instrText xml:space="preserve"> PAGEREF _Toc21946 </w:instrText>
          </w:r>
          <w:r>
            <w:rPr>
              <w:sz w:val="24"/>
              <w:szCs w:val="24"/>
            </w:rPr>
            <w:fldChar w:fldCharType="separate"/>
          </w:r>
          <w:r>
            <w:rPr>
              <w:sz w:val="24"/>
              <w:szCs w:val="24"/>
            </w:rPr>
            <w:t>8</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_Toc28015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3.13 KEEPS LABOUR COSTS LOW</w:t>
          </w:r>
          <w:r>
            <w:rPr>
              <w:sz w:val="24"/>
              <w:szCs w:val="24"/>
            </w:rPr>
            <w:tab/>
          </w:r>
          <w:r>
            <w:rPr>
              <w:sz w:val="24"/>
              <w:szCs w:val="24"/>
            </w:rPr>
            <w:fldChar w:fldCharType="begin"/>
          </w:r>
          <w:r>
            <w:rPr>
              <w:sz w:val="24"/>
              <w:szCs w:val="24"/>
            </w:rPr>
            <w:instrText xml:space="preserve"> PAGEREF _Toc28015 </w:instrText>
          </w:r>
          <w:r>
            <w:rPr>
              <w:sz w:val="24"/>
              <w:szCs w:val="24"/>
            </w:rPr>
            <w:fldChar w:fldCharType="separate"/>
          </w:r>
          <w:r>
            <w:rPr>
              <w:sz w:val="24"/>
              <w:szCs w:val="24"/>
            </w:rPr>
            <w:t>9</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_Toc32697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sz w:val="24"/>
              <w:szCs w:val="24"/>
              <w:lang w:val="en-MY"/>
            </w:rPr>
            <w:t xml:space="preserve">3.2 ADVANTAGES OF </w:t>
          </w:r>
          <w:r>
            <w:rPr>
              <w:rFonts w:hint="default" w:ascii="Times New Roman" w:hAnsi="Times New Roman" w:cs="Times New Roman"/>
              <w:bCs/>
              <w:sz w:val="24"/>
              <w:szCs w:val="24"/>
              <w:lang w:val="en-US"/>
            </w:rPr>
            <w:t>COST LEADERSHIP</w:t>
          </w:r>
          <w:r>
            <w:rPr>
              <w:sz w:val="24"/>
              <w:szCs w:val="24"/>
            </w:rPr>
            <w:tab/>
          </w:r>
          <w:r>
            <w:rPr>
              <w:sz w:val="24"/>
              <w:szCs w:val="24"/>
            </w:rPr>
            <w:fldChar w:fldCharType="begin"/>
          </w:r>
          <w:r>
            <w:rPr>
              <w:sz w:val="24"/>
              <w:szCs w:val="24"/>
            </w:rPr>
            <w:instrText xml:space="preserve"> PAGEREF _Toc32697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_Toc5007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3.2.1 </w:t>
          </w:r>
          <w:r>
            <w:rPr>
              <w:rFonts w:hint="default" w:ascii="Times New Roman" w:hAnsi="Times New Roman"/>
              <w:bCs/>
              <w:i/>
              <w:iCs/>
              <w:sz w:val="24"/>
              <w:szCs w:val="24"/>
              <w:lang w:val="en-US"/>
            </w:rPr>
            <w:t>SUSTAINABILITY</w:t>
          </w:r>
          <w:r>
            <w:rPr>
              <w:sz w:val="24"/>
              <w:szCs w:val="24"/>
            </w:rPr>
            <w:tab/>
          </w:r>
          <w:r>
            <w:rPr>
              <w:sz w:val="24"/>
              <w:szCs w:val="24"/>
            </w:rPr>
            <w:fldChar w:fldCharType="begin"/>
          </w:r>
          <w:r>
            <w:rPr>
              <w:sz w:val="24"/>
              <w:szCs w:val="24"/>
            </w:rPr>
            <w:instrText xml:space="preserve"> PAGEREF _Toc5007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_Toc13085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3.2.2 </w:t>
          </w:r>
          <w:r>
            <w:rPr>
              <w:rFonts w:hint="default" w:ascii="Times New Roman" w:hAnsi="Times New Roman"/>
              <w:bCs/>
              <w:i/>
              <w:iCs/>
              <w:sz w:val="24"/>
              <w:szCs w:val="24"/>
              <w:lang w:val="en-US"/>
            </w:rPr>
            <w:t>ERECT BARRIERS TO ENTRY</w:t>
          </w:r>
          <w:r>
            <w:rPr>
              <w:sz w:val="24"/>
              <w:szCs w:val="24"/>
            </w:rPr>
            <w:tab/>
          </w:r>
          <w:r>
            <w:rPr>
              <w:sz w:val="24"/>
              <w:szCs w:val="24"/>
            </w:rPr>
            <w:fldChar w:fldCharType="begin"/>
          </w:r>
          <w:r>
            <w:rPr>
              <w:sz w:val="24"/>
              <w:szCs w:val="24"/>
            </w:rPr>
            <w:instrText xml:space="preserve"> PAGEREF _Toc13085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_Toc20914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sz w:val="24"/>
              <w:szCs w:val="24"/>
              <w:lang w:val="en-US"/>
            </w:rPr>
            <w:t>3.3</w:t>
          </w:r>
          <w:r>
            <w:rPr>
              <w:rFonts w:hint="default" w:ascii="Times New Roman" w:hAnsi="Times New Roman" w:cs="Times New Roman"/>
              <w:bCs w:val="0"/>
              <w:sz w:val="24"/>
              <w:szCs w:val="24"/>
              <w:lang w:val="en-US"/>
            </w:rPr>
            <w:t xml:space="preserve"> </w:t>
          </w:r>
          <w:r>
            <w:rPr>
              <w:rFonts w:hint="default" w:ascii="Times New Roman" w:hAnsi="Times New Roman" w:cs="Times New Roman"/>
              <w:bCs/>
              <w:sz w:val="24"/>
              <w:szCs w:val="24"/>
              <w:lang w:val="en-US"/>
            </w:rPr>
            <w:t>DISADVANTAGES OF COST LEADERSHIP</w:t>
          </w:r>
          <w:r>
            <w:rPr>
              <w:sz w:val="24"/>
              <w:szCs w:val="24"/>
            </w:rPr>
            <w:tab/>
          </w:r>
          <w:r>
            <w:rPr>
              <w:sz w:val="24"/>
              <w:szCs w:val="24"/>
            </w:rPr>
            <w:fldChar w:fldCharType="begin"/>
          </w:r>
          <w:r>
            <w:rPr>
              <w:sz w:val="24"/>
              <w:szCs w:val="24"/>
            </w:rPr>
            <w:instrText xml:space="preserve"> PAGEREF _Toc20914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_Toc4842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3.3.1 </w:t>
          </w:r>
          <w:r>
            <w:rPr>
              <w:rFonts w:hint="default" w:ascii="Times New Roman" w:hAnsi="Times New Roman"/>
              <w:bCs/>
              <w:i/>
              <w:iCs/>
              <w:sz w:val="24"/>
              <w:szCs w:val="24"/>
              <w:lang w:val="en-US"/>
            </w:rPr>
            <w:t>POSSIBLE PRICE WARS</w:t>
          </w:r>
          <w:r>
            <w:rPr>
              <w:sz w:val="24"/>
              <w:szCs w:val="24"/>
            </w:rPr>
            <w:tab/>
          </w:r>
          <w:r>
            <w:rPr>
              <w:sz w:val="24"/>
              <w:szCs w:val="24"/>
            </w:rPr>
            <w:fldChar w:fldCharType="begin"/>
          </w:r>
          <w:r>
            <w:rPr>
              <w:sz w:val="24"/>
              <w:szCs w:val="24"/>
            </w:rPr>
            <w:instrText xml:space="preserve"> PAGEREF _Toc4842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_Toc31305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3.3.2 </w:t>
          </w:r>
          <w:r>
            <w:rPr>
              <w:rFonts w:hint="default" w:ascii="Times New Roman" w:hAnsi="Times New Roman"/>
              <w:bCs/>
              <w:i/>
              <w:iCs/>
              <w:sz w:val="24"/>
              <w:szCs w:val="24"/>
              <w:lang w:val="en-US"/>
            </w:rPr>
            <w:t>ASSOCIATION WITH LOWER QUALITY</w:t>
          </w:r>
          <w:r>
            <w:rPr>
              <w:sz w:val="24"/>
              <w:szCs w:val="24"/>
            </w:rPr>
            <w:tab/>
          </w:r>
          <w:r>
            <w:rPr>
              <w:sz w:val="24"/>
              <w:szCs w:val="24"/>
            </w:rPr>
            <w:fldChar w:fldCharType="begin"/>
          </w:r>
          <w:r>
            <w:rPr>
              <w:sz w:val="24"/>
              <w:szCs w:val="24"/>
            </w:rPr>
            <w:instrText xml:space="preserve"> PAGEREF _Toc31305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_Toc32067 </w:instrText>
          </w:r>
          <w:r>
            <w:rPr>
              <w:rFonts w:hint="default" w:ascii="Times New Roman" w:hAnsi="Times New Roman" w:cs="Times New Roman"/>
              <w:b/>
              <w:bCs/>
              <w:sz w:val="24"/>
              <w:szCs w:val="24"/>
              <w:lang w:val="en-MY"/>
            </w:rPr>
            <w:fldChar w:fldCharType="separate"/>
          </w:r>
          <w:r>
            <w:rPr>
              <w:rFonts w:hint="default"/>
              <w:b/>
              <w:bCs/>
              <w:sz w:val="24"/>
              <w:szCs w:val="24"/>
              <w:lang w:val="en-MY"/>
            </w:rPr>
            <w:t>4.0 CONCLUSION</w:t>
          </w:r>
          <w:r>
            <w:rPr>
              <w:b/>
              <w:bCs/>
              <w:sz w:val="24"/>
              <w:szCs w:val="24"/>
            </w:rPr>
            <w:tab/>
          </w:r>
          <w:r>
            <w:rPr>
              <w:b/>
              <w:bCs/>
              <w:sz w:val="24"/>
              <w:szCs w:val="24"/>
            </w:rPr>
            <w:fldChar w:fldCharType="begin"/>
          </w:r>
          <w:r>
            <w:rPr>
              <w:b/>
              <w:bCs/>
              <w:sz w:val="24"/>
              <w:szCs w:val="24"/>
            </w:rPr>
            <w:instrText xml:space="preserve"> PAGEREF _Toc32067 </w:instrText>
          </w:r>
          <w:r>
            <w:rPr>
              <w:b/>
              <w:bCs/>
              <w:sz w:val="24"/>
              <w:szCs w:val="24"/>
            </w:rPr>
            <w:fldChar w:fldCharType="separate"/>
          </w:r>
          <w:r>
            <w:rPr>
              <w:b/>
              <w:bCs/>
              <w:sz w:val="24"/>
              <w:szCs w:val="24"/>
            </w:rPr>
            <w:t>13</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_Toc23173 </w:instrText>
          </w:r>
          <w:r>
            <w:rPr>
              <w:rFonts w:hint="default" w:ascii="Times New Roman" w:hAnsi="Times New Roman" w:cs="Times New Roman"/>
              <w:sz w:val="24"/>
              <w:szCs w:val="24"/>
              <w:lang w:val="en-MY"/>
            </w:rPr>
            <w:fldChar w:fldCharType="separate"/>
          </w:r>
          <w:r>
            <w:rPr>
              <w:rFonts w:hint="default"/>
              <w:sz w:val="24"/>
              <w:szCs w:val="24"/>
              <w:lang w:val="en-MY"/>
            </w:rPr>
            <w:t>4.1 RECOMMENDATIONS</w:t>
          </w:r>
          <w:r>
            <w:rPr>
              <w:sz w:val="24"/>
              <w:szCs w:val="24"/>
            </w:rPr>
            <w:tab/>
          </w:r>
          <w:r>
            <w:rPr>
              <w:sz w:val="24"/>
              <w:szCs w:val="24"/>
            </w:rPr>
            <w:fldChar w:fldCharType="begin"/>
          </w:r>
          <w:r>
            <w:rPr>
              <w:sz w:val="24"/>
              <w:szCs w:val="24"/>
            </w:rPr>
            <w:instrText xml:space="preserve"> PAGEREF _Toc23173 </w:instrText>
          </w:r>
          <w:r>
            <w:rPr>
              <w:sz w:val="24"/>
              <w:szCs w:val="24"/>
            </w:rPr>
            <w:fldChar w:fldCharType="separate"/>
          </w:r>
          <w:r>
            <w:rPr>
              <w:sz w:val="24"/>
              <w:szCs w:val="24"/>
            </w:rPr>
            <w:t>13</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b/>
              <w:bCs/>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_Toc7136 </w:instrText>
          </w:r>
          <w:r>
            <w:rPr>
              <w:rFonts w:hint="default" w:ascii="Times New Roman" w:hAnsi="Times New Roman" w:cs="Times New Roman"/>
              <w:b/>
              <w:bCs/>
              <w:sz w:val="24"/>
              <w:szCs w:val="24"/>
              <w:lang w:val="en-MY"/>
            </w:rPr>
            <w:fldChar w:fldCharType="separate"/>
          </w:r>
          <w:r>
            <w:rPr>
              <w:rFonts w:hint="default"/>
              <w:b/>
              <w:bCs/>
              <w:sz w:val="24"/>
              <w:szCs w:val="24"/>
              <w:lang w:val="en-MY"/>
            </w:rPr>
            <w:t>5.0 REFERENCES</w:t>
          </w:r>
          <w:r>
            <w:rPr>
              <w:b/>
              <w:bCs/>
              <w:sz w:val="24"/>
              <w:szCs w:val="24"/>
            </w:rPr>
            <w:tab/>
          </w:r>
          <w:r>
            <w:rPr>
              <w:b/>
              <w:bCs/>
              <w:sz w:val="24"/>
              <w:szCs w:val="24"/>
            </w:rPr>
            <w:fldChar w:fldCharType="begin"/>
          </w:r>
          <w:r>
            <w:rPr>
              <w:b/>
              <w:bCs/>
              <w:sz w:val="24"/>
              <w:szCs w:val="24"/>
            </w:rPr>
            <w:instrText xml:space="preserve"> PAGEREF _Toc7136 </w:instrText>
          </w:r>
          <w:r>
            <w:rPr>
              <w:b/>
              <w:bCs/>
              <w:sz w:val="24"/>
              <w:szCs w:val="24"/>
            </w:rPr>
            <w:fldChar w:fldCharType="separate"/>
          </w:r>
          <w:r>
            <w:rPr>
              <w:b/>
              <w:bCs/>
              <w:sz w:val="24"/>
              <w:szCs w:val="24"/>
            </w:rPr>
            <w:t>15</w:t>
          </w:r>
          <w:r>
            <w:rPr>
              <w:b/>
              <w:bCs/>
              <w:sz w:val="24"/>
              <w:szCs w:val="24"/>
            </w:rPr>
            <w:fldChar w:fldCharType="end"/>
          </w:r>
          <w:r>
            <w:rPr>
              <w:rFonts w:hint="default" w:ascii="Times New Roman" w:hAnsi="Times New Roman" w:cs="Times New Roman"/>
              <w:b/>
              <w:bCs/>
              <w:sz w:val="24"/>
              <w:szCs w:val="24"/>
              <w:lang w:val="en-MY"/>
            </w:rPr>
            <w:fldChar w:fldCharType="end"/>
          </w:r>
        </w:p>
        <w:p>
          <w:pPr>
            <w:spacing w:line="480" w:lineRule="auto"/>
            <w:rPr>
              <w:rFonts w:hint="default" w:ascii="Times New Roman" w:hAnsi="Times New Roman" w:cs="Times New Roman"/>
              <w:sz w:val="24"/>
              <w:szCs w:val="24"/>
              <w:lang w:val="en-MY"/>
            </w:rPr>
            <w:sectPr>
              <w:headerReference r:id="rId4" w:type="default"/>
              <w:pgSz w:w="11906" w:h="16838"/>
              <w:pgMar w:top="1440" w:right="1800" w:bottom="1440" w:left="1800" w:header="720" w:footer="720" w:gutter="0"/>
              <w:cols w:space="720" w:num="1"/>
              <w:docGrid w:linePitch="360" w:charSpace="0"/>
            </w:sectPr>
          </w:pPr>
          <w:r>
            <w:rPr>
              <w:rFonts w:hint="default" w:ascii="Times New Roman" w:hAnsi="Times New Roman" w:cs="Times New Roman"/>
              <w:szCs w:val="24"/>
              <w:lang w:val="en-MY"/>
            </w:rPr>
            <w:fldChar w:fldCharType="end"/>
          </w:r>
        </w:p>
      </w:sdtContent>
    </w:sdt>
    <w:p>
      <w:pPr>
        <w:spacing w:line="480" w:lineRule="auto"/>
        <w:rPr>
          <w:rFonts w:hint="default" w:ascii="Times New Roman" w:hAnsi="Times New Roman" w:cs="Times New Roman"/>
          <w:b/>
          <w:bCs/>
          <w:sz w:val="24"/>
          <w:szCs w:val="24"/>
          <w:u w:val="single"/>
          <w:lang w:val="en-US"/>
        </w:rPr>
      </w:pPr>
      <w:r>
        <w:rPr>
          <w:rFonts w:hint="default" w:ascii="Times New Roman" w:hAnsi="Times New Roman" w:cs="Times New Roman"/>
          <w:b/>
          <w:bCs/>
          <w:sz w:val="24"/>
          <w:szCs w:val="24"/>
          <w:u w:val="single"/>
          <w:lang w:val="en-US"/>
        </w:rPr>
        <w:t>LIST OF FIGURES</w:t>
      </w:r>
    </w:p>
    <w:p>
      <w:pPr>
        <w:spacing w:line="480" w:lineRule="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 xml:space="preserve">FIGURE 2-1 - </w:t>
      </w:r>
      <w:r>
        <w:rPr>
          <w:rFonts w:hint="default" w:ascii="Times New Roman" w:hAnsi="Times New Roman" w:cs="Times New Roman"/>
          <w:sz w:val="24"/>
          <w:szCs w:val="24"/>
          <w:lang w:val="en-US"/>
        </w:rPr>
        <w:t>Porter’s Generic Strategies Matrix…………………………………… 5</w:t>
      </w:r>
    </w:p>
    <w:p>
      <w:pPr>
        <w:spacing w:line="480" w:lineRule="auto"/>
        <w:rPr>
          <w:rFonts w:hint="default" w:ascii="Times New Roman" w:hAnsi="Times New Roman" w:cs="Times New Roman"/>
          <w:b w:val="0"/>
          <w:bCs w:val="0"/>
          <w:sz w:val="24"/>
          <w:szCs w:val="24"/>
          <w:u w:val="none"/>
          <w:lang w:val="en-US"/>
        </w:rPr>
      </w:pPr>
    </w:p>
    <w:p>
      <w:pPr>
        <w:spacing w:line="480" w:lineRule="auto"/>
        <w:rPr>
          <w:rFonts w:hint="default" w:ascii="Times New Roman" w:hAnsi="Times New Roman" w:cs="Times New Roman"/>
          <w:b w:val="0"/>
          <w:bCs w:val="0"/>
          <w:sz w:val="24"/>
          <w:szCs w:val="24"/>
          <w:u w:val="none"/>
          <w:lang w:val="en-US"/>
        </w:rPr>
        <w:sectPr>
          <w:headerReference r:id="rId5" w:type="default"/>
          <w:pgSz w:w="11906" w:h="16838"/>
          <w:pgMar w:top="1440" w:right="1800" w:bottom="1440" w:left="1800" w:header="720" w:footer="720" w:gutter="0"/>
          <w:cols w:space="720" w:num="1"/>
          <w:docGrid w:linePitch="360" w:charSpace="0"/>
        </w:sectPr>
      </w:pPr>
    </w:p>
    <w:p>
      <w:pPr>
        <w:pStyle w:val="2"/>
        <w:bidi w:val="0"/>
        <w:spacing w:line="480" w:lineRule="auto"/>
        <w:jc w:val="both"/>
        <w:rPr>
          <w:rFonts w:hint="default" w:ascii="Times New Roman" w:hAnsi="Times New Roman" w:cs="Times New Roman"/>
          <w:sz w:val="28"/>
          <w:szCs w:val="28"/>
          <w:lang w:val="en-MY"/>
        </w:rPr>
      </w:pPr>
      <w:bookmarkStart w:id="0" w:name="_Toc10591"/>
      <w:r>
        <w:rPr>
          <w:rFonts w:hint="default" w:ascii="Times New Roman" w:hAnsi="Times New Roman" w:cs="Times New Roman"/>
          <w:sz w:val="28"/>
          <w:szCs w:val="28"/>
          <w:lang w:val="en-MY"/>
        </w:rPr>
        <w:t>1.0 EXECUTIVE SUMMARY</w:t>
      </w:r>
      <w:bookmarkEnd w:id="0"/>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This report explores the competitive strategy that Lidl has employed to develop its current competitive position. The German retailer with over 760 stores in Britain alone has risen above the other supermarkets in the UK with its deeply discounted prices. The Porter’s Generic Strategy is used in this report to further identify Lidl’s strategy on becoming o</w:t>
      </w:r>
      <w:r>
        <w:rPr>
          <w:rFonts w:hint="default" w:ascii="Times New Roman" w:hAnsi="Times New Roman"/>
          <w:sz w:val="24"/>
          <w:szCs w:val="24"/>
          <w:lang w:val="en-US"/>
        </w:rPr>
        <w:t>ne of Britain's fastest rising grocery store</w:t>
      </w:r>
      <w:r>
        <w:rPr>
          <w:rFonts w:hint="default" w:ascii="Times New Roman" w:hAnsi="Times New Roman" w:cs="Times New Roman"/>
          <w:sz w:val="24"/>
          <w:szCs w:val="24"/>
          <w:lang w:val="en-US"/>
        </w:rPr>
        <w:t xml:space="preserve">.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It is clearly seen that Lidl closely employs the cost leadership strategy of Porter’s Generic Strategy. This can be observed as they reduce their costs by having a good relationship with the local suppliers, having their stores near the national distribution centres and keeping their labour costs low.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advantages of the strategy Lidl has applied is also identified in this report as it gives Lidl sustainability and erects barriers to new entrants. Disadvantages to this strategy is spotted as well as this strategy encourages price wars and associates Lidl’s products with low quality. </w:t>
      </w:r>
    </w:p>
    <w:p>
      <w:pPr>
        <w:spacing w:line="480" w:lineRule="auto"/>
        <w:ind w:firstLine="420" w:firstLineChars="0"/>
        <w:jc w:val="both"/>
        <w:rPr>
          <w:rFonts w:hint="default" w:ascii="Times New Roman" w:hAnsi="Times New Roman" w:cs="Times New Roman"/>
          <w:sz w:val="24"/>
          <w:szCs w:val="24"/>
          <w:lang w:val="en-MY"/>
        </w:rPr>
        <w:sectPr>
          <w:headerReference r:id="rId6" w:type="default"/>
          <w:footerReference r:id="rId7" w:type="default"/>
          <w:pgSz w:w="11906" w:h="16838"/>
          <w:pgMar w:top="1440" w:right="1800" w:bottom="1440" w:left="1800" w:header="720" w:footer="720" w:gutter="0"/>
          <w:pgNumType w:fmt="decimal" w:start="1"/>
          <w:cols w:space="720" w:num="1"/>
          <w:docGrid w:linePitch="360" w:charSpace="0"/>
        </w:sectPr>
      </w:pPr>
      <w:r>
        <w:rPr>
          <w:rFonts w:hint="default" w:ascii="Times New Roman" w:hAnsi="Times New Roman" w:cs="Times New Roman"/>
          <w:sz w:val="24"/>
          <w:szCs w:val="24"/>
          <w:lang w:val="en-US"/>
        </w:rPr>
        <w:t xml:space="preserve">Recommendations for ways to bring Lidl forward is also made in this report such as </w:t>
      </w:r>
      <w:r>
        <w:rPr>
          <w:rFonts w:hint="default" w:ascii="Times New Roman" w:hAnsi="Times New Roman"/>
          <w:b w:val="0"/>
          <w:bCs w:val="0"/>
          <w:sz w:val="24"/>
          <w:szCs w:val="24"/>
          <w:lang w:val="en-US"/>
        </w:rPr>
        <w:t>developing greater barriers to entry to discourage other companies from joining the British supermarket industry and possibly invading Lidl's market share, enhancing the usability of its website to gain clicks and obtain orders and perhaps delivery, and creating and introducing upper-class branded goods in order to reach a larger population and keep pace with the big store stores in a more even environment.</w:t>
      </w:r>
      <w:r>
        <w:rPr>
          <w:rFonts w:hint="default" w:ascii="Times New Roman" w:hAnsi="Times New Roman" w:cs="Times New Roman"/>
          <w:sz w:val="24"/>
          <w:szCs w:val="24"/>
          <w:lang w:val="en-MY"/>
        </w:rPr>
        <w:br w:type="page"/>
      </w:r>
    </w:p>
    <w:p>
      <w:pPr>
        <w:pStyle w:val="2"/>
        <w:bidi w:val="0"/>
        <w:spacing w:line="480" w:lineRule="auto"/>
        <w:jc w:val="both"/>
        <w:rPr>
          <w:rFonts w:hint="default" w:ascii="Times New Roman" w:hAnsi="Times New Roman" w:cs="Times New Roman"/>
          <w:sz w:val="28"/>
          <w:szCs w:val="28"/>
          <w:lang w:val="en-MY"/>
        </w:rPr>
      </w:pPr>
      <w:bookmarkStart w:id="1" w:name="_Toc18225"/>
      <w:r>
        <w:rPr>
          <w:rFonts w:hint="default" w:ascii="Times New Roman" w:hAnsi="Times New Roman" w:cs="Times New Roman"/>
          <w:sz w:val="28"/>
          <w:szCs w:val="28"/>
          <w:lang w:val="en-MY"/>
        </w:rPr>
        <w:t>2.0 INTRODUCTION</w:t>
      </w:r>
      <w:bookmarkEnd w:id="1"/>
    </w:p>
    <w:p>
      <w:pPr>
        <w:pStyle w:val="3"/>
        <w:bidi w:val="0"/>
        <w:rPr>
          <w:rFonts w:hint="default" w:ascii="Times New Roman" w:hAnsi="Times New Roman" w:cs="Times New Roman"/>
          <w:sz w:val="24"/>
          <w:szCs w:val="24"/>
          <w:lang w:val="en-MY"/>
        </w:rPr>
      </w:pPr>
      <w:bookmarkStart w:id="2" w:name="_Toc11422"/>
      <w:r>
        <w:rPr>
          <w:rFonts w:hint="default" w:ascii="Times New Roman" w:hAnsi="Times New Roman" w:cs="Times New Roman"/>
          <w:sz w:val="24"/>
          <w:szCs w:val="24"/>
          <w:lang w:val="en-MY"/>
        </w:rPr>
        <w:t>2.1 REPORT REMIT</w:t>
      </w:r>
      <w:bookmarkEnd w:id="2"/>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sz w:val="24"/>
          <w:szCs w:val="24"/>
          <w:lang w:val="en-US"/>
        </w:rPr>
        <w:t>The purpose of this report is to distinguish Lidl's competitive strategy to develop its prevailing competitive position. It will be critically evaluated and the advantages and disadvantages of this approach will also be considered in this report. Applicable recommendations will be made on the basis of the conclusions of this study on ways to bring Lidl forward.</w:t>
      </w:r>
    </w:p>
    <w:p>
      <w:pPr>
        <w:spacing w:line="480" w:lineRule="auto"/>
        <w:jc w:val="both"/>
        <w:rPr>
          <w:rFonts w:hint="default" w:ascii="Times New Roman" w:hAnsi="Times New Roman" w:cs="Times New Roman"/>
          <w:sz w:val="24"/>
          <w:szCs w:val="24"/>
          <w:lang w:val="en-MY"/>
        </w:rPr>
      </w:pPr>
    </w:p>
    <w:p>
      <w:pPr>
        <w:pStyle w:val="3"/>
        <w:bidi w:val="0"/>
        <w:rPr>
          <w:rFonts w:hint="default" w:ascii="Times New Roman" w:hAnsi="Times New Roman" w:cs="Times New Roman"/>
          <w:sz w:val="24"/>
          <w:szCs w:val="24"/>
          <w:lang w:val="en-MY"/>
        </w:rPr>
      </w:pPr>
      <w:bookmarkStart w:id="3" w:name="_Toc13721"/>
      <w:r>
        <w:rPr>
          <w:rFonts w:hint="default" w:ascii="Times New Roman" w:hAnsi="Times New Roman" w:cs="Times New Roman"/>
          <w:sz w:val="24"/>
          <w:szCs w:val="24"/>
          <w:lang w:val="en-MY"/>
        </w:rPr>
        <w:t>2.2 BACKGROUND OF THE ORGANISATION</w:t>
      </w:r>
      <w:bookmarkEnd w:id="3"/>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Originating from Germany, Lidl is a successful chain of grocery stores that provides high quality products at low prices. Lidl has developed to be one of Europe’s leading food retailers for the past 40 years. In 1973, they opened their first store in Germany with only three employees and only about 500 product lines of stock. By 1980, Lidl became a household name in their home country. Lidl started expanding internationally 16 years later, by opening a store in their neighbouring country, France. Lidl only entered the United Kingdom in November 1994 with an opening of ten stores across the country. They became the leading retailer in the United Kingdom by 2008 as the number of their British stores increased. Presently, Lidl offers a chain of more than 760 stores in Britain along with 13 regional distribution centres bringing fresh and quality produce across England, Scotland and Wales. Lidl has a total of over 22,500 employees in the United Kingdom alone </w:t>
      </w:r>
      <w:r>
        <w:rPr>
          <w:rFonts w:hint="default" w:ascii="Times New Roman" w:hAnsi="Times New Roman"/>
          <w:sz w:val="24"/>
          <w:szCs w:val="24"/>
          <w:lang w:val="en-US"/>
        </w:rPr>
        <w:t>(Corporate.lidl.co.uk, 2019).</w:t>
      </w:r>
    </w:p>
    <w:p>
      <w:pPr>
        <w:spacing w:line="480" w:lineRule="auto"/>
        <w:ind w:firstLine="420"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US"/>
        </w:rPr>
        <w:t>Lidl has four main missions, mainly by p</w:t>
      </w:r>
      <w:r>
        <w:rPr>
          <w:rFonts w:hint="default" w:ascii="Times New Roman" w:hAnsi="Times New Roman"/>
          <w:sz w:val="24"/>
          <w:szCs w:val="24"/>
          <w:lang w:val="en-US"/>
        </w:rPr>
        <w:t>roviding first-class customer satisfaction; establishing market-leading quality as well as profitability by regularly driving innovation and improving their efficient operations, powered by people and innovation; engaging with company associates in collaborative partnerships, making a positive difference to national communities; and ensuring long-term success through engaging in recruiting, learning and growth of their workers</w:t>
      </w:r>
      <w:r>
        <w:rPr>
          <w:rFonts w:hint="default" w:ascii="Times New Roman" w:hAnsi="Times New Roman" w:cs="Times New Roman"/>
          <w:sz w:val="24"/>
          <w:szCs w:val="24"/>
          <w:lang w:val="en-US"/>
        </w:rPr>
        <w:t xml:space="preserve"> </w:t>
      </w:r>
      <w:r>
        <w:rPr>
          <w:rFonts w:hint="default" w:ascii="Times New Roman" w:hAnsi="Times New Roman"/>
          <w:sz w:val="24"/>
          <w:szCs w:val="24"/>
          <w:lang w:val="en-US"/>
        </w:rPr>
        <w:t>(Corporate.lidl.co.uk, 2019)</w:t>
      </w:r>
      <w:r>
        <w:rPr>
          <w:rFonts w:hint="default" w:ascii="Times New Roman" w:hAnsi="Times New Roman" w:cs="Times New Roman"/>
          <w:sz w:val="24"/>
          <w:szCs w:val="24"/>
          <w:lang w:val="en-US"/>
        </w:rPr>
        <w:t xml:space="preserve">. </w:t>
      </w:r>
    </w:p>
    <w:p>
      <w:pPr>
        <w:spacing w:line="480" w:lineRule="auto"/>
        <w:ind w:firstLine="420"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In recent years, the expansion of Lidl has put other grocers across </w:t>
      </w:r>
      <w:r>
        <w:rPr>
          <w:rFonts w:hint="default" w:ascii="Times New Roman" w:hAnsi="Times New Roman"/>
          <w:sz w:val="24"/>
          <w:szCs w:val="24"/>
          <w:lang w:val="en-US"/>
        </w:rPr>
        <w:t>Europe under pressure</w:t>
      </w:r>
      <w:r>
        <w:rPr>
          <w:rFonts w:hint="default" w:ascii="Times New Roman" w:hAnsi="Times New Roman"/>
          <w:sz w:val="24"/>
          <w:szCs w:val="24"/>
          <w:lang w:val="en-MY"/>
        </w:rPr>
        <w:t xml:space="preserve"> as Lidl</w:t>
      </w:r>
      <w:r>
        <w:rPr>
          <w:rFonts w:hint="default" w:ascii="Times New Roman" w:hAnsi="Times New Roman"/>
          <w:sz w:val="24"/>
          <w:szCs w:val="24"/>
          <w:lang w:val="en-US"/>
        </w:rPr>
        <w:t xml:space="preserve"> </w:t>
      </w:r>
      <w:r>
        <w:rPr>
          <w:rFonts w:hint="default" w:ascii="Times New Roman" w:hAnsi="Times New Roman"/>
          <w:sz w:val="24"/>
          <w:szCs w:val="24"/>
          <w:lang w:val="en-MY"/>
        </w:rPr>
        <w:t>provide a narrower range of products bought in huge volumes at deeply discounted prices (Marketline, 2018). The rise of Lidl and other supermarkets that compete on price above all else has shaken the structure of the market, shedding the market share of newcomers. Lidl managed to capitalize on rising consumer desire for cheaper alternatives. Their growth has left other players nervous and fighting to be heard in a busy market (Marketline, 2019).</w:t>
      </w:r>
    </w:p>
    <w:p>
      <w:pPr>
        <w:spacing w:line="480" w:lineRule="auto"/>
        <w:jc w:val="both"/>
        <w:rPr>
          <w:rFonts w:hint="default" w:ascii="Times New Roman" w:hAnsi="Times New Roman" w:cs="Times New Roman"/>
          <w:sz w:val="24"/>
          <w:szCs w:val="24"/>
          <w:lang w:val="en-MY"/>
        </w:rPr>
      </w:pPr>
    </w:p>
    <w:p>
      <w:pPr>
        <w:pStyle w:val="3"/>
        <w:bidi w:val="0"/>
        <w:rPr>
          <w:rFonts w:hint="default" w:ascii="Times New Roman" w:hAnsi="Times New Roman" w:cs="Times New Roman"/>
          <w:sz w:val="24"/>
          <w:szCs w:val="24"/>
          <w:lang w:val="en-MY"/>
        </w:rPr>
      </w:pPr>
      <w:bookmarkStart w:id="4" w:name="_Toc19731"/>
      <w:r>
        <w:rPr>
          <w:rFonts w:hint="default" w:ascii="Times New Roman" w:hAnsi="Times New Roman" w:cs="Times New Roman"/>
          <w:sz w:val="24"/>
          <w:szCs w:val="24"/>
          <w:lang w:val="en-MY"/>
        </w:rPr>
        <w:t>2.3 DEFINITIONS OF MAJOR CONCEPTS</w:t>
      </w:r>
      <w:bookmarkEnd w:id="4"/>
    </w:p>
    <w:p>
      <w:pPr>
        <w:pStyle w:val="4"/>
        <w:bidi w:val="0"/>
        <w:rPr>
          <w:rFonts w:hint="default" w:ascii="Times New Roman" w:hAnsi="Times New Roman" w:cs="Times New Roman"/>
          <w:b/>
          <w:bCs/>
          <w:i/>
          <w:iCs/>
          <w:sz w:val="24"/>
          <w:szCs w:val="24"/>
          <w:u w:val="single"/>
          <w:lang w:val="en-MY"/>
        </w:rPr>
      </w:pPr>
      <w:bookmarkStart w:id="5" w:name="_Toc5334"/>
      <w:r>
        <w:rPr>
          <w:rFonts w:hint="default" w:ascii="Times New Roman" w:hAnsi="Times New Roman" w:cs="Times New Roman"/>
          <w:b/>
          <w:bCs/>
          <w:i/>
          <w:iCs/>
          <w:sz w:val="24"/>
          <w:szCs w:val="24"/>
          <w:u w:val="none"/>
          <w:lang w:val="en-MY"/>
        </w:rPr>
        <w:t xml:space="preserve">2.3.1 </w:t>
      </w:r>
      <w:r>
        <w:rPr>
          <w:rFonts w:hint="default" w:ascii="Times New Roman" w:hAnsi="Times New Roman" w:cs="Times New Roman"/>
          <w:b/>
          <w:bCs/>
          <w:i/>
          <w:iCs/>
          <w:sz w:val="24"/>
          <w:szCs w:val="24"/>
          <w:u w:val="single"/>
          <w:lang w:val="en-MY"/>
        </w:rPr>
        <w:t>STRATEGY</w:t>
      </w:r>
      <w:bookmarkEnd w:id="5"/>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b w:val="0"/>
          <w:bCs w:val="0"/>
          <w:sz w:val="24"/>
          <w:szCs w:val="24"/>
          <w:lang w:val="en-MY"/>
        </w:rPr>
        <w:t>Strategy is an organisation's long-term path, according to Johnson et al. (2012). It is the commitment of a company's long-run targets and goals and the implementation of courses of action and resource allocation needed to accomplish these targets (Chandler, 1963). Strategy is also described as a pattern in a flow of decisions</w:t>
      </w:r>
      <w:r>
        <w:rPr>
          <w:rFonts w:hint="default" w:ascii="Times New Roman" w:hAnsi="Times New Roman" w:cs="Times New Roman"/>
          <w:b w:val="0"/>
          <w:bCs w:val="0"/>
          <w:sz w:val="24"/>
          <w:szCs w:val="24"/>
          <w:lang w:val="en-MY"/>
        </w:rPr>
        <w:t xml:space="preserve"> (Mintzberg, 2007).</w:t>
      </w:r>
    </w:p>
    <w:p>
      <w:pPr>
        <w:pStyle w:val="4"/>
        <w:bidi w:val="0"/>
        <w:rPr>
          <w:rFonts w:hint="default" w:ascii="Times New Roman" w:hAnsi="Times New Roman" w:cs="Times New Roman"/>
          <w:b/>
          <w:bCs/>
          <w:i/>
          <w:iCs/>
          <w:sz w:val="24"/>
          <w:szCs w:val="24"/>
          <w:u w:val="single"/>
          <w:lang w:val="en-MY"/>
        </w:rPr>
      </w:pPr>
      <w:bookmarkStart w:id="6" w:name="_Toc25259"/>
      <w:r>
        <w:rPr>
          <w:rFonts w:hint="default" w:ascii="Times New Roman" w:hAnsi="Times New Roman" w:cs="Times New Roman"/>
          <w:b/>
          <w:bCs/>
          <w:i/>
          <w:iCs/>
          <w:sz w:val="24"/>
          <w:szCs w:val="24"/>
          <w:u w:val="none"/>
          <w:lang w:val="en-MY"/>
        </w:rPr>
        <w:t xml:space="preserve">2.3.2 </w:t>
      </w:r>
      <w:r>
        <w:rPr>
          <w:rFonts w:hint="default" w:ascii="Times New Roman" w:hAnsi="Times New Roman" w:cs="Times New Roman"/>
          <w:b/>
          <w:bCs/>
          <w:i/>
          <w:iCs/>
          <w:sz w:val="24"/>
          <w:szCs w:val="24"/>
          <w:u w:val="single"/>
          <w:lang w:val="en-MY"/>
        </w:rPr>
        <w:t>BUSINESS LEVEL STRATEGY</w:t>
      </w:r>
      <w:bookmarkEnd w:id="6"/>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cs="Times New Roman"/>
          <w:b w:val="0"/>
          <w:bCs w:val="0"/>
          <w:sz w:val="24"/>
          <w:szCs w:val="24"/>
          <w:lang w:val="en-MY"/>
        </w:rPr>
        <w:t xml:space="preserve">Johnson et al. (2012) defines </w:t>
      </w:r>
      <w:r>
        <w:rPr>
          <w:rFonts w:hint="default" w:ascii="Times New Roman" w:hAnsi="Times New Roman" w:cs="Times New Roman"/>
          <w:b w:val="0"/>
          <w:bCs w:val="0"/>
          <w:sz w:val="24"/>
          <w:szCs w:val="24"/>
          <w:lang w:val="en-US"/>
        </w:rPr>
        <w:t>s</w:t>
      </w:r>
      <w:r>
        <w:rPr>
          <w:rFonts w:hint="default" w:ascii="Times New Roman" w:hAnsi="Times New Roman"/>
          <w:b w:val="0"/>
          <w:bCs w:val="0"/>
          <w:sz w:val="24"/>
          <w:szCs w:val="24"/>
          <w:lang w:val="en-MY"/>
        </w:rPr>
        <w:t xml:space="preserve">trategy at the business level as to how different companies can perform in their specific </w:t>
      </w:r>
      <w:r>
        <w:rPr>
          <w:rFonts w:hint="default" w:ascii="Times New Roman" w:hAnsi="Times New Roman"/>
          <w:b w:val="0"/>
          <w:bCs w:val="0"/>
          <w:sz w:val="24"/>
          <w:szCs w:val="24"/>
          <w:lang w:val="en-US"/>
        </w:rPr>
        <w:t>industries</w:t>
      </w:r>
      <w:r>
        <w:rPr>
          <w:rFonts w:hint="default" w:ascii="Times New Roman" w:hAnsi="Times New Roman"/>
          <w:b w:val="0"/>
          <w:bCs w:val="0"/>
          <w:sz w:val="24"/>
          <w:szCs w:val="24"/>
          <w:lang w:val="en-MY"/>
        </w:rPr>
        <w:t xml:space="preserve">. </w:t>
      </w:r>
      <w:r>
        <w:rPr>
          <w:rFonts w:hint="default" w:ascii="Times New Roman" w:hAnsi="Times New Roman"/>
          <w:b w:val="0"/>
          <w:bCs w:val="0"/>
          <w:sz w:val="24"/>
          <w:szCs w:val="24"/>
          <w:lang w:val="en-US"/>
        </w:rPr>
        <w:t>These may be independent companies or business units in a bigger organisation.</w:t>
      </w:r>
      <w:r>
        <w:rPr>
          <w:rFonts w:hint="default" w:ascii="Times New Roman" w:hAnsi="Times New Roman" w:cs="Times New Roman"/>
          <w:b w:val="0"/>
          <w:bCs w:val="0"/>
          <w:sz w:val="24"/>
          <w:szCs w:val="24"/>
          <w:lang w:val="en-MY"/>
        </w:rPr>
        <w:t xml:space="preserve"> Furthermore, according to Porter (1966), </w:t>
      </w:r>
      <w:r>
        <w:rPr>
          <w:rFonts w:hint="default" w:ascii="Times New Roman" w:hAnsi="Times New Roman" w:cs="Times New Roman"/>
          <w:b w:val="0"/>
          <w:bCs w:val="0"/>
          <w:sz w:val="24"/>
          <w:szCs w:val="24"/>
          <w:lang w:val="en-US"/>
        </w:rPr>
        <w:t>b</w:t>
      </w:r>
      <w:r>
        <w:rPr>
          <w:rFonts w:hint="default" w:ascii="Times New Roman" w:hAnsi="Times New Roman"/>
          <w:b w:val="0"/>
          <w:bCs w:val="0"/>
          <w:sz w:val="24"/>
          <w:szCs w:val="24"/>
          <w:lang w:val="en-MY"/>
        </w:rPr>
        <w:t>usiness-level strategy involves selecting a separate range of tasks to produce an unique blend of value. It usually involves problems like creativity, adequate scale and reaction to the movements of competitions</w:t>
      </w:r>
      <w:r>
        <w:rPr>
          <w:rFonts w:hint="default" w:ascii="Times New Roman" w:hAnsi="Times New Roman" w:cs="Times New Roman"/>
          <w:b w:val="0"/>
          <w:bCs w:val="0"/>
          <w:sz w:val="24"/>
          <w:szCs w:val="24"/>
          <w:lang w:val="en-MY"/>
        </w:rPr>
        <w:t xml:space="preserve"> (Johnson et al. 2012).  </w:t>
      </w:r>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p>
    <w:p>
      <w:pPr>
        <w:pStyle w:val="4"/>
        <w:bidi w:val="0"/>
        <w:rPr>
          <w:rFonts w:hint="default" w:ascii="Times New Roman" w:hAnsi="Times New Roman" w:cs="Times New Roman"/>
          <w:b w:val="0"/>
          <w:bCs w:val="0"/>
          <w:i w:val="0"/>
          <w:iCs w:val="0"/>
          <w:sz w:val="24"/>
          <w:szCs w:val="24"/>
          <w:u w:val="none"/>
          <w:lang w:val="en-MY"/>
        </w:rPr>
      </w:pPr>
      <w:bookmarkStart w:id="7" w:name="_Toc23229"/>
      <w:r>
        <w:rPr>
          <w:rFonts w:hint="default" w:ascii="Times New Roman" w:hAnsi="Times New Roman" w:cs="Times New Roman"/>
          <w:b/>
          <w:bCs/>
          <w:i/>
          <w:iCs/>
          <w:sz w:val="24"/>
          <w:szCs w:val="24"/>
          <w:u w:val="none"/>
          <w:lang w:val="en-MY"/>
        </w:rPr>
        <w:t xml:space="preserve">2.3.3 </w:t>
      </w:r>
      <w:r>
        <w:rPr>
          <w:rFonts w:hint="default" w:ascii="Times New Roman" w:hAnsi="Times New Roman" w:cs="Times New Roman"/>
          <w:b/>
          <w:bCs/>
          <w:i/>
          <w:iCs/>
          <w:sz w:val="24"/>
          <w:szCs w:val="24"/>
          <w:u w:val="single"/>
          <w:lang w:val="en-MY"/>
        </w:rPr>
        <w:t>COMPETITIVE ADVANTAGE</w:t>
      </w:r>
      <w:bookmarkEnd w:id="7"/>
    </w:p>
    <w:p>
      <w:pPr>
        <w:numPr>
          <w:ilvl w:val="0"/>
          <w:numId w:val="0"/>
        </w:numPr>
        <w:spacing w:line="480" w:lineRule="auto"/>
        <w:ind w:firstLine="420" w:firstLineChars="0"/>
        <w:jc w:val="both"/>
        <w:rPr>
          <w:rFonts w:hint="default" w:ascii="Times New Roman" w:hAnsi="Times New Roman" w:cs="Times New Roman"/>
          <w:b w:val="0"/>
          <w:bCs w:val="0"/>
          <w:i w:val="0"/>
          <w:iCs w:val="0"/>
          <w:sz w:val="24"/>
          <w:szCs w:val="24"/>
          <w:u w:val="none"/>
          <w:lang w:val="en-US"/>
        </w:rPr>
      </w:pPr>
      <w:r>
        <w:rPr>
          <w:rFonts w:hint="default" w:ascii="Times New Roman" w:hAnsi="Times New Roman" w:cs="Times New Roman"/>
          <w:b w:val="0"/>
          <w:bCs w:val="0"/>
          <w:i w:val="0"/>
          <w:iCs w:val="0"/>
          <w:sz w:val="24"/>
          <w:szCs w:val="24"/>
          <w:u w:val="none"/>
          <w:lang w:val="en-US"/>
        </w:rPr>
        <w:t xml:space="preserve">Competitive advantage, as described by Porter (1985), primarily </w:t>
      </w:r>
      <w:r>
        <w:rPr>
          <w:rFonts w:hint="default" w:ascii="Times New Roman" w:hAnsi="Times New Roman"/>
          <w:b w:val="0"/>
          <w:bCs w:val="0"/>
          <w:i w:val="0"/>
          <w:iCs w:val="0"/>
          <w:sz w:val="24"/>
          <w:szCs w:val="24"/>
          <w:u w:val="none"/>
          <w:lang w:val="en-US"/>
        </w:rPr>
        <w:t>rises from the value which a company may establish for its customers, which increases the cost of creating the company</w:t>
      </w:r>
      <w:r>
        <w:rPr>
          <w:rFonts w:hint="default" w:ascii="Times New Roman" w:hAnsi="Times New Roman" w:cs="Times New Roman"/>
          <w:b w:val="0"/>
          <w:bCs w:val="0"/>
          <w:i w:val="0"/>
          <w:iCs w:val="0"/>
          <w:sz w:val="24"/>
          <w:szCs w:val="24"/>
          <w:u w:val="none"/>
          <w:lang w:val="en-US"/>
        </w:rPr>
        <w:t>. He further explains that v</w:t>
      </w:r>
      <w:r>
        <w:rPr>
          <w:rFonts w:hint="default" w:ascii="Times New Roman" w:hAnsi="Times New Roman"/>
          <w:b w:val="0"/>
          <w:bCs w:val="0"/>
          <w:i w:val="0"/>
          <w:iCs w:val="0"/>
          <w:sz w:val="24"/>
          <w:szCs w:val="24"/>
          <w:u w:val="none"/>
          <w:lang w:val="en-US"/>
        </w:rPr>
        <w:t>alue would be what consumers are willing to spend, and higher value emerges from cheaper prices with comparable benefits than competitions, or from unique advantages which further outweigh higher prices</w:t>
      </w:r>
      <w:r>
        <w:rPr>
          <w:rFonts w:hint="default" w:ascii="Times New Roman" w:hAnsi="Times New Roman" w:cs="Times New Roman"/>
          <w:b w:val="0"/>
          <w:bCs w:val="0"/>
          <w:i w:val="0"/>
          <w:iCs w:val="0"/>
          <w:sz w:val="24"/>
          <w:szCs w:val="24"/>
          <w:u w:val="none"/>
          <w:lang w:val="en-US"/>
        </w:rPr>
        <w:t xml:space="preserve"> (Porter, 1985).</w:t>
      </w:r>
    </w:p>
    <w:p>
      <w:pPr>
        <w:numPr>
          <w:ilvl w:val="0"/>
          <w:numId w:val="0"/>
        </w:numPr>
        <w:spacing w:line="480" w:lineRule="auto"/>
        <w:ind w:firstLine="420" w:firstLineChars="0"/>
        <w:jc w:val="both"/>
        <w:rPr>
          <w:rFonts w:hint="default" w:ascii="Times New Roman" w:hAnsi="Times New Roman" w:cs="Times New Roman"/>
          <w:b w:val="0"/>
          <w:bCs w:val="0"/>
          <w:i w:val="0"/>
          <w:iCs w:val="0"/>
          <w:sz w:val="24"/>
          <w:szCs w:val="24"/>
          <w:u w:val="none"/>
          <w:lang w:val="en-MY"/>
        </w:rPr>
      </w:pPr>
      <w:r>
        <w:rPr>
          <w:rFonts w:hint="default" w:ascii="Times New Roman" w:hAnsi="Times New Roman" w:cs="Times New Roman"/>
          <w:b w:val="0"/>
          <w:bCs w:val="0"/>
          <w:i w:val="0"/>
          <w:iCs w:val="0"/>
          <w:sz w:val="24"/>
          <w:szCs w:val="24"/>
          <w:u w:val="none"/>
          <w:lang w:val="en-US"/>
        </w:rPr>
        <w:t xml:space="preserve">  </w:t>
      </w:r>
    </w:p>
    <w:p>
      <w:pPr>
        <w:rPr>
          <w:rFonts w:hint="default" w:ascii="Times New Roman" w:hAnsi="Times New Roman" w:cs="Times New Roman"/>
          <w:sz w:val="24"/>
          <w:szCs w:val="24"/>
          <w:lang w:val="en-US"/>
        </w:rPr>
      </w:pPr>
      <w:bookmarkStart w:id="8" w:name="_Toc6915"/>
      <w:r>
        <w:rPr>
          <w:rFonts w:hint="default" w:ascii="Times New Roman" w:hAnsi="Times New Roman" w:cs="Times New Roman"/>
          <w:sz w:val="24"/>
          <w:szCs w:val="24"/>
          <w:lang w:val="en-US"/>
        </w:rPr>
        <w:br w:type="page"/>
      </w:r>
    </w:p>
    <w:p>
      <w:pPr>
        <w:pStyle w:val="3"/>
        <w:bidi w:val="0"/>
        <w:rPr>
          <w:rFonts w:hint="default" w:ascii="Times New Roman" w:hAnsi="Times New Roman" w:cs="Times New Roman"/>
          <w:sz w:val="24"/>
          <w:szCs w:val="24"/>
          <w:lang w:val="en-US"/>
        </w:rPr>
      </w:pPr>
      <w:r>
        <w:rPr>
          <w:rFonts w:hint="default" w:ascii="Times New Roman" w:hAnsi="Times New Roman" w:cs="Times New Roman"/>
          <w:sz w:val="24"/>
          <w:szCs w:val="24"/>
          <w:lang w:val="en-US"/>
        </w:rPr>
        <w:t>2.4 PORTER’S GENERIC STRATEGIES</w:t>
      </w:r>
      <w:bookmarkEnd w:id="8"/>
      <w:r>
        <w:rPr>
          <w:rFonts w:hint="default" w:ascii="Times New Roman" w:hAnsi="Times New Roman" w:cs="Times New Roman"/>
          <w:sz w:val="24"/>
          <w:szCs w:val="24"/>
          <w:lang w:val="en-US"/>
        </w:rPr>
        <w:t xml:space="preserve">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This report will utilise Porter’s Generic Strategies to evaluate the competitive strategy of Lidl. </w:t>
      </w:r>
    </w:p>
    <w:p>
      <w:pPr>
        <w:spacing w:line="480" w:lineRule="auto"/>
        <w:ind w:firstLine="420" w:firstLineChars="0"/>
        <w:jc w:val="center"/>
        <w:rPr>
          <w:rFonts w:hint="default" w:ascii="Times New Roman" w:hAnsi="Times New Roman" w:cs="Times New Roman"/>
          <w:sz w:val="24"/>
          <w:szCs w:val="24"/>
          <w:lang w:val="en-US"/>
        </w:rPr>
      </w:pPr>
      <w:r>
        <w:rPr>
          <w:rFonts w:ascii="SimSun" w:hAnsi="SimSun" w:eastAsia="SimSun" w:cs="SimSun"/>
          <w:sz w:val="24"/>
          <w:szCs w:val="24"/>
        </w:rPr>
        <w:drawing>
          <wp:inline distT="0" distB="0" distL="114300" distR="114300">
            <wp:extent cx="5428615" cy="2686050"/>
            <wp:effectExtent l="0" t="0" r="6985" b="635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15"/>
                    <a:srcRect l="6053" t="930" r="4419" b="9621"/>
                    <a:stretch>
                      <a:fillRect/>
                    </a:stretch>
                  </pic:blipFill>
                  <pic:spPr>
                    <a:xfrm>
                      <a:off x="0" y="0"/>
                      <a:ext cx="5428615" cy="2686050"/>
                    </a:xfrm>
                    <a:prstGeom prst="rect">
                      <a:avLst/>
                    </a:prstGeom>
                    <a:noFill/>
                    <a:ln w="9525">
                      <a:noFill/>
                    </a:ln>
                  </pic:spPr>
                </pic:pic>
              </a:graphicData>
            </a:graphic>
          </wp:inline>
        </w:drawing>
      </w:r>
    </w:p>
    <w:p>
      <w:pPr>
        <w:bidi w:val="0"/>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Figure 2-1 Porter’s Generic Strategies Matrix (Porter, 1985)</w:t>
      </w:r>
    </w:p>
    <w:p>
      <w:pPr>
        <w:spacing w:line="480" w:lineRule="auto"/>
        <w:jc w:val="both"/>
        <w:rPr>
          <w:rFonts w:hint="default" w:ascii="Times New Roman" w:hAnsi="Times New Roman" w:cs="Times New Roman"/>
          <w:sz w:val="24"/>
          <w:szCs w:val="24"/>
          <w:lang w:val="en-US"/>
        </w:rPr>
      </w:pPr>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cs="Times New Roman"/>
          <w:sz w:val="24"/>
          <w:szCs w:val="24"/>
          <w:lang w:val="en-US"/>
        </w:rPr>
        <w:t xml:space="preserve">Porter introduced the idea in the 1980s that although an organisation can have a lot of strengths and weaknesses against their competitors, there are two key types of competitive advantage an organisation can own namely, low cost or differentiation. </w:t>
      </w:r>
      <w:r>
        <w:rPr>
          <w:rFonts w:hint="default" w:ascii="Times New Roman" w:hAnsi="Times New Roman"/>
          <w:sz w:val="24"/>
          <w:szCs w:val="24"/>
          <w:lang w:val="en-US"/>
        </w:rPr>
        <w:t xml:space="preserve">He further explains that when The two primary forms of competitive advantage are then linked to the range of activities in which the organisation desires to obtain it, and three generic approaches appear to gain superior market efficiency, such as cost leadership, differentiation and focus. There are two forms of the focus approach known as cost focus and differentiation focus (Porter, 1985). </w:t>
      </w:r>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sz w:val="24"/>
          <w:szCs w:val="24"/>
          <w:lang w:val="en-US"/>
        </w:rPr>
        <w:t>If an organisation is to achieve a competitive advantage, The form of competitive advantage it wishes to accomplish as well as the scope for attaining it must be chosen. Porter (1985) warned organisations that employ more than one generic strategy but fails to get any of them is 'stuck in the middle' and does not have any competitive advantage. Such a situation may be described as a below average performance recipe (Porter, 1985).</w:t>
      </w:r>
      <w:r>
        <w:rPr>
          <w:rFonts w:hint="default" w:ascii="Times New Roman" w:hAnsi="Times New Roman"/>
          <w:sz w:val="24"/>
          <w:szCs w:val="24"/>
          <w:lang w:val="en-MY"/>
        </w:rPr>
        <w:t xml:space="preserve"> </w:t>
      </w:r>
      <w:r>
        <w:rPr>
          <w:rFonts w:hint="default" w:ascii="Times New Roman" w:hAnsi="Times New Roman"/>
          <w:sz w:val="24"/>
          <w:szCs w:val="24"/>
          <w:lang w:val="en-US"/>
        </w:rPr>
        <w:t xml:space="preserve">Numerous precedent research on this strategy demonstrate that organisations that employ generic strategies successfully </w:t>
      </w:r>
      <w:r>
        <w:rPr>
          <w:rFonts w:hint="default" w:ascii="Times New Roman" w:hAnsi="Times New Roman" w:eastAsiaTheme="minorEastAsia" w:cstheme="minorBidi"/>
          <w:sz w:val="24"/>
          <w:szCs w:val="24"/>
          <w:lang w:val="en-US" w:eastAsia="zh-CN" w:bidi="ar-SA"/>
        </w:rPr>
        <w:t>surpass</w:t>
      </w:r>
      <w:r>
        <w:rPr>
          <w:rFonts w:hint="default" w:ascii="Times New Roman" w:hAnsi="Times New Roman"/>
          <w:sz w:val="24"/>
          <w:szCs w:val="24"/>
          <w:lang w:val="en-US"/>
        </w:rPr>
        <w:t xml:space="preserve"> their competitors. </w:t>
      </w:r>
      <w:r>
        <w:rPr>
          <w:rFonts w:hint="default" w:ascii="Times New Roman" w:hAnsi="Times New Roman"/>
          <w:sz w:val="24"/>
          <w:szCs w:val="24"/>
          <w:lang w:val="en-MY"/>
        </w:rPr>
        <w:t xml:space="preserve">Continuing </w:t>
      </w:r>
      <w:r>
        <w:rPr>
          <w:rFonts w:hint="default" w:ascii="Times New Roman" w:hAnsi="Times New Roman"/>
          <w:sz w:val="24"/>
          <w:szCs w:val="24"/>
          <w:lang w:val="en-US"/>
        </w:rPr>
        <w:t xml:space="preserve">the </w:t>
      </w:r>
      <w:r>
        <w:rPr>
          <w:rFonts w:hint="default" w:ascii="Times New Roman" w:hAnsi="Times New Roman"/>
          <w:sz w:val="24"/>
          <w:szCs w:val="24"/>
          <w:lang w:val="en-MY"/>
        </w:rPr>
        <w:t>rationale</w:t>
      </w:r>
      <w:r>
        <w:rPr>
          <w:rFonts w:hint="default" w:ascii="Times New Roman" w:hAnsi="Times New Roman"/>
          <w:sz w:val="24"/>
          <w:szCs w:val="24"/>
          <w:lang w:val="en-US"/>
        </w:rPr>
        <w:t xml:space="preserve">, </w:t>
      </w:r>
      <w:r>
        <w:rPr>
          <w:rFonts w:hint="default" w:ascii="Times New Roman" w:hAnsi="Times New Roman"/>
          <w:sz w:val="24"/>
          <w:szCs w:val="24"/>
          <w:lang w:val="en-MY"/>
        </w:rPr>
        <w:t xml:space="preserve">Murray (1988) however argues that by successfully employing </w:t>
      </w:r>
      <w:r>
        <w:rPr>
          <w:rFonts w:hint="default" w:ascii="Times New Roman" w:hAnsi="Times New Roman"/>
          <w:sz w:val="24"/>
          <w:szCs w:val="24"/>
          <w:lang w:val="en-US"/>
        </w:rPr>
        <w:t xml:space="preserve">both generic strategies, </w:t>
      </w:r>
      <w:r>
        <w:rPr>
          <w:rFonts w:hint="default" w:ascii="Times New Roman" w:hAnsi="Times New Roman"/>
          <w:sz w:val="24"/>
          <w:szCs w:val="24"/>
          <w:lang w:val="en-MY"/>
        </w:rPr>
        <w:t xml:space="preserve">organisations </w:t>
      </w:r>
      <w:r>
        <w:rPr>
          <w:rFonts w:hint="default" w:ascii="Times New Roman" w:hAnsi="Times New Roman"/>
          <w:sz w:val="24"/>
          <w:szCs w:val="24"/>
          <w:lang w:val="en-US"/>
        </w:rPr>
        <w:t xml:space="preserve">should be </w:t>
      </w:r>
      <w:r>
        <w:rPr>
          <w:rFonts w:hint="default" w:ascii="Times New Roman" w:hAnsi="Times New Roman"/>
          <w:sz w:val="24"/>
          <w:szCs w:val="24"/>
          <w:lang w:val="en-MY"/>
        </w:rPr>
        <w:t xml:space="preserve">fitted </w:t>
      </w:r>
      <w:r>
        <w:rPr>
          <w:rFonts w:hint="default" w:ascii="Times New Roman" w:hAnsi="Times New Roman"/>
          <w:sz w:val="24"/>
          <w:szCs w:val="24"/>
          <w:lang w:val="en-US"/>
        </w:rPr>
        <w:t xml:space="preserve">to </w:t>
      </w:r>
      <w:r>
        <w:rPr>
          <w:rFonts w:hint="default" w:ascii="Times New Roman" w:hAnsi="Times New Roman"/>
          <w:sz w:val="24"/>
          <w:szCs w:val="24"/>
          <w:lang w:val="en-MY"/>
        </w:rPr>
        <w:t xml:space="preserve">outrun competitors </w:t>
      </w:r>
      <w:r>
        <w:rPr>
          <w:rFonts w:hint="default" w:ascii="Times New Roman" w:hAnsi="Times New Roman"/>
          <w:sz w:val="24"/>
          <w:szCs w:val="24"/>
          <w:lang w:val="en-US"/>
        </w:rPr>
        <w:t xml:space="preserve">that </w:t>
      </w:r>
      <w:r>
        <w:rPr>
          <w:rFonts w:hint="default" w:ascii="Times New Roman" w:hAnsi="Times New Roman"/>
          <w:sz w:val="24"/>
          <w:szCs w:val="24"/>
          <w:lang w:val="en-MY"/>
        </w:rPr>
        <w:t xml:space="preserve">employ </w:t>
      </w:r>
      <w:r>
        <w:rPr>
          <w:rFonts w:hint="default" w:ascii="Times New Roman" w:hAnsi="Times New Roman"/>
          <w:sz w:val="24"/>
          <w:szCs w:val="24"/>
          <w:lang w:val="en-US"/>
        </w:rPr>
        <w:t xml:space="preserve">a single strategy. Peters and Austin (1985) </w:t>
      </w:r>
      <w:r>
        <w:rPr>
          <w:rFonts w:hint="default" w:ascii="Times New Roman" w:hAnsi="Times New Roman"/>
          <w:sz w:val="24"/>
          <w:szCs w:val="24"/>
          <w:lang w:val="en-MY"/>
        </w:rPr>
        <w:t xml:space="preserve">also posited </w:t>
      </w:r>
      <w:r>
        <w:rPr>
          <w:rFonts w:hint="default" w:ascii="Times New Roman" w:hAnsi="Times New Roman"/>
          <w:sz w:val="24"/>
          <w:szCs w:val="24"/>
          <w:lang w:val="en-US"/>
        </w:rPr>
        <w:t xml:space="preserve">that </w:t>
      </w:r>
      <w:r>
        <w:rPr>
          <w:rFonts w:hint="default" w:ascii="Times New Roman" w:hAnsi="Times New Roman"/>
          <w:sz w:val="24"/>
          <w:szCs w:val="24"/>
          <w:lang w:val="en-MY"/>
        </w:rPr>
        <w:t xml:space="preserve">purchase decisions is not only </w:t>
      </w:r>
      <w:r>
        <w:rPr>
          <w:rFonts w:hint="default" w:ascii="Times New Roman" w:hAnsi="Times New Roman"/>
          <w:sz w:val="24"/>
          <w:szCs w:val="24"/>
          <w:lang w:val="en-US"/>
        </w:rPr>
        <w:t xml:space="preserve">based </w:t>
      </w:r>
      <w:r>
        <w:rPr>
          <w:rFonts w:hint="default" w:ascii="Times New Roman" w:hAnsi="Times New Roman"/>
          <w:sz w:val="24"/>
          <w:szCs w:val="24"/>
          <w:lang w:val="en-MY"/>
        </w:rPr>
        <w:t>by price in consumers</w:t>
      </w:r>
      <w:r>
        <w:rPr>
          <w:rFonts w:hint="default" w:ascii="Times New Roman" w:hAnsi="Times New Roman"/>
          <w:sz w:val="24"/>
          <w:szCs w:val="24"/>
          <w:lang w:val="en-US"/>
        </w:rPr>
        <w:t xml:space="preserve"> </w:t>
      </w:r>
      <w:r>
        <w:rPr>
          <w:rFonts w:hint="default" w:ascii="Times New Roman" w:hAnsi="Times New Roman"/>
          <w:sz w:val="24"/>
          <w:szCs w:val="24"/>
          <w:lang w:val="en-MY"/>
        </w:rPr>
        <w:t>of any market</w:t>
      </w:r>
      <w:r>
        <w:rPr>
          <w:rFonts w:hint="default" w:ascii="Times New Roman" w:hAnsi="Times New Roman"/>
          <w:sz w:val="24"/>
          <w:szCs w:val="24"/>
          <w:lang w:val="en-US"/>
        </w:rPr>
        <w:t xml:space="preserve"> as commodity</w:t>
      </w:r>
      <w:r>
        <w:rPr>
          <w:rFonts w:hint="default" w:ascii="Times New Roman" w:hAnsi="Times New Roman"/>
          <w:sz w:val="24"/>
          <w:szCs w:val="24"/>
          <w:lang w:val="en-MY"/>
        </w:rPr>
        <w:t xml:space="preserve"> does not exist. Opportunities seem to be offered by many industries at a certain level in their value chain to utilise economies of scale or economies independent of scale (Porter, 1985). Thus, this would appear to be advantageous in many industries that employ both product differentiation and cost leadership approaches.</w:t>
      </w:r>
      <w:r>
        <w:rPr>
          <w:rFonts w:hint="default" w:ascii="Times New Roman" w:hAnsi="Times New Roman"/>
          <w:sz w:val="24"/>
          <w:szCs w:val="24"/>
          <w:lang w:val="en-US"/>
        </w:rPr>
        <w:t xml:space="preserve"> This thought contravene</w:t>
      </w:r>
      <w:r>
        <w:rPr>
          <w:rFonts w:hint="default" w:ascii="Times New Roman" w:hAnsi="Times New Roman"/>
          <w:sz w:val="24"/>
          <w:szCs w:val="24"/>
          <w:lang w:val="en-MY"/>
        </w:rPr>
        <w:t>s</w:t>
      </w:r>
      <w:r>
        <w:rPr>
          <w:rFonts w:hint="default" w:ascii="Times New Roman" w:hAnsi="Times New Roman"/>
          <w:sz w:val="24"/>
          <w:szCs w:val="24"/>
          <w:lang w:val="en-US"/>
        </w:rPr>
        <w:t xml:space="preserve"> Porter’s “stuck in the middle” theory. Porter's argument at this point is imprecise, and empirical studies contradict it </w:t>
      </w:r>
      <w:r>
        <w:rPr>
          <w:rFonts w:hint="default" w:ascii="Times New Roman" w:hAnsi="Times New Roman"/>
          <w:sz w:val="24"/>
          <w:szCs w:val="24"/>
          <w:lang w:val="en-MY"/>
        </w:rPr>
        <w:t>(Murray, 1988)</w:t>
      </w:r>
      <w:r>
        <w:rPr>
          <w:rFonts w:hint="default" w:ascii="Times New Roman" w:hAnsi="Times New Roman"/>
          <w:sz w:val="24"/>
          <w:szCs w:val="24"/>
          <w:lang w:val="en-US"/>
        </w:rPr>
        <w:t xml:space="preserve">. </w:t>
      </w:r>
    </w:p>
    <w:p>
      <w:pPr>
        <w:spacing w:line="480" w:lineRule="auto"/>
        <w:jc w:val="both"/>
        <w:rPr>
          <w:rFonts w:hint="default" w:ascii="Times New Roman" w:hAnsi="Times New Roman"/>
          <w:sz w:val="24"/>
          <w:szCs w:val="24"/>
          <w:lang w:val="en-US"/>
        </w:rPr>
      </w:pPr>
    </w:p>
    <w:p>
      <w:pPr>
        <w:spacing w:line="480" w:lineRule="auto"/>
        <w:jc w:val="both"/>
        <w:rPr>
          <w:rFonts w:hint="default" w:ascii="Times New Roman" w:hAnsi="Times New Roman"/>
          <w:sz w:val="24"/>
          <w:szCs w:val="24"/>
          <w:lang w:val="en-US"/>
        </w:rPr>
        <w:sectPr>
          <w:headerReference r:id="rId8" w:type="default"/>
          <w:footerReference r:id="rId9" w:type="default"/>
          <w:pgSz w:w="11906" w:h="16838"/>
          <w:pgMar w:top="1440" w:right="1800" w:bottom="1440" w:left="1800" w:header="720" w:footer="720" w:gutter="0"/>
          <w:pgNumType w:fmt="decimal"/>
          <w:cols w:space="720" w:num="1"/>
          <w:docGrid w:linePitch="360" w:charSpace="0"/>
        </w:sectPr>
      </w:pPr>
    </w:p>
    <w:p>
      <w:pPr>
        <w:pStyle w:val="2"/>
        <w:bidi w:val="0"/>
        <w:spacing w:line="360" w:lineRule="auto"/>
        <w:jc w:val="both"/>
        <w:rPr>
          <w:rFonts w:hint="default" w:ascii="Times New Roman" w:hAnsi="Times New Roman" w:cs="Times New Roman"/>
          <w:sz w:val="28"/>
          <w:szCs w:val="28"/>
          <w:lang w:val="en-MY"/>
        </w:rPr>
      </w:pPr>
      <w:bookmarkStart w:id="9" w:name="_Toc14639"/>
      <w:r>
        <w:rPr>
          <w:rFonts w:hint="default" w:ascii="Times New Roman" w:hAnsi="Times New Roman" w:cs="Times New Roman"/>
          <w:sz w:val="28"/>
          <w:szCs w:val="28"/>
          <w:lang w:val="en-MY"/>
        </w:rPr>
        <w:t>3.0 MAIN BODY</w:t>
      </w:r>
      <w:bookmarkEnd w:id="9"/>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b w:val="0"/>
          <w:bCs w:val="0"/>
          <w:sz w:val="24"/>
          <w:szCs w:val="24"/>
          <w:lang w:val="en-MY"/>
        </w:rPr>
        <w:t>Considering all of Lidl’s operations and it being a discounted superstore, it becomes evident here that they are using a cost leadership approach (Morschett, Swoboda &amp; Schramm-Klein, 2006). Lidl applies the cost leadership approach util</w:t>
      </w:r>
      <w:r>
        <w:rPr>
          <w:rFonts w:hint="default" w:ascii="Times New Roman" w:hAnsi="Times New Roman"/>
          <w:b w:val="0"/>
          <w:bCs w:val="0"/>
          <w:sz w:val="24"/>
          <w:szCs w:val="24"/>
          <w:lang w:val="en-US"/>
        </w:rPr>
        <w:t>i</w:t>
      </w:r>
      <w:r>
        <w:rPr>
          <w:rFonts w:hint="default" w:ascii="Times New Roman" w:hAnsi="Times New Roman"/>
          <w:b w:val="0"/>
          <w:bCs w:val="0"/>
          <w:sz w:val="24"/>
          <w:szCs w:val="24"/>
          <w:lang w:val="en-MY"/>
        </w:rPr>
        <w:t>sing a no-frills method, reducing expenses and cost efficient activities</w:t>
      </w:r>
      <w:r>
        <w:rPr>
          <w:rFonts w:hint="default" w:ascii="Times New Roman" w:hAnsi="Times New Roman"/>
          <w:b w:val="0"/>
          <w:bCs w:val="0"/>
          <w:sz w:val="24"/>
          <w:szCs w:val="24"/>
          <w:lang w:val="en-US"/>
        </w:rPr>
        <w:t xml:space="preserve"> (</w:t>
      </w:r>
      <w:r>
        <w:rPr>
          <w:rFonts w:hint="default" w:ascii="Times New Roman" w:hAnsi="Times New Roman"/>
          <w:b w:val="0"/>
          <w:bCs w:val="0"/>
          <w:sz w:val="24"/>
          <w:szCs w:val="24"/>
          <w:lang w:val="en-MY"/>
        </w:rPr>
        <w:t>Kochova</w:t>
      </w:r>
      <w:r>
        <w:rPr>
          <w:rFonts w:hint="default" w:ascii="Times New Roman" w:hAnsi="Times New Roman"/>
          <w:b w:val="0"/>
          <w:bCs w:val="0"/>
          <w:sz w:val="24"/>
          <w:szCs w:val="24"/>
          <w:lang w:val="en-US"/>
        </w:rPr>
        <w:t xml:space="preserve"> &amp; Drakulevski, 2018)</w:t>
      </w:r>
      <w:r>
        <w:rPr>
          <w:rFonts w:hint="default" w:ascii="Times New Roman" w:hAnsi="Times New Roman"/>
          <w:b w:val="0"/>
          <w:bCs w:val="0"/>
          <w:sz w:val="24"/>
          <w:szCs w:val="24"/>
          <w:lang w:val="en-MY"/>
        </w:rPr>
        <w:t xml:space="preserve">. </w:t>
      </w:r>
      <w:r>
        <w:rPr>
          <w:rFonts w:hint="default" w:ascii="Times New Roman" w:hAnsi="Times New Roman" w:cs="Times New Roman"/>
          <w:b w:val="0"/>
          <w:bCs w:val="0"/>
          <w:sz w:val="24"/>
          <w:szCs w:val="24"/>
          <w:lang w:val="en-MY"/>
        </w:rPr>
        <w:t xml:space="preserve">The cost leadership strategy is when an organisation sets out to be the low-cost producer in its industry in a broad scope (Porter, 1985). Efficiency is emphasised in this strategy. The organisation anticipate to exploit the economies of scale and sense curve effects (Tanwar, 2013). </w:t>
      </w:r>
    </w:p>
    <w:p>
      <w:pPr>
        <w:numPr>
          <w:ilvl w:val="0"/>
          <w:numId w:val="0"/>
        </w:numPr>
        <w:spacing w:line="480" w:lineRule="auto"/>
        <w:ind w:firstLine="420" w:firstLineChars="0"/>
        <w:jc w:val="both"/>
        <w:rPr>
          <w:rFonts w:hint="default" w:ascii="Times New Roman" w:hAnsi="Times New Roman"/>
          <w:b w:val="0"/>
          <w:bCs w:val="0"/>
          <w:sz w:val="24"/>
          <w:szCs w:val="24"/>
          <w:lang w:val="en-MY"/>
        </w:rPr>
      </w:pPr>
      <w:r>
        <w:rPr>
          <w:rFonts w:hint="default" w:ascii="Times New Roman" w:hAnsi="Times New Roman"/>
          <w:b w:val="0"/>
          <w:bCs w:val="0"/>
          <w:sz w:val="24"/>
          <w:szCs w:val="24"/>
          <w:lang w:val="en-MY"/>
        </w:rPr>
        <w:t xml:space="preserve">Tanwar (2013) explains that </w:t>
      </w:r>
      <w:r>
        <w:rPr>
          <w:rFonts w:hint="default" w:ascii="Times New Roman" w:hAnsi="Times New Roman"/>
          <w:b w:val="0"/>
          <w:bCs w:val="0"/>
          <w:sz w:val="24"/>
          <w:szCs w:val="24"/>
          <w:lang w:val="en-US"/>
        </w:rPr>
        <w:t xml:space="preserve">constant pursuit </w:t>
      </w:r>
      <w:r>
        <w:rPr>
          <w:rFonts w:hint="default" w:ascii="Times New Roman" w:hAnsi="Times New Roman"/>
          <w:b w:val="0"/>
          <w:bCs w:val="0"/>
          <w:sz w:val="24"/>
          <w:szCs w:val="24"/>
          <w:lang w:val="en-MY"/>
        </w:rPr>
        <w:t xml:space="preserve">for cost reductions in all </w:t>
      </w:r>
      <w:r>
        <w:rPr>
          <w:rFonts w:hint="default" w:ascii="Times New Roman" w:hAnsi="Times New Roman"/>
          <w:b w:val="0"/>
          <w:bCs w:val="0"/>
          <w:sz w:val="24"/>
          <w:szCs w:val="24"/>
          <w:lang w:val="en-US"/>
        </w:rPr>
        <w:t>manners</w:t>
      </w:r>
      <w:r>
        <w:rPr>
          <w:rFonts w:hint="default" w:ascii="Times New Roman" w:hAnsi="Times New Roman"/>
          <w:b w:val="0"/>
          <w:bCs w:val="0"/>
          <w:sz w:val="24"/>
          <w:szCs w:val="24"/>
          <w:lang w:val="en-MY"/>
        </w:rPr>
        <w:t xml:space="preserve"> of the </w:t>
      </w:r>
      <w:r>
        <w:rPr>
          <w:rFonts w:hint="default" w:ascii="Times New Roman" w:hAnsi="Times New Roman"/>
          <w:b w:val="0"/>
          <w:bCs w:val="0"/>
          <w:sz w:val="24"/>
          <w:szCs w:val="24"/>
          <w:lang w:val="en-US"/>
        </w:rPr>
        <w:t xml:space="preserve">company is needed in order to </w:t>
      </w:r>
      <w:r>
        <w:rPr>
          <w:rFonts w:hint="default" w:ascii="Times New Roman" w:hAnsi="Times New Roman"/>
          <w:b w:val="0"/>
          <w:bCs w:val="0"/>
          <w:sz w:val="24"/>
          <w:szCs w:val="24"/>
          <w:lang w:val="en-MY"/>
        </w:rPr>
        <w:t>s</w:t>
      </w:r>
      <w:r>
        <w:rPr>
          <w:rFonts w:hint="default" w:ascii="Times New Roman" w:hAnsi="Times New Roman"/>
          <w:b w:val="0"/>
          <w:bCs w:val="0"/>
          <w:sz w:val="24"/>
          <w:szCs w:val="24"/>
          <w:lang w:val="en-US"/>
        </w:rPr>
        <w:t xml:space="preserve">ustain </w:t>
      </w:r>
      <w:r>
        <w:rPr>
          <w:rFonts w:hint="default" w:ascii="Times New Roman" w:hAnsi="Times New Roman"/>
          <w:b w:val="0"/>
          <w:bCs w:val="0"/>
          <w:sz w:val="24"/>
          <w:szCs w:val="24"/>
          <w:lang w:val="en-MY"/>
        </w:rPr>
        <w:t>this strategy. The affiliated distribution method is to create the far more feasible distribution Promotional approach usually involves attempting to reflect the value of low-cost product features. This strategy often demands a considerable market dominance benefit or advantageous links to raw materials, manpower, materials or anything else substantial input in order to be successful</w:t>
      </w:r>
      <w:r>
        <w:rPr>
          <w:rFonts w:hint="default" w:ascii="Times New Roman" w:hAnsi="Times New Roman"/>
          <w:b w:val="0"/>
          <w:bCs w:val="0"/>
          <w:sz w:val="24"/>
          <w:szCs w:val="24"/>
          <w:lang w:val="en-US"/>
        </w:rPr>
        <w:t xml:space="preserve"> (Tanwar, 2013)</w:t>
      </w:r>
      <w:r>
        <w:rPr>
          <w:rFonts w:hint="default" w:ascii="Times New Roman" w:hAnsi="Times New Roman"/>
          <w:b w:val="0"/>
          <w:bCs w:val="0"/>
          <w:sz w:val="24"/>
          <w:szCs w:val="24"/>
          <w:lang w:val="en-MY"/>
        </w:rPr>
        <w:t>.</w:t>
      </w:r>
    </w:p>
    <w:p>
      <w:pPr>
        <w:numPr>
          <w:ilvl w:val="0"/>
          <w:numId w:val="0"/>
        </w:numPr>
        <w:spacing w:line="240" w:lineRule="auto"/>
        <w:ind w:firstLine="420" w:firstLineChars="0"/>
        <w:jc w:val="both"/>
        <w:rPr>
          <w:rFonts w:hint="default" w:ascii="Times New Roman" w:hAnsi="Times New Roman"/>
          <w:b w:val="0"/>
          <w:bCs w:val="0"/>
          <w:sz w:val="24"/>
          <w:szCs w:val="24"/>
          <w:lang w:val="en-MY"/>
        </w:rPr>
      </w:pPr>
    </w:p>
    <w:p>
      <w:pPr>
        <w:pStyle w:val="3"/>
        <w:bidi w:val="0"/>
        <w:rPr>
          <w:rFonts w:hint="default" w:ascii="Times New Roman" w:hAnsi="Times New Roman" w:cs="Times New Roman"/>
          <w:sz w:val="24"/>
          <w:szCs w:val="24"/>
          <w:lang w:val="en-MY"/>
        </w:rPr>
      </w:pPr>
      <w:bookmarkStart w:id="10" w:name="_Toc30817"/>
      <w:r>
        <w:rPr>
          <w:rFonts w:hint="default" w:ascii="Times New Roman" w:hAnsi="Times New Roman" w:cs="Times New Roman"/>
          <w:sz w:val="24"/>
          <w:szCs w:val="24"/>
          <w:lang w:val="en-MY"/>
        </w:rPr>
        <w:t>3.1 IMPLEMENTATION OF THE STRATEGY</w:t>
      </w:r>
      <w:bookmarkEnd w:id="10"/>
    </w:p>
    <w:p>
      <w:pPr>
        <w:pStyle w:val="4"/>
        <w:bidi w:val="0"/>
        <w:rPr>
          <w:rFonts w:hint="default" w:ascii="Times New Roman" w:hAnsi="Times New Roman" w:cs="Times New Roman"/>
          <w:b/>
          <w:bCs/>
          <w:i/>
          <w:iCs/>
          <w:sz w:val="24"/>
          <w:szCs w:val="24"/>
          <w:u w:val="single"/>
          <w:lang w:val="en-US"/>
        </w:rPr>
      </w:pPr>
      <w:bookmarkStart w:id="11" w:name="_Toc2457"/>
      <w:r>
        <w:rPr>
          <w:rFonts w:hint="default" w:ascii="Times New Roman" w:hAnsi="Times New Roman" w:cs="Times New Roman"/>
          <w:b/>
          <w:bCs/>
          <w:i/>
          <w:iCs/>
          <w:sz w:val="24"/>
          <w:szCs w:val="24"/>
          <w:u w:val="none"/>
          <w:lang w:val="en-US"/>
        </w:rPr>
        <w:t xml:space="preserve">3.1.1 </w:t>
      </w:r>
      <w:r>
        <w:rPr>
          <w:rFonts w:hint="default" w:ascii="Times New Roman" w:hAnsi="Times New Roman" w:cs="Times New Roman"/>
          <w:b/>
          <w:bCs/>
          <w:i/>
          <w:iCs/>
          <w:sz w:val="24"/>
          <w:szCs w:val="24"/>
          <w:u w:val="single"/>
          <w:lang w:val="en-US"/>
        </w:rPr>
        <w:t>GOOD RELATIONSHIP WITH LOCAL SUPPLIERS</w:t>
      </w:r>
      <w:bookmarkEnd w:id="11"/>
    </w:p>
    <w:p>
      <w:pPr>
        <w:numPr>
          <w:ilvl w:val="0"/>
          <w:numId w:val="0"/>
        </w:num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sz w:val="24"/>
          <w:szCs w:val="24"/>
          <w:lang w:val="en-US"/>
        </w:rPr>
        <w:t xml:space="preserve">According to Kochova &amp; Drakulevski (2018), Lidl’s brand positioning has always been primarily distinct when compared to its competitors’ brands. Superior quality goods sold at reasonable prices and value for money have undertaken every marketplace they have entered until now. However, Lidl changed their product array and offer to appease the demands of British consumers as soon as they penetrated the UK market. Furthermore, they reduce their costs by showcasing their private label goods or goods from less distinguished brands in their stores (Kochova &amp; Drakulevski, 2018). Lidl is keen to preserve their product range as small as possible, and the product distinction is much more limited within a product group. 70% of Lidl's goods are currently supplied in the United Kingdom (Mintel, 2017). Building healthy relationships with local suppliers makes it possible for Lidl to get better prices for obtaining their stocks. Its ability to purchase goods in volumes has improved their bargaining power thus, giving them a better competitive advantage (Clegg Et., al, 2006). In addition, it is worth noting that providing UK-specific national brands allows them to build strong and stable customer relationships and improve their competitive position (Deleersnyder et al., 2007). Signposting main classes, fostering value as well as strengthening quality is done by having domestic brands. However, it is not just acquiring shelf space from national brands, the firm also enjoys supporting local and thus, receives local support as well. Throughout the UK, 95% of its fresh meat goods originate from the United Kingdom (Samuel, 2015). </w:t>
      </w:r>
    </w:p>
    <w:p>
      <w:pPr>
        <w:numPr>
          <w:ilvl w:val="0"/>
          <w:numId w:val="0"/>
        </w:numPr>
        <w:spacing w:line="480" w:lineRule="auto"/>
        <w:jc w:val="both"/>
        <w:rPr>
          <w:rFonts w:hint="default" w:ascii="Times New Roman" w:hAnsi="Times New Roman" w:cs="Times New Roman"/>
          <w:sz w:val="24"/>
          <w:szCs w:val="24"/>
          <w:lang w:val="en-US"/>
        </w:rPr>
      </w:pPr>
    </w:p>
    <w:p>
      <w:pPr>
        <w:pStyle w:val="4"/>
        <w:bidi w:val="0"/>
        <w:rPr>
          <w:rFonts w:hint="default" w:ascii="Times New Roman" w:hAnsi="Times New Roman" w:cs="Times New Roman"/>
          <w:b/>
          <w:bCs/>
          <w:i/>
          <w:iCs/>
          <w:sz w:val="24"/>
          <w:szCs w:val="24"/>
          <w:u w:val="single"/>
          <w:lang w:val="en-US"/>
        </w:rPr>
      </w:pPr>
      <w:bookmarkStart w:id="12" w:name="_Toc21946"/>
      <w:r>
        <w:rPr>
          <w:rFonts w:hint="default" w:ascii="Times New Roman" w:hAnsi="Times New Roman" w:cs="Times New Roman"/>
          <w:b/>
          <w:bCs/>
          <w:i/>
          <w:iCs/>
          <w:sz w:val="24"/>
          <w:szCs w:val="24"/>
          <w:lang w:val="en-US"/>
        </w:rPr>
        <w:t xml:space="preserve">3.1.2 </w:t>
      </w:r>
      <w:r>
        <w:rPr>
          <w:rFonts w:hint="default" w:ascii="Times New Roman" w:hAnsi="Times New Roman" w:cs="Times New Roman"/>
          <w:b/>
          <w:bCs/>
          <w:i/>
          <w:iCs/>
          <w:sz w:val="24"/>
          <w:szCs w:val="24"/>
          <w:u w:val="single"/>
          <w:lang w:val="en-US"/>
        </w:rPr>
        <w:t>STORES NEAR NATIONAL DISTRIBUTION CENTRES</w:t>
      </w:r>
      <w:bookmarkEnd w:id="12"/>
    </w:p>
    <w:p>
      <w:pPr>
        <w:numPr>
          <w:ilvl w:val="0"/>
          <w:numId w:val="0"/>
        </w:num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sz w:val="24"/>
          <w:szCs w:val="24"/>
          <w:lang w:val="en-US"/>
        </w:rPr>
        <w:t>Lidl has a plethora of distribution centres across the UK and Europe to assure shops maintain a perpetual stock level (Brown, 2015). Considering selling as many products as achievable in the shortest possible period is their business model, it is extremely necessary to ensure that inventory levels are preserved. This implies that it is essential to create shops near national distribution centres in fair proximity. This approach has enabled Lidl reduce the cost of distribution. This is a crucial strategy to establish a stance of cost leadership because distribution channels are a the main cause of added-value for many companies. Using replenishment logistics has been shown to be a very efficient way to reduce distribution costs (Akan et al., 2006). This approach prevents goods from being placed in storage or intermediate storage prior to being sent to retail shops or other shops. Products are moved directly from the receiving dock to the shipping dock or put in a temporary dock instead of letting goods to be filled in factories (Akan et al., 2006).</w:t>
      </w:r>
    </w:p>
    <w:p>
      <w:pPr>
        <w:pStyle w:val="4"/>
        <w:bidi w:val="0"/>
        <w:rPr>
          <w:rFonts w:hint="default" w:ascii="Times New Roman" w:hAnsi="Times New Roman" w:cs="Times New Roman"/>
          <w:b/>
          <w:bCs/>
          <w:i/>
          <w:iCs/>
          <w:sz w:val="24"/>
          <w:szCs w:val="24"/>
          <w:lang w:val="en-US"/>
        </w:rPr>
      </w:pPr>
      <w:bookmarkStart w:id="13" w:name="_Toc28015"/>
      <w:r>
        <w:rPr>
          <w:rFonts w:hint="default" w:ascii="Times New Roman" w:hAnsi="Times New Roman" w:cs="Times New Roman"/>
          <w:b/>
          <w:bCs/>
          <w:i/>
          <w:iCs/>
          <w:sz w:val="24"/>
          <w:szCs w:val="24"/>
          <w:lang w:val="en-US"/>
        </w:rPr>
        <w:t xml:space="preserve">3.1.3 </w:t>
      </w:r>
      <w:r>
        <w:rPr>
          <w:rFonts w:hint="default" w:ascii="Times New Roman" w:hAnsi="Times New Roman" w:cs="Times New Roman"/>
          <w:b/>
          <w:bCs/>
          <w:i/>
          <w:iCs/>
          <w:sz w:val="24"/>
          <w:szCs w:val="24"/>
          <w:u w:val="single"/>
          <w:lang w:val="en-US"/>
        </w:rPr>
        <w:t>KEEPS LABOUR COSTS LOW</w:t>
      </w:r>
      <w:bookmarkEnd w:id="13"/>
    </w:p>
    <w:p>
      <w:pPr>
        <w:numPr>
          <w:ilvl w:val="0"/>
          <w:numId w:val="0"/>
        </w:numPr>
        <w:spacing w:line="480" w:lineRule="auto"/>
        <w:jc w:val="both"/>
        <w:rPr>
          <w:rFonts w:hint="default" w:ascii="Times New Roman" w:hAnsi="Times New Roman" w:cs="Times New Roman"/>
          <w:b/>
          <w:bCs/>
          <w:sz w:val="24"/>
          <w:szCs w:val="24"/>
          <w:lang w:val="en-MY"/>
        </w:rPr>
      </w:pPr>
      <w:r>
        <w:rPr>
          <w:rFonts w:hint="default" w:ascii="Times New Roman" w:hAnsi="Times New Roman"/>
          <w:sz w:val="24"/>
          <w:szCs w:val="24"/>
          <w:lang w:val="en-US"/>
        </w:rPr>
        <w:t>Lidl has utilised its workers to facilitate in accomplishing most of its goals within the fastest possible time. Workers are normally offered a rather good wage, but they need to operate harder throughout the work. The number of checked products is usually regarded as a quality assessment metric (Ruddick, 2015). Strong levels of training are provided to guarantee that workers are able to check products as efficiently as possible as well as satisfy all consumer demands. Lidl shops, however, are thinly staffed to bring down labour expenses. They have successful behind - the-scenes technology and robotics to minimise personal interaction (Koontz, 2017). Additionally, the organisation has enabled consumers to make transactions with credit cards and cheques to make payments simpler and quicker. Moreover, buyers need to weigh their own produces and bag their own purchases in the shop. Workers are also cross-trained in order to be able to work in any function. Employees are therefore more versatile and more effective (Hanbury, 2017).</w:t>
      </w:r>
    </w:p>
    <w:p>
      <w:pPr>
        <w:numPr>
          <w:ilvl w:val="0"/>
          <w:numId w:val="0"/>
        </w:numPr>
        <w:spacing w:line="480" w:lineRule="auto"/>
        <w:jc w:val="both"/>
        <w:rPr>
          <w:rFonts w:hint="default" w:ascii="Times New Roman" w:hAnsi="Times New Roman" w:cs="Times New Roman"/>
          <w:b/>
          <w:bCs/>
          <w:sz w:val="24"/>
          <w:szCs w:val="24"/>
          <w:lang w:val="en-MY"/>
        </w:rPr>
      </w:pPr>
    </w:p>
    <w:p>
      <w:pPr>
        <w:pStyle w:val="3"/>
        <w:bidi w:val="0"/>
        <w:rPr>
          <w:rFonts w:hint="default" w:ascii="Times New Roman" w:hAnsi="Times New Roman" w:cs="Times New Roman"/>
          <w:b/>
          <w:bCs/>
          <w:sz w:val="24"/>
          <w:szCs w:val="24"/>
          <w:lang w:val="en-US"/>
        </w:rPr>
      </w:pPr>
      <w:bookmarkStart w:id="14" w:name="_Toc32697"/>
      <w:r>
        <w:rPr>
          <w:rFonts w:hint="default" w:ascii="Times New Roman" w:hAnsi="Times New Roman" w:cs="Times New Roman"/>
          <w:b/>
          <w:bCs/>
          <w:sz w:val="24"/>
          <w:szCs w:val="24"/>
          <w:lang w:val="en-MY"/>
        </w:rPr>
        <w:t xml:space="preserve">3.2 ADVANTAGES OF </w:t>
      </w:r>
      <w:r>
        <w:rPr>
          <w:rFonts w:hint="default" w:ascii="Times New Roman" w:hAnsi="Times New Roman" w:cs="Times New Roman"/>
          <w:b/>
          <w:bCs/>
          <w:sz w:val="24"/>
          <w:szCs w:val="24"/>
          <w:lang w:val="en-US"/>
        </w:rPr>
        <w:t>COST LEADERSHIP</w:t>
      </w:r>
      <w:bookmarkEnd w:id="14"/>
    </w:p>
    <w:p>
      <w:pPr>
        <w:pStyle w:val="4"/>
        <w:bidi w:val="0"/>
        <w:rPr>
          <w:rFonts w:hint="default" w:ascii="Times New Roman" w:hAnsi="Times New Roman"/>
          <w:b/>
          <w:bCs/>
          <w:i/>
          <w:iCs/>
          <w:sz w:val="24"/>
          <w:szCs w:val="24"/>
          <w:lang w:val="en-US"/>
        </w:rPr>
      </w:pPr>
      <w:bookmarkStart w:id="15" w:name="_Toc5007"/>
      <w:r>
        <w:rPr>
          <w:rFonts w:hint="default" w:ascii="Times New Roman" w:hAnsi="Times New Roman" w:cs="Times New Roman"/>
          <w:b/>
          <w:bCs/>
          <w:i/>
          <w:iCs/>
          <w:sz w:val="24"/>
          <w:szCs w:val="24"/>
          <w:lang w:val="en-US"/>
        </w:rPr>
        <w:t xml:space="preserve">3.2.1 </w:t>
      </w:r>
      <w:r>
        <w:rPr>
          <w:rFonts w:hint="default" w:ascii="Times New Roman" w:hAnsi="Times New Roman"/>
          <w:b/>
          <w:bCs/>
          <w:i/>
          <w:iCs/>
          <w:sz w:val="24"/>
          <w:szCs w:val="24"/>
          <w:u w:val="single"/>
          <w:lang w:val="en-US"/>
        </w:rPr>
        <w:t>SUSTAINABILITY</w:t>
      </w:r>
      <w:bookmarkEnd w:id="15"/>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Kokemuller (2017) states that organisations that employ the cost leadership strategy are commonly in a better sustainable business position. W</w:t>
      </w:r>
      <w:bookmarkStart w:id="23" w:name="_GoBack"/>
      <w:bookmarkEnd w:id="23"/>
      <w:r>
        <w:rPr>
          <w:rFonts w:hint="default" w:ascii="Times New Roman" w:hAnsi="Times New Roman"/>
          <w:b w:val="0"/>
          <w:bCs w:val="0"/>
          <w:sz w:val="24"/>
          <w:szCs w:val="24"/>
          <w:lang w:val="en-US"/>
        </w:rPr>
        <w:t xml:space="preserve">hen economic downturns occur such as a decline in some sector or after price wars deter growth, organisations of smaller business costs have a greater chance to survive. Optimised production and procurement, minimal-cost supplier relations as well as economies of scale attained by facilitating the manufacturing and resale tasks are minimum-cost approaches which are occasionally hard for rivals to imitate (Kokemuller, 2017). This can especially be seen benefiting Lidl during the financial crisis that hit Europe back in the late 90s and 2008. The credit crisis during those times persuaded an increased number of British community, as well as the middle classes, to buy at discounters such as Lidl (Thompson, 2008). It was from these financial crises that Lidl gained its market share and its loyal customers. </w:t>
      </w:r>
    </w:p>
    <w:p>
      <w:pPr>
        <w:pStyle w:val="4"/>
        <w:bidi w:val="0"/>
        <w:rPr>
          <w:rFonts w:hint="default" w:ascii="Times New Roman" w:hAnsi="Times New Roman" w:cs="Times New Roman"/>
          <w:b/>
          <w:bCs/>
          <w:i/>
          <w:iCs/>
          <w:sz w:val="24"/>
          <w:szCs w:val="24"/>
          <w:lang w:val="en-US"/>
        </w:rPr>
      </w:pPr>
      <w:bookmarkStart w:id="16" w:name="_Toc13085"/>
      <w:r>
        <w:rPr>
          <w:rFonts w:hint="default" w:ascii="Times New Roman" w:hAnsi="Times New Roman" w:cs="Times New Roman"/>
          <w:b/>
          <w:bCs/>
          <w:i/>
          <w:iCs/>
          <w:sz w:val="24"/>
          <w:szCs w:val="24"/>
          <w:lang w:val="en-US"/>
        </w:rPr>
        <w:t xml:space="preserve">3.2.2 </w:t>
      </w:r>
      <w:r>
        <w:rPr>
          <w:rFonts w:hint="default" w:ascii="Times New Roman" w:hAnsi="Times New Roman"/>
          <w:b/>
          <w:bCs/>
          <w:i/>
          <w:iCs/>
          <w:sz w:val="24"/>
          <w:szCs w:val="24"/>
          <w:u w:val="single"/>
          <w:lang w:val="en-US"/>
        </w:rPr>
        <w:t>ERECT BARRIERS TO ENTRY</w:t>
      </w:r>
      <w:bookmarkEnd w:id="16"/>
    </w:p>
    <w:p>
      <w:pPr>
        <w:numPr>
          <w:ilvl w:val="0"/>
          <w:numId w:val="0"/>
        </w:numPr>
        <w:spacing w:line="480" w:lineRule="auto"/>
        <w:ind w:firstLine="420" w:firstLineChars="0"/>
        <w:jc w:val="both"/>
        <w:rPr>
          <w:rFonts w:hint="default" w:ascii="Times New Roman" w:hAnsi="Times New Roman" w:cs="Times New Roman"/>
          <w:b/>
          <w:bCs/>
          <w:sz w:val="24"/>
          <w:szCs w:val="24"/>
          <w:lang w:val="en-US"/>
        </w:rPr>
      </w:pPr>
      <w:r>
        <w:rPr>
          <w:rFonts w:hint="default" w:ascii="Times New Roman" w:hAnsi="Times New Roman"/>
          <w:b w:val="0"/>
          <w:bCs w:val="0"/>
          <w:sz w:val="24"/>
          <w:szCs w:val="24"/>
          <w:lang w:val="en-US"/>
        </w:rPr>
        <w:t>This competitive strategy makes it hard for new organisations to penetrate the market due to its thin profit margins (Huebsch, 2019). Because existing organisations are capable to give a superior pricing model to their customers, new competition in the market is restricted because competitors will struggle to obtain the same price. Regoli (2019) explains that unless competitors are inclined to cheapen the organisation applying this strategy, it survival becomes practically unattainable. This permits for market control over time (Regoli, 2019). Having joined the industry back in the 1970s, Lidl likewise encountered the Obstacles to be a new comer in an industry with high investment requirements and enhanced issues that arise from the branding of indifferent distributors. Lidl did manage to get through this and is still on the brink of being the sector's largest market holder.</w:t>
      </w:r>
    </w:p>
    <w:p>
      <w:pPr>
        <w:pStyle w:val="3"/>
        <w:bidi w:val="0"/>
        <w:spacing w:line="480" w:lineRule="auto"/>
        <w:rPr>
          <w:rFonts w:hint="default" w:ascii="Times New Roman" w:hAnsi="Times New Roman" w:cs="Times New Roman"/>
          <w:b/>
          <w:bCs/>
          <w:sz w:val="24"/>
          <w:szCs w:val="24"/>
          <w:lang w:val="en-US"/>
        </w:rPr>
      </w:pPr>
      <w:bookmarkStart w:id="17" w:name="_Toc20914"/>
      <w:r>
        <w:rPr>
          <w:rFonts w:hint="default" w:ascii="Times New Roman" w:hAnsi="Times New Roman" w:cs="Times New Roman"/>
          <w:b/>
          <w:bCs/>
          <w:sz w:val="24"/>
          <w:szCs w:val="24"/>
          <w:lang w:val="en-US"/>
        </w:rPr>
        <w:t>3.3</w:t>
      </w:r>
      <w:r>
        <w:rPr>
          <w:rFonts w:hint="default" w:ascii="Times New Roman" w:hAnsi="Times New Roman" w:cs="Times New Roman"/>
          <w:b w:val="0"/>
          <w:bCs w:val="0"/>
          <w:sz w:val="24"/>
          <w:szCs w:val="24"/>
          <w:lang w:val="en-US"/>
        </w:rPr>
        <w:t xml:space="preserve"> </w:t>
      </w:r>
      <w:r>
        <w:rPr>
          <w:rFonts w:hint="default" w:ascii="Times New Roman" w:hAnsi="Times New Roman" w:cs="Times New Roman"/>
          <w:b/>
          <w:bCs/>
          <w:sz w:val="24"/>
          <w:szCs w:val="24"/>
          <w:lang w:val="en-US"/>
        </w:rPr>
        <w:t>DISADVANTAGES OF COST LEADERSHIP</w:t>
      </w:r>
      <w:bookmarkEnd w:id="17"/>
    </w:p>
    <w:p>
      <w:pPr>
        <w:pStyle w:val="4"/>
        <w:bidi w:val="0"/>
        <w:rPr>
          <w:rFonts w:hint="default" w:ascii="Times New Roman" w:hAnsi="Times New Roman" w:cs="Times New Roman"/>
          <w:b/>
          <w:bCs/>
          <w:i/>
          <w:iCs/>
          <w:sz w:val="24"/>
          <w:szCs w:val="24"/>
          <w:lang w:val="en-US"/>
        </w:rPr>
      </w:pPr>
      <w:bookmarkStart w:id="18" w:name="_Toc4842"/>
      <w:r>
        <w:rPr>
          <w:rFonts w:hint="default" w:ascii="Times New Roman" w:hAnsi="Times New Roman" w:cs="Times New Roman"/>
          <w:b/>
          <w:bCs/>
          <w:i/>
          <w:iCs/>
          <w:sz w:val="24"/>
          <w:szCs w:val="24"/>
          <w:lang w:val="en-US"/>
        </w:rPr>
        <w:t xml:space="preserve">3.3.1 </w:t>
      </w:r>
      <w:r>
        <w:rPr>
          <w:rFonts w:hint="default" w:ascii="Times New Roman" w:hAnsi="Times New Roman"/>
          <w:b/>
          <w:bCs/>
          <w:i/>
          <w:iCs/>
          <w:sz w:val="24"/>
          <w:szCs w:val="24"/>
          <w:u w:val="single"/>
          <w:lang w:val="en-US"/>
        </w:rPr>
        <w:t>POSSIBLE PRICE WARS</w:t>
      </w:r>
      <w:bookmarkEnd w:id="18"/>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Almost always, the perks of cost leadership strategies are short lived. When one organisation begins to see the rewards of cost-cutting to generate a greater profit margin, everybody else starts replicating the methods employed to cut their prices as well (Regoli, 2019). When a firm starts using a method that could save business money, other firms would imitate this method easily and drop their costs (Huebsch, 2019). When a firm tries to raise market share, usually the simplest method is to lower prices, which ultimately boosts sales of the product. When they offer similar goods, the competitor would be compelled to join along. As prices fall, the sales volume rises, thereby benefiting consumers. Subsequently, a price limit is met that, while staying competitive, only one organisation can manage to deliver. In an effort to eradicate the market entirely, certain firms would even sell at a loss (Regoli, 2019).</w:t>
      </w:r>
    </w:p>
    <w:p>
      <w:pPr>
        <w:pStyle w:val="4"/>
        <w:bidi w:val="0"/>
        <w:rPr>
          <w:rFonts w:hint="default" w:ascii="Times New Roman" w:hAnsi="Times New Roman"/>
          <w:b/>
          <w:bCs/>
          <w:i/>
          <w:iCs/>
          <w:sz w:val="24"/>
          <w:szCs w:val="24"/>
          <w:lang w:val="en-US"/>
        </w:rPr>
      </w:pPr>
      <w:bookmarkStart w:id="19" w:name="_Toc31305"/>
      <w:r>
        <w:rPr>
          <w:rFonts w:hint="default" w:ascii="Times New Roman" w:hAnsi="Times New Roman" w:cs="Times New Roman"/>
          <w:b/>
          <w:bCs/>
          <w:i/>
          <w:iCs/>
          <w:sz w:val="24"/>
          <w:szCs w:val="24"/>
          <w:lang w:val="en-US"/>
        </w:rPr>
        <w:t xml:space="preserve">3.3.2 </w:t>
      </w:r>
      <w:r>
        <w:rPr>
          <w:rFonts w:hint="default" w:ascii="Times New Roman" w:hAnsi="Times New Roman"/>
          <w:b/>
          <w:bCs/>
          <w:i/>
          <w:iCs/>
          <w:sz w:val="24"/>
          <w:szCs w:val="24"/>
          <w:u w:val="single"/>
          <w:lang w:val="en-US"/>
        </w:rPr>
        <w:t>ASSOCIATION WITH LOWER QUALITY</w:t>
      </w:r>
      <w:bookmarkEnd w:id="19"/>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Regoli (2019) states that reducing costs is not a simple process. The actual job of cost leadership starts when leaders figure the blatant components that could be cut. To achieve a greater profit margin, it may involve a lesser quality collection of ingredients or raw materials. An alter in the advertising or marketing expenditure may have to be made, which may lessen the amount of potential customers acquired. Several firms might also decide to pay their employees less if labour costs are among their main expenditures (Regoli, 2019). Customers might have a skewed view of Lidl's merchandise quality because they have been priced at a very low price (Siro, et al., 2008).</w:t>
      </w:r>
    </w:p>
    <w:p>
      <w:pPr>
        <w:spacing w:line="480" w:lineRule="auto"/>
        <w:rPr>
          <w:rFonts w:hint="default" w:ascii="Times New Roman" w:hAnsi="Times New Roman" w:cs="Times New Roman"/>
          <w:sz w:val="24"/>
          <w:szCs w:val="24"/>
          <w:lang w:val="en-MY"/>
        </w:rPr>
        <w:sectPr>
          <w:headerReference r:id="rId10" w:type="default"/>
          <w:pgSz w:w="11906" w:h="16838"/>
          <w:pgMar w:top="1440" w:right="1800" w:bottom="1440" w:left="1800" w:header="720" w:footer="720" w:gutter="0"/>
          <w:pgNumType w:fmt="decimal"/>
          <w:cols w:space="720" w:num="1"/>
          <w:docGrid w:linePitch="360" w:charSpace="0"/>
        </w:sectPr>
      </w:pPr>
    </w:p>
    <w:p>
      <w:pPr>
        <w:pStyle w:val="2"/>
        <w:bidi w:val="0"/>
        <w:spacing w:line="240" w:lineRule="auto"/>
        <w:jc w:val="both"/>
        <w:rPr>
          <w:rFonts w:hint="default" w:ascii="Times New Roman" w:hAnsi="Times New Roman" w:cs="Times New Roman"/>
          <w:sz w:val="28"/>
          <w:szCs w:val="28"/>
          <w:lang w:val="en-MY"/>
        </w:rPr>
      </w:pPr>
      <w:bookmarkStart w:id="20" w:name="_Toc32067"/>
      <w:r>
        <w:rPr>
          <w:rFonts w:hint="default" w:ascii="Times New Roman" w:hAnsi="Times New Roman" w:cs="Times New Roman"/>
          <w:sz w:val="28"/>
          <w:szCs w:val="28"/>
          <w:lang w:val="en-MY"/>
        </w:rPr>
        <w:t>4.0 CONCLUSION</w:t>
      </w:r>
      <w:bookmarkEnd w:id="20"/>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cs="Times New Roman"/>
          <w:sz w:val="24"/>
          <w:szCs w:val="24"/>
          <w:lang w:val="en-US"/>
        </w:rPr>
        <w:t xml:space="preserve">To sum it up, it can be seen that Lidl has been successfully employing the cost leadership strategy </w:t>
      </w:r>
      <w:r>
        <w:rPr>
          <w:rFonts w:hint="default" w:ascii="Times New Roman" w:hAnsi="Times New Roman"/>
          <w:sz w:val="24"/>
          <w:szCs w:val="24"/>
          <w:lang w:val="en-US"/>
        </w:rPr>
        <w:t xml:space="preserve">in order to develop their current competitive position. They do so by having a good relationship with the local suppliers, having their stores near national distribution centres as well as keeping their labour costs low. The advantages of Lidl applying this strategy is identified as it assists Lidl in sustainability and erects the barriers for new entries, placing Lidl at a competitive advantage. However, there are also disadvantages to Lidl applying this strategy as it encourages possible price wars and associates Lidl products with lower quality. </w:t>
      </w:r>
    </w:p>
    <w:p>
      <w:pPr>
        <w:pStyle w:val="3"/>
        <w:bidi w:val="0"/>
        <w:spacing w:line="240" w:lineRule="auto"/>
        <w:jc w:val="center"/>
        <w:rPr>
          <w:rFonts w:hint="default" w:ascii="Times New Roman" w:hAnsi="Times New Roman" w:cs="Times New Roman"/>
          <w:sz w:val="24"/>
          <w:szCs w:val="24"/>
          <w:lang w:val="en-MY"/>
        </w:rPr>
      </w:pPr>
      <w:bookmarkStart w:id="21" w:name="_Toc23173"/>
    </w:p>
    <w:p>
      <w:pPr>
        <w:pStyle w:val="3"/>
        <w:bidi w:val="0"/>
        <w:spacing w:line="24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4.1 RECOMMENDATIONS</w:t>
      </w:r>
      <w:bookmarkEnd w:id="21"/>
    </w:p>
    <w:p>
      <w:pPr>
        <w:spacing w:line="480" w:lineRule="auto"/>
        <w:ind w:firstLine="420" w:firstLineChars="0"/>
        <w:jc w:val="both"/>
        <w:rPr>
          <w:rFonts w:hint="default" w:ascii="Times New Roman" w:hAnsi="Times New Roman"/>
          <w:b w:val="0"/>
          <w:bCs w:val="0"/>
          <w:sz w:val="24"/>
          <w:szCs w:val="24"/>
          <w:lang w:val="en-US"/>
        </w:rPr>
      </w:pPr>
      <w:r>
        <w:rPr>
          <w:rFonts w:hint="default" w:ascii="Times New Roman" w:hAnsi="Times New Roman"/>
          <w:b w:val="0"/>
          <w:bCs w:val="0"/>
          <w:sz w:val="24"/>
          <w:szCs w:val="24"/>
          <w:lang w:val="en-US"/>
        </w:rPr>
        <w:t>To retain their present development and growth rate, Lidl must develop greater barriers to entry to discourage other companies from joining the British supermarket industry and possibly invading Lidl's market share. If they have more stores in Europe as well as better economies of scale, they will not be as affected by the effects of price wars. Not only that, it is necessary to use Lidl's own array of private labelled brands to avoid comparisons and price wars. To develop greater entry barriers to other low-cost supermarkets, they should use the prominent amount of coverage they have all over the UK and Europe.</w:t>
      </w:r>
    </w:p>
    <w:p>
      <w:pPr>
        <w:spacing w:line="480" w:lineRule="auto"/>
        <w:ind w:firstLine="420" w:firstLineChars="0"/>
        <w:jc w:val="both"/>
        <w:rPr>
          <w:rFonts w:hint="default" w:ascii="Times New Roman" w:hAnsi="Times New Roman"/>
          <w:b w:val="0"/>
          <w:bCs w:val="0"/>
          <w:sz w:val="24"/>
          <w:szCs w:val="24"/>
          <w:lang w:val="en-US"/>
        </w:rPr>
      </w:pPr>
      <w:r>
        <w:rPr>
          <w:rFonts w:hint="default" w:ascii="Times New Roman" w:hAnsi="Times New Roman"/>
          <w:b w:val="0"/>
          <w:bCs w:val="0"/>
          <w:sz w:val="24"/>
          <w:szCs w:val="24"/>
          <w:lang w:val="en-US"/>
        </w:rPr>
        <w:t>In addition, Lidl should also enhance the usability of its website to gain clicks and obtain orders and perhaps delivery. Then this will broaden their influence on the European economy. Their website could also provide additional information about their products in order to promote quality and encourage more consumers to buy their products.</w:t>
      </w:r>
    </w:p>
    <w:p>
      <w:pPr>
        <w:spacing w:line="480" w:lineRule="auto"/>
        <w:ind w:firstLine="420" w:firstLineChars="0"/>
        <w:jc w:val="both"/>
        <w:rPr>
          <w:rFonts w:hint="default" w:ascii="Times New Roman" w:hAnsi="Times New Roman" w:cs="Times New Roman"/>
          <w:sz w:val="24"/>
          <w:szCs w:val="24"/>
          <w:lang w:val="en-MY"/>
        </w:rPr>
      </w:pPr>
      <w:r>
        <w:rPr>
          <w:rFonts w:hint="default" w:ascii="Times New Roman" w:hAnsi="Times New Roman"/>
          <w:b w:val="0"/>
          <w:bCs w:val="0"/>
          <w:sz w:val="24"/>
          <w:szCs w:val="24"/>
          <w:lang w:val="en-US"/>
        </w:rPr>
        <w:t>Not only that, they may also have to broaden their current strategies to remain profitable as well as innovative in the market. They should also create and introduce upper-class branded goods in order to reach a larger population and keep pace with the big store stores in a more even environment. However though, they must make sure that their existing consumer group is not marginalised, or else they may probably lose their market share.</w:t>
      </w:r>
      <w:r>
        <w:rPr>
          <w:rFonts w:hint="default" w:ascii="Times New Roman" w:hAnsi="Times New Roman" w:cs="Times New Roman"/>
          <w:sz w:val="24"/>
          <w:szCs w:val="24"/>
          <w:lang w:val="en-MY"/>
        </w:rPr>
        <w:br w:type="textWrapping"/>
      </w:r>
    </w:p>
    <w:p>
      <w:pPr>
        <w:spacing w:line="480" w:lineRule="auto"/>
        <w:ind w:firstLine="420" w:firstLineChars="0"/>
        <w:jc w:val="both"/>
        <w:rPr>
          <w:rFonts w:hint="default" w:ascii="Times New Roman" w:hAnsi="Times New Roman" w:cs="Times New Roman"/>
          <w:sz w:val="24"/>
          <w:szCs w:val="24"/>
          <w:lang w:val="en-US"/>
        </w:rPr>
        <w:sectPr>
          <w:headerReference r:id="rId11" w:type="default"/>
          <w:pgSz w:w="11906" w:h="16838"/>
          <w:pgMar w:top="1440" w:right="1800" w:bottom="1440" w:left="1800" w:header="720" w:footer="720" w:gutter="0"/>
          <w:pgNumType w:fmt="decimal"/>
          <w:cols w:space="720" w:num="1"/>
          <w:docGrid w:linePitch="360" w:charSpace="0"/>
        </w:sectPr>
      </w:pPr>
    </w:p>
    <w:p>
      <w:pPr>
        <w:pStyle w:val="2"/>
        <w:bidi w:val="0"/>
        <w:spacing w:line="240" w:lineRule="auto"/>
        <w:jc w:val="both"/>
        <w:rPr>
          <w:rFonts w:hint="default" w:ascii="Times New Roman" w:hAnsi="Times New Roman" w:cs="Times New Roman"/>
          <w:sz w:val="28"/>
          <w:szCs w:val="28"/>
          <w:lang w:val="en-MY"/>
        </w:rPr>
      </w:pPr>
      <w:bookmarkStart w:id="22" w:name="_Toc7136"/>
      <w:r>
        <w:rPr>
          <w:rFonts w:hint="default" w:ascii="Times New Roman" w:hAnsi="Times New Roman" w:cs="Times New Roman"/>
          <w:sz w:val="28"/>
          <w:szCs w:val="28"/>
          <w:lang w:val="en-MY"/>
        </w:rPr>
        <w:t>5.0 REFERENCES</w:t>
      </w:r>
      <w:bookmarkEnd w:id="22"/>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Akan, O., Allen, R. S., Helms, M. M., &amp; Spralls, S. A. (2006). Critical tactics for implementing Porter’s generic strategies. Journal of Business Strategy, 27(1), 43–53. doi:10.1108/02756660610640173 </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Brown, G.</w:t>
      </w:r>
      <w:r>
        <w:rPr>
          <w:rFonts w:hint="default" w:ascii="Times New Roman" w:hAnsi="Times New Roman"/>
          <w:sz w:val="24"/>
          <w:szCs w:val="24"/>
          <w:lang w:val="en-US"/>
        </w:rPr>
        <w:t xml:space="preserve"> (</w:t>
      </w:r>
      <w:r>
        <w:rPr>
          <w:rFonts w:hint="default" w:ascii="Times New Roman" w:hAnsi="Times New Roman"/>
          <w:sz w:val="24"/>
          <w:szCs w:val="24"/>
          <w:lang w:val="en-MY"/>
        </w:rPr>
        <w:t>2015</w:t>
      </w:r>
      <w:r>
        <w:rPr>
          <w:rFonts w:hint="default" w:ascii="Times New Roman" w:hAnsi="Times New Roman"/>
          <w:sz w:val="24"/>
          <w:szCs w:val="24"/>
          <w:lang w:val="en-US"/>
        </w:rPr>
        <w:t>)</w:t>
      </w:r>
      <w:r>
        <w:rPr>
          <w:rFonts w:hint="default" w:ascii="Times New Roman" w:hAnsi="Times New Roman"/>
          <w:sz w:val="24"/>
          <w:szCs w:val="24"/>
          <w:lang w:val="en-MY"/>
        </w:rPr>
        <w:t>. Giant Lidl distribution hub to create 500 West Midlands jobs. [Online] Available at: http://www.birminghampost.co.uk/business/business-news/giant-lidl-distribution-hub-create-8883111</w:t>
      </w:r>
      <w:r>
        <w:rPr>
          <w:rFonts w:hint="default" w:ascii="Times New Roman" w:hAnsi="Times New Roman"/>
          <w:sz w:val="24"/>
          <w:szCs w:val="24"/>
          <w:lang w:val="en-US"/>
        </w:rPr>
        <w:t xml:space="preserve"> [Accessed 20 Nov. 2019].</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Chandler, A. D. (1963). Strategy and Structure: Chapters in the History of American Enterprise. MIT Press, p.3.</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Clegg, S. R., Hardy, C., Lawrence, T., &amp; Nord, W. R. (Eds.).(2006). The Sage handbook of organization studies.Sage.Colla, E. (2003). International expansion and strategies of discount grocery retailers: the winning models. International Journal of Retail &amp; Distribution Management, 31(1), 55-66.</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Corporate.lidl.co.uk. (2019). About Lidl GB - Lidl Great Britain. [online] Available</w:t>
      </w:r>
      <w:r>
        <w:rPr>
          <w:rFonts w:hint="default" w:ascii="Times New Roman" w:hAnsi="Times New Roman"/>
          <w:sz w:val="24"/>
          <w:szCs w:val="24"/>
          <w:lang w:val="en-US"/>
        </w:rPr>
        <w:t xml:space="preserve"> </w:t>
      </w:r>
      <w:r>
        <w:rPr>
          <w:rFonts w:hint="default" w:ascii="Times New Roman" w:hAnsi="Times New Roman"/>
          <w:sz w:val="24"/>
          <w:szCs w:val="24"/>
          <w:lang w:val="en-MY"/>
        </w:rPr>
        <w:t>at:</w:t>
      </w:r>
      <w:r>
        <w:rPr>
          <w:rFonts w:hint="default" w:ascii="Times New Roman" w:hAnsi="Times New Roman"/>
          <w:sz w:val="24"/>
          <w:szCs w:val="24"/>
          <w:lang w:val="en-US"/>
        </w:rPr>
        <w:t xml:space="preserve"> </w:t>
      </w:r>
      <w:r>
        <w:rPr>
          <w:rFonts w:hint="default" w:ascii="Times New Roman" w:hAnsi="Times New Roman"/>
          <w:sz w:val="24"/>
          <w:szCs w:val="24"/>
          <w:lang w:val="en-MY"/>
        </w:rPr>
        <w:t>https://corporate.lidl.co.uk/?_ga=2.199198639.106006398.1573402999-1504213170.1573402999 [Accessed 10 Nov. 2019].</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Deleersnyder, B., Dekimpe, M., Steenkamp, J. and Koll, O. (2007).</w:t>
      </w:r>
      <w:r>
        <w:rPr>
          <w:rFonts w:hint="default" w:ascii="Times New Roman" w:hAnsi="Times New Roman"/>
          <w:sz w:val="24"/>
          <w:szCs w:val="24"/>
          <w:lang w:val="en-US"/>
        </w:rPr>
        <w:t xml:space="preserve"> </w:t>
      </w:r>
      <w:r>
        <w:rPr>
          <w:rFonts w:hint="default" w:ascii="Times New Roman" w:hAnsi="Times New Roman"/>
          <w:sz w:val="24"/>
          <w:szCs w:val="24"/>
          <w:lang w:val="en-MY"/>
        </w:rPr>
        <w:t>Win–win strategies at discount stores. Journal of Retailing and Consumer Services, 14(5), pp.309-318</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Hanbury, M. (2017). How Lidl keeps its prices down. Business Insider. [online] Available at: http://businessinsider.com/how-lidl-keeps-its-prices-down-2017-6?r=US&amp;IR=T [Accessed 21 Nov. 2019].</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Hill, C. W. L. (1988). Differentiation Versus Low Cost or Differentiation and Low Cost: A Contingency Framework. Academy of Management Review, 13(3), 401–412. doi:10.5465/amr.1988.4306957 </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Johnson, G., Whittington, R. and Scholes, K. (2012). Fundamentals of Strategy. [ebook] Prentice Hall, pp.2-3, 6-7. </w:t>
      </w:r>
    </w:p>
    <w:p>
      <w:pPr>
        <w:numPr>
          <w:ilvl w:val="0"/>
          <w:numId w:val="0"/>
        </w:numPr>
        <w:spacing w:line="240" w:lineRule="auto"/>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Kochova, </w:t>
      </w:r>
      <w:r>
        <w:rPr>
          <w:rFonts w:hint="default" w:ascii="Times New Roman" w:hAnsi="Times New Roman"/>
          <w:sz w:val="24"/>
          <w:szCs w:val="24"/>
          <w:lang w:val="en-US"/>
        </w:rPr>
        <w:t>J</w:t>
      </w:r>
      <w:r>
        <w:rPr>
          <w:rFonts w:hint="default" w:ascii="Times New Roman" w:hAnsi="Times New Roman"/>
          <w:sz w:val="24"/>
          <w:szCs w:val="24"/>
          <w:lang w:val="en-MY"/>
        </w:rPr>
        <w:t xml:space="preserve">. </w:t>
      </w:r>
      <w:r>
        <w:rPr>
          <w:rFonts w:hint="default" w:ascii="Times New Roman" w:hAnsi="Times New Roman"/>
          <w:sz w:val="24"/>
          <w:szCs w:val="24"/>
          <w:lang w:val="en-US"/>
        </w:rPr>
        <w:t>&amp; D</w:t>
      </w:r>
      <w:r>
        <w:rPr>
          <w:rFonts w:hint="default" w:ascii="Times New Roman" w:hAnsi="Times New Roman"/>
          <w:sz w:val="24"/>
          <w:szCs w:val="24"/>
          <w:lang w:val="en-MY"/>
        </w:rPr>
        <w:t xml:space="preserve">rakulevski, </w:t>
      </w:r>
      <w:r>
        <w:rPr>
          <w:rFonts w:hint="default" w:ascii="Times New Roman" w:hAnsi="Times New Roman"/>
          <w:sz w:val="24"/>
          <w:szCs w:val="24"/>
          <w:lang w:val="en-US"/>
        </w:rPr>
        <w:t>L B</w:t>
      </w:r>
      <w:r>
        <w:rPr>
          <w:rFonts w:hint="default" w:ascii="Times New Roman" w:hAnsi="Times New Roman"/>
          <w:sz w:val="24"/>
          <w:szCs w:val="24"/>
          <w:lang w:val="en-MY"/>
        </w:rPr>
        <w:t>. (2018). Strategic profile of the two leading discounters in the united kingdom: Aldi and lidl. ГОД. ЕКОН. ФАК. ТОМ, pp.203–217.</w:t>
      </w:r>
    </w:p>
    <w:p>
      <w:pPr>
        <w:numPr>
          <w:ilvl w:val="0"/>
          <w:numId w:val="0"/>
        </w:numPr>
        <w:spacing w:line="240" w:lineRule="auto"/>
        <w:ind w:leftChars="0"/>
        <w:jc w:val="both"/>
        <w:rPr>
          <w:rFonts w:hint="default" w:ascii="Times New Roman" w:hAnsi="Times New Roman"/>
          <w:sz w:val="24"/>
          <w:szCs w:val="24"/>
          <w:lang w:val="en-MY"/>
        </w:rPr>
      </w:pP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Marketline. (2018). Tesco &amp; Carrefour - Strategic partnership protecting wafer thin margins - Marketline. [online] Available at: https://www.marketline.com/blog/22mk-tesco-carrefour-strategic-partnership-protecting-wafer-thin-margins/ [Accessed 10 Nov. 2019].</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Marketline. (2019). CMA blocks Asda Sainsbury’s merger: Ending merger will stifle competition and dissuade future investment - Marketline. [online] Available at: https://www.marketline.com/blog/41cln-cma-blocks-asda-sainsburys-merger-ending-merger-will-stifle-competition-and-dissuade-future-investment-2/ [Accessed 10 Nov. 2019].</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Mintel (2017). Food and Non-food Discounters - UK [online].</w:t>
      </w:r>
      <w:r>
        <w:rPr>
          <w:rFonts w:hint="default" w:ascii="Times New Roman" w:hAnsi="Times New Roman"/>
          <w:sz w:val="24"/>
          <w:szCs w:val="24"/>
          <w:lang w:val="en-US"/>
        </w:rPr>
        <w:t xml:space="preserve"> </w:t>
      </w:r>
      <w:r>
        <w:rPr>
          <w:rFonts w:hint="default" w:ascii="Times New Roman" w:hAnsi="Times New Roman"/>
          <w:sz w:val="24"/>
          <w:szCs w:val="24"/>
          <w:lang w:val="en-MY"/>
        </w:rPr>
        <w:t>Available from: http://academic.mintel.com [Accessed</w:t>
      </w:r>
      <w:r>
        <w:rPr>
          <w:rFonts w:hint="default" w:ascii="Times New Roman" w:hAnsi="Times New Roman"/>
          <w:sz w:val="24"/>
          <w:szCs w:val="24"/>
          <w:lang w:val="en-US"/>
        </w:rPr>
        <w:t xml:space="preserve"> 20 Nov. 2019].</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Mintzberg, H. (2007). Tracking Strategy: Toward a General Theory. Oxford University Press, p.3.</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Murray, A. I. (1988). A Contingency View of Porter’s “Generic Strategies.” Academy of Management Review, 13(3), pp.390–400. doi:10.5465/amr.1988.4306951 </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Morschett, D., Swoboda, B. &amp; Schramm-Klein, H., (2006). Porter outlines four generic strategies; differentiation, cost leadership, differentiation focus and cost focus. Journal of Retailing and Consumer Services, 13(4), p. 275-287.</w:t>
      </w:r>
    </w:p>
    <w:p>
      <w:pPr>
        <w:numPr>
          <w:ilvl w:val="0"/>
          <w:numId w:val="0"/>
        </w:numPr>
        <w:spacing w:line="240" w:lineRule="auto"/>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Peters, T. J., &amp; Austin, N. K. (1985) A passion for excellence: The leadership difference. New York: Random House.</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Porter, M. E. (1966). What is Strategy?. Harvard Business Review, p.60.</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Porter, M. E. (1985). Competitive</w:t>
      </w:r>
      <w:r>
        <w:rPr>
          <w:rFonts w:hint="default" w:ascii="Times New Roman" w:hAnsi="Times New Roman"/>
          <w:sz w:val="24"/>
          <w:szCs w:val="24"/>
          <w:lang w:val="en-US"/>
        </w:rPr>
        <w:t xml:space="preserve"> </w:t>
      </w:r>
      <w:r>
        <w:rPr>
          <w:rFonts w:hint="default" w:ascii="Times New Roman" w:hAnsi="Times New Roman"/>
          <w:sz w:val="24"/>
          <w:szCs w:val="24"/>
          <w:lang w:val="en-MY"/>
        </w:rPr>
        <w:t>advantage. New York: Free</w:t>
      </w:r>
      <w:r>
        <w:rPr>
          <w:rFonts w:hint="default" w:ascii="Times New Roman" w:hAnsi="Times New Roman"/>
          <w:sz w:val="24"/>
          <w:szCs w:val="24"/>
          <w:lang w:val="en-US"/>
        </w:rPr>
        <w:t xml:space="preserve"> </w:t>
      </w:r>
      <w:r>
        <w:rPr>
          <w:rFonts w:hint="default" w:ascii="Times New Roman" w:hAnsi="Times New Roman"/>
          <w:sz w:val="24"/>
          <w:szCs w:val="24"/>
          <w:lang w:val="en-MY"/>
        </w:rPr>
        <w:t>Press</w:t>
      </w:r>
      <w:r>
        <w:rPr>
          <w:rFonts w:hint="default" w:ascii="Times New Roman" w:hAnsi="Times New Roman"/>
          <w:sz w:val="24"/>
          <w:szCs w:val="24"/>
          <w:lang w:val="en-US"/>
        </w:rPr>
        <w:t>, pp.11-16.</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Samuel, S. (2015). All about aldi. And lidl. Canadian Grocer, 129(2).</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Siro, I., Kapolna, E., Kapolna, B. &amp; Lugasi, A.</w:t>
      </w:r>
      <w:r>
        <w:rPr>
          <w:rFonts w:hint="default" w:ascii="Times New Roman" w:hAnsi="Times New Roman"/>
          <w:sz w:val="24"/>
          <w:szCs w:val="24"/>
          <w:lang w:val="en-US"/>
        </w:rPr>
        <w:t xml:space="preserve"> (</w:t>
      </w:r>
      <w:r>
        <w:rPr>
          <w:rFonts w:hint="default" w:ascii="Times New Roman" w:hAnsi="Times New Roman"/>
          <w:sz w:val="24"/>
          <w:szCs w:val="24"/>
          <w:lang w:val="en-MY"/>
        </w:rPr>
        <w:t>2008</w:t>
      </w:r>
      <w:r>
        <w:rPr>
          <w:rFonts w:hint="default" w:ascii="Times New Roman" w:hAnsi="Times New Roman"/>
          <w:sz w:val="24"/>
          <w:szCs w:val="24"/>
          <w:lang w:val="en-US"/>
        </w:rPr>
        <w:t>)</w:t>
      </w:r>
      <w:r>
        <w:rPr>
          <w:rFonts w:hint="default" w:ascii="Times New Roman" w:hAnsi="Times New Roman"/>
          <w:sz w:val="24"/>
          <w:szCs w:val="24"/>
          <w:lang w:val="en-MY"/>
        </w:rPr>
        <w:t>. Functional food. Product development, marketing and consumer acceptance—A review. Appetite, 51(3), pp. 456-467.</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Tanwar, R. (2013). Porter’s Generic Competitive Strategies. Journal of Business and Management,</w:t>
      </w:r>
      <w:r>
        <w:rPr>
          <w:rFonts w:hint="default" w:ascii="Times New Roman" w:hAnsi="Times New Roman"/>
          <w:sz w:val="24"/>
          <w:szCs w:val="24"/>
          <w:lang w:val="en-US"/>
        </w:rPr>
        <w:t xml:space="preserve"> </w:t>
      </w:r>
      <w:r>
        <w:rPr>
          <w:rFonts w:hint="default" w:ascii="Times New Roman" w:hAnsi="Times New Roman"/>
          <w:sz w:val="24"/>
          <w:szCs w:val="24"/>
          <w:lang w:val="en-MY"/>
        </w:rPr>
        <w:t>15(1), p.12.</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Thompson, J. (2008). Lidl and Aldi see sales soar amid economic downturn. Independent.</w:t>
      </w:r>
    </w:p>
    <w:sectPr>
      <w:headerReference r:id="rId12"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4"/>
                              <w:szCs w:val="24"/>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O7H/0EAgAAEg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zux/9BAIAABIEAAAOAAAAAAAAAAEAIAAAAB8BAABkcnMvZTJv&#10;RG9jLnhtbFBLBQYAAAAABgAGAFkBAACVBQ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4"/>
                        <w:szCs w:val="24"/>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pPr>
                      <w:pStyle w:val="5"/>
                      <w:rPr>
                        <w:rFonts w:hint="default"/>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LIST OF FIGURES</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EXECUTIVE SUMMARY</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INTRODUCTION</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MAIN BODY</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CONCLUSION</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REFERENCES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38FB6E9"/>
    <w:multiLevelType w:val="singleLevel"/>
    <w:tmpl w:val="A38FB6E9"/>
    <w:lvl w:ilvl="0" w:tentative="0">
      <w:start w:val="1"/>
      <w:numFmt w:val="decimal"/>
      <w:lvlText w:val="%1."/>
      <w:lvlJc w:val="left"/>
      <w:pPr>
        <w:tabs>
          <w:tab w:val="left" w:pos="425"/>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FF38EF"/>
    <w:rsid w:val="00AD75C3"/>
    <w:rsid w:val="00E07B1A"/>
    <w:rsid w:val="00F30055"/>
    <w:rsid w:val="010A293C"/>
    <w:rsid w:val="01263511"/>
    <w:rsid w:val="0172658B"/>
    <w:rsid w:val="020F7E70"/>
    <w:rsid w:val="021864FF"/>
    <w:rsid w:val="02751C05"/>
    <w:rsid w:val="029A3611"/>
    <w:rsid w:val="0341371C"/>
    <w:rsid w:val="03681F8B"/>
    <w:rsid w:val="042B633B"/>
    <w:rsid w:val="046D6537"/>
    <w:rsid w:val="047B50A2"/>
    <w:rsid w:val="04C607C8"/>
    <w:rsid w:val="04EE678B"/>
    <w:rsid w:val="05C14A38"/>
    <w:rsid w:val="05DD212A"/>
    <w:rsid w:val="05FB28B5"/>
    <w:rsid w:val="060C4E74"/>
    <w:rsid w:val="064D04CC"/>
    <w:rsid w:val="065E1E25"/>
    <w:rsid w:val="072119E4"/>
    <w:rsid w:val="078422D6"/>
    <w:rsid w:val="08A30298"/>
    <w:rsid w:val="095171E6"/>
    <w:rsid w:val="096B6F33"/>
    <w:rsid w:val="09A76F1E"/>
    <w:rsid w:val="0A15366D"/>
    <w:rsid w:val="0A357107"/>
    <w:rsid w:val="0A553E9B"/>
    <w:rsid w:val="0B1E5F1E"/>
    <w:rsid w:val="0B3B7F20"/>
    <w:rsid w:val="0C0C7B62"/>
    <w:rsid w:val="0C3932EE"/>
    <w:rsid w:val="0C803200"/>
    <w:rsid w:val="0CBD07CA"/>
    <w:rsid w:val="0CFB1C8B"/>
    <w:rsid w:val="0D2E360B"/>
    <w:rsid w:val="0D610CFC"/>
    <w:rsid w:val="0DBB51A5"/>
    <w:rsid w:val="0E00131C"/>
    <w:rsid w:val="0E383905"/>
    <w:rsid w:val="0EA56FD6"/>
    <w:rsid w:val="0EBA185A"/>
    <w:rsid w:val="0EE35D9F"/>
    <w:rsid w:val="0F0A689F"/>
    <w:rsid w:val="0F1E01F2"/>
    <w:rsid w:val="0F48066D"/>
    <w:rsid w:val="0F4D32F5"/>
    <w:rsid w:val="101D5957"/>
    <w:rsid w:val="102A0DC2"/>
    <w:rsid w:val="103C3EAC"/>
    <w:rsid w:val="105A382F"/>
    <w:rsid w:val="10A27D4A"/>
    <w:rsid w:val="10B05ECB"/>
    <w:rsid w:val="10C24C6D"/>
    <w:rsid w:val="1126217D"/>
    <w:rsid w:val="12456E01"/>
    <w:rsid w:val="12725893"/>
    <w:rsid w:val="129A4546"/>
    <w:rsid w:val="13944CCA"/>
    <w:rsid w:val="13B13035"/>
    <w:rsid w:val="14B31593"/>
    <w:rsid w:val="14BD70DA"/>
    <w:rsid w:val="1518389B"/>
    <w:rsid w:val="151C104D"/>
    <w:rsid w:val="152B799A"/>
    <w:rsid w:val="1583698A"/>
    <w:rsid w:val="158B73C6"/>
    <w:rsid w:val="161D6048"/>
    <w:rsid w:val="16532E18"/>
    <w:rsid w:val="1677167F"/>
    <w:rsid w:val="171069D3"/>
    <w:rsid w:val="17625467"/>
    <w:rsid w:val="176D35D6"/>
    <w:rsid w:val="182D1E48"/>
    <w:rsid w:val="183061FD"/>
    <w:rsid w:val="18A339AB"/>
    <w:rsid w:val="18C13DC9"/>
    <w:rsid w:val="193F2480"/>
    <w:rsid w:val="196600A6"/>
    <w:rsid w:val="19780749"/>
    <w:rsid w:val="19A20227"/>
    <w:rsid w:val="19B767D5"/>
    <w:rsid w:val="19D54174"/>
    <w:rsid w:val="1A6A56A3"/>
    <w:rsid w:val="1AA43BC9"/>
    <w:rsid w:val="1B2D74ED"/>
    <w:rsid w:val="1B8B33E4"/>
    <w:rsid w:val="1BD30272"/>
    <w:rsid w:val="1BEA2450"/>
    <w:rsid w:val="1C117350"/>
    <w:rsid w:val="1C3C4CF0"/>
    <w:rsid w:val="1C4766BF"/>
    <w:rsid w:val="1C5966B9"/>
    <w:rsid w:val="1D0B6FA8"/>
    <w:rsid w:val="1D421F63"/>
    <w:rsid w:val="1D4B47B1"/>
    <w:rsid w:val="1D504F7E"/>
    <w:rsid w:val="1D6742D6"/>
    <w:rsid w:val="1DAE1FA4"/>
    <w:rsid w:val="1DE07339"/>
    <w:rsid w:val="1DE53F55"/>
    <w:rsid w:val="1DE832C5"/>
    <w:rsid w:val="1EE32B4A"/>
    <w:rsid w:val="1EFC7BED"/>
    <w:rsid w:val="1F064A78"/>
    <w:rsid w:val="1F0A7FC5"/>
    <w:rsid w:val="1F177D27"/>
    <w:rsid w:val="1F561A01"/>
    <w:rsid w:val="1FC862CE"/>
    <w:rsid w:val="20B74548"/>
    <w:rsid w:val="20FF5A38"/>
    <w:rsid w:val="2154467D"/>
    <w:rsid w:val="217B7DB3"/>
    <w:rsid w:val="21D7081D"/>
    <w:rsid w:val="21EB08D0"/>
    <w:rsid w:val="22276D4B"/>
    <w:rsid w:val="223467EA"/>
    <w:rsid w:val="223B2A5C"/>
    <w:rsid w:val="226A37B4"/>
    <w:rsid w:val="23330719"/>
    <w:rsid w:val="23502581"/>
    <w:rsid w:val="238E38E8"/>
    <w:rsid w:val="23E70E97"/>
    <w:rsid w:val="244D1E21"/>
    <w:rsid w:val="246075B5"/>
    <w:rsid w:val="24653CC1"/>
    <w:rsid w:val="24AE7E2F"/>
    <w:rsid w:val="253C4ACF"/>
    <w:rsid w:val="26062C7A"/>
    <w:rsid w:val="261651AE"/>
    <w:rsid w:val="265B4CE0"/>
    <w:rsid w:val="27E50DE3"/>
    <w:rsid w:val="2806097D"/>
    <w:rsid w:val="282A566C"/>
    <w:rsid w:val="2841653C"/>
    <w:rsid w:val="29C201D2"/>
    <w:rsid w:val="2A6C4895"/>
    <w:rsid w:val="2A857717"/>
    <w:rsid w:val="2AAB2A45"/>
    <w:rsid w:val="2AB2625B"/>
    <w:rsid w:val="2AD82C33"/>
    <w:rsid w:val="2AF85E27"/>
    <w:rsid w:val="2B550A44"/>
    <w:rsid w:val="2B5F64A5"/>
    <w:rsid w:val="2BFC02C6"/>
    <w:rsid w:val="2C203419"/>
    <w:rsid w:val="2C86627F"/>
    <w:rsid w:val="2CEB27A7"/>
    <w:rsid w:val="2D545A04"/>
    <w:rsid w:val="2DAE16B6"/>
    <w:rsid w:val="2DCF370B"/>
    <w:rsid w:val="2F187627"/>
    <w:rsid w:val="2F2E3354"/>
    <w:rsid w:val="2F6441DE"/>
    <w:rsid w:val="2F67332F"/>
    <w:rsid w:val="2FA73954"/>
    <w:rsid w:val="2FA97A3D"/>
    <w:rsid w:val="30653CD9"/>
    <w:rsid w:val="30B02F3C"/>
    <w:rsid w:val="31041E0E"/>
    <w:rsid w:val="31485ADA"/>
    <w:rsid w:val="31BE686E"/>
    <w:rsid w:val="31C715ED"/>
    <w:rsid w:val="321B3E4C"/>
    <w:rsid w:val="326226E9"/>
    <w:rsid w:val="329B4E35"/>
    <w:rsid w:val="32C87BF4"/>
    <w:rsid w:val="3322304B"/>
    <w:rsid w:val="33CD3069"/>
    <w:rsid w:val="33F40F3C"/>
    <w:rsid w:val="33FC27EE"/>
    <w:rsid w:val="340F4A1A"/>
    <w:rsid w:val="348B39E8"/>
    <w:rsid w:val="34B26698"/>
    <w:rsid w:val="34C66517"/>
    <w:rsid w:val="358453C8"/>
    <w:rsid w:val="35B54AEE"/>
    <w:rsid w:val="35BD2B51"/>
    <w:rsid w:val="3629187F"/>
    <w:rsid w:val="36370CBB"/>
    <w:rsid w:val="36581C9A"/>
    <w:rsid w:val="36765464"/>
    <w:rsid w:val="368835AA"/>
    <w:rsid w:val="36C528A0"/>
    <w:rsid w:val="36CA55DE"/>
    <w:rsid w:val="36E93236"/>
    <w:rsid w:val="379235FE"/>
    <w:rsid w:val="38220B52"/>
    <w:rsid w:val="38A066F9"/>
    <w:rsid w:val="38B801D5"/>
    <w:rsid w:val="38F657EC"/>
    <w:rsid w:val="396D396E"/>
    <w:rsid w:val="3A6C145D"/>
    <w:rsid w:val="3A6D55B7"/>
    <w:rsid w:val="3AA25350"/>
    <w:rsid w:val="3ABC5005"/>
    <w:rsid w:val="3AFE4146"/>
    <w:rsid w:val="3B77268A"/>
    <w:rsid w:val="3BC24717"/>
    <w:rsid w:val="3BC415AA"/>
    <w:rsid w:val="3BD418FC"/>
    <w:rsid w:val="3C9314B6"/>
    <w:rsid w:val="3CA84064"/>
    <w:rsid w:val="3D2A2501"/>
    <w:rsid w:val="3D551FA9"/>
    <w:rsid w:val="3D5E0FBE"/>
    <w:rsid w:val="3DF626A8"/>
    <w:rsid w:val="3EA50C31"/>
    <w:rsid w:val="3EEB251C"/>
    <w:rsid w:val="3F0B148F"/>
    <w:rsid w:val="3F7C0B00"/>
    <w:rsid w:val="3FDB2C6B"/>
    <w:rsid w:val="40142841"/>
    <w:rsid w:val="40977651"/>
    <w:rsid w:val="40AF6029"/>
    <w:rsid w:val="40C51042"/>
    <w:rsid w:val="412C32FE"/>
    <w:rsid w:val="415D63E3"/>
    <w:rsid w:val="41C112B6"/>
    <w:rsid w:val="42594B91"/>
    <w:rsid w:val="4315645A"/>
    <w:rsid w:val="437C4AA6"/>
    <w:rsid w:val="43A635C8"/>
    <w:rsid w:val="4404764E"/>
    <w:rsid w:val="44A84997"/>
    <w:rsid w:val="44FD07EC"/>
    <w:rsid w:val="45193C81"/>
    <w:rsid w:val="45244282"/>
    <w:rsid w:val="458E039A"/>
    <w:rsid w:val="45907A5C"/>
    <w:rsid w:val="45A15B5E"/>
    <w:rsid w:val="45B6482F"/>
    <w:rsid w:val="460C1A92"/>
    <w:rsid w:val="461D7446"/>
    <w:rsid w:val="465809CC"/>
    <w:rsid w:val="46872E99"/>
    <w:rsid w:val="46CC2639"/>
    <w:rsid w:val="470B1405"/>
    <w:rsid w:val="47431402"/>
    <w:rsid w:val="47795DAC"/>
    <w:rsid w:val="4784122D"/>
    <w:rsid w:val="47CF7EBE"/>
    <w:rsid w:val="48610225"/>
    <w:rsid w:val="498F460F"/>
    <w:rsid w:val="49CA2AB8"/>
    <w:rsid w:val="49DE659F"/>
    <w:rsid w:val="4A1C273D"/>
    <w:rsid w:val="4A9C6E16"/>
    <w:rsid w:val="4B2F4667"/>
    <w:rsid w:val="4BA54D5F"/>
    <w:rsid w:val="4BCA19BD"/>
    <w:rsid w:val="4BF916FB"/>
    <w:rsid w:val="4C091A96"/>
    <w:rsid w:val="4D0A328C"/>
    <w:rsid w:val="4DF11CA5"/>
    <w:rsid w:val="4DF1306D"/>
    <w:rsid w:val="4E312E91"/>
    <w:rsid w:val="4E883D69"/>
    <w:rsid w:val="4E9B2764"/>
    <w:rsid w:val="4E9E2674"/>
    <w:rsid w:val="4EBE40DB"/>
    <w:rsid w:val="4EE22744"/>
    <w:rsid w:val="4F272B16"/>
    <w:rsid w:val="4F5D3CC5"/>
    <w:rsid w:val="4F741704"/>
    <w:rsid w:val="4FAA6058"/>
    <w:rsid w:val="4FC17A77"/>
    <w:rsid w:val="4FD06CD1"/>
    <w:rsid w:val="4FE26D5C"/>
    <w:rsid w:val="503D14E4"/>
    <w:rsid w:val="50580C97"/>
    <w:rsid w:val="50864F3B"/>
    <w:rsid w:val="509642D9"/>
    <w:rsid w:val="509D3B99"/>
    <w:rsid w:val="51290036"/>
    <w:rsid w:val="512A2459"/>
    <w:rsid w:val="519C0FA6"/>
    <w:rsid w:val="51E77EFF"/>
    <w:rsid w:val="52F64DAF"/>
    <w:rsid w:val="53C216BE"/>
    <w:rsid w:val="54EE5AEF"/>
    <w:rsid w:val="550D2D38"/>
    <w:rsid w:val="55DC5225"/>
    <w:rsid w:val="55E0119B"/>
    <w:rsid w:val="55ED4D03"/>
    <w:rsid w:val="55F975E0"/>
    <w:rsid w:val="569B06F0"/>
    <w:rsid w:val="56C96104"/>
    <w:rsid w:val="56E94768"/>
    <w:rsid w:val="5704573D"/>
    <w:rsid w:val="570B4D63"/>
    <w:rsid w:val="578D0FBC"/>
    <w:rsid w:val="57B2017E"/>
    <w:rsid w:val="57EA55C1"/>
    <w:rsid w:val="584063F8"/>
    <w:rsid w:val="585C188F"/>
    <w:rsid w:val="58CA59BC"/>
    <w:rsid w:val="590C6940"/>
    <w:rsid w:val="595665FA"/>
    <w:rsid w:val="5A151CCB"/>
    <w:rsid w:val="5A3D7402"/>
    <w:rsid w:val="5B106D40"/>
    <w:rsid w:val="5B272316"/>
    <w:rsid w:val="5B6C4241"/>
    <w:rsid w:val="5BA836B6"/>
    <w:rsid w:val="5BB67679"/>
    <w:rsid w:val="5BDF428B"/>
    <w:rsid w:val="5BF23B0A"/>
    <w:rsid w:val="5CAC0BBA"/>
    <w:rsid w:val="5CAD0155"/>
    <w:rsid w:val="5CB64EB4"/>
    <w:rsid w:val="5CC10D64"/>
    <w:rsid w:val="5CDC7474"/>
    <w:rsid w:val="5CFE19CB"/>
    <w:rsid w:val="5D85512C"/>
    <w:rsid w:val="5DA51BE6"/>
    <w:rsid w:val="5DBE01D9"/>
    <w:rsid w:val="5E0A1C85"/>
    <w:rsid w:val="5E28768B"/>
    <w:rsid w:val="5EC466C5"/>
    <w:rsid w:val="5EEB554C"/>
    <w:rsid w:val="5EFA630D"/>
    <w:rsid w:val="5F6B3E4C"/>
    <w:rsid w:val="5F6D57B1"/>
    <w:rsid w:val="605E6280"/>
    <w:rsid w:val="60DA3CD5"/>
    <w:rsid w:val="60F63A61"/>
    <w:rsid w:val="61977272"/>
    <w:rsid w:val="619B489F"/>
    <w:rsid w:val="61AE45B9"/>
    <w:rsid w:val="61B922F3"/>
    <w:rsid w:val="62086ABE"/>
    <w:rsid w:val="620D2B50"/>
    <w:rsid w:val="6210503C"/>
    <w:rsid w:val="62A36E91"/>
    <w:rsid w:val="62D561FF"/>
    <w:rsid w:val="63261127"/>
    <w:rsid w:val="6338413A"/>
    <w:rsid w:val="63AD4E39"/>
    <w:rsid w:val="63E94DD0"/>
    <w:rsid w:val="64BA78A6"/>
    <w:rsid w:val="64D358F9"/>
    <w:rsid w:val="650C033A"/>
    <w:rsid w:val="6539679C"/>
    <w:rsid w:val="6547391A"/>
    <w:rsid w:val="6580655F"/>
    <w:rsid w:val="658833C1"/>
    <w:rsid w:val="66AD309A"/>
    <w:rsid w:val="66B4642F"/>
    <w:rsid w:val="66FA3A74"/>
    <w:rsid w:val="66FF5D54"/>
    <w:rsid w:val="673D5851"/>
    <w:rsid w:val="677C074F"/>
    <w:rsid w:val="678007B3"/>
    <w:rsid w:val="67C33982"/>
    <w:rsid w:val="67D85DC0"/>
    <w:rsid w:val="68190A8C"/>
    <w:rsid w:val="683B3691"/>
    <w:rsid w:val="68C5365E"/>
    <w:rsid w:val="69467711"/>
    <w:rsid w:val="69493692"/>
    <w:rsid w:val="696B3C8E"/>
    <w:rsid w:val="697D411B"/>
    <w:rsid w:val="698770FD"/>
    <w:rsid w:val="699375EE"/>
    <w:rsid w:val="69F15020"/>
    <w:rsid w:val="6A771580"/>
    <w:rsid w:val="6B4E6700"/>
    <w:rsid w:val="6B625942"/>
    <w:rsid w:val="6B725C4D"/>
    <w:rsid w:val="6B9574FE"/>
    <w:rsid w:val="6BA27BF3"/>
    <w:rsid w:val="6BA45B19"/>
    <w:rsid w:val="6BE1774C"/>
    <w:rsid w:val="6C240517"/>
    <w:rsid w:val="6C2C4DB0"/>
    <w:rsid w:val="6C8116AB"/>
    <w:rsid w:val="6CA56577"/>
    <w:rsid w:val="6CBD58D0"/>
    <w:rsid w:val="6D4B4F15"/>
    <w:rsid w:val="6D6E20FC"/>
    <w:rsid w:val="6D9848C6"/>
    <w:rsid w:val="6DDB6DBA"/>
    <w:rsid w:val="6E2A00F1"/>
    <w:rsid w:val="6E3E20CC"/>
    <w:rsid w:val="6E657CB0"/>
    <w:rsid w:val="6E682C8D"/>
    <w:rsid w:val="6EC443D2"/>
    <w:rsid w:val="6EE540FA"/>
    <w:rsid w:val="6EF73D8D"/>
    <w:rsid w:val="6F4F41CD"/>
    <w:rsid w:val="6FA44FDD"/>
    <w:rsid w:val="6FCE0F62"/>
    <w:rsid w:val="705A04CF"/>
    <w:rsid w:val="70FD032E"/>
    <w:rsid w:val="70FD062D"/>
    <w:rsid w:val="710113D7"/>
    <w:rsid w:val="71063A40"/>
    <w:rsid w:val="7120429C"/>
    <w:rsid w:val="71581D85"/>
    <w:rsid w:val="71626438"/>
    <w:rsid w:val="7191663C"/>
    <w:rsid w:val="71E37855"/>
    <w:rsid w:val="71E5214E"/>
    <w:rsid w:val="72B2505C"/>
    <w:rsid w:val="72D00787"/>
    <w:rsid w:val="72FF1397"/>
    <w:rsid w:val="733A236B"/>
    <w:rsid w:val="73FF38EF"/>
    <w:rsid w:val="74037DBD"/>
    <w:rsid w:val="742F0543"/>
    <w:rsid w:val="743D6631"/>
    <w:rsid w:val="7479664E"/>
    <w:rsid w:val="74A26F66"/>
    <w:rsid w:val="74AB4E04"/>
    <w:rsid w:val="74CE11DF"/>
    <w:rsid w:val="74EB1622"/>
    <w:rsid w:val="754516D9"/>
    <w:rsid w:val="75EB5C66"/>
    <w:rsid w:val="760063D9"/>
    <w:rsid w:val="76AB297D"/>
    <w:rsid w:val="76AC251A"/>
    <w:rsid w:val="76C037CD"/>
    <w:rsid w:val="76C66160"/>
    <w:rsid w:val="772436B0"/>
    <w:rsid w:val="772B2A87"/>
    <w:rsid w:val="772B66FE"/>
    <w:rsid w:val="77465AC4"/>
    <w:rsid w:val="77581D63"/>
    <w:rsid w:val="77B34675"/>
    <w:rsid w:val="77FF2B50"/>
    <w:rsid w:val="78B83FC6"/>
    <w:rsid w:val="78FC64E3"/>
    <w:rsid w:val="79296E65"/>
    <w:rsid w:val="7937629C"/>
    <w:rsid w:val="793E4C8F"/>
    <w:rsid w:val="798A60AB"/>
    <w:rsid w:val="79C937B4"/>
    <w:rsid w:val="7A5D2AC7"/>
    <w:rsid w:val="7A647C57"/>
    <w:rsid w:val="7A67678D"/>
    <w:rsid w:val="7A750A94"/>
    <w:rsid w:val="7A8D544D"/>
    <w:rsid w:val="7AC226A1"/>
    <w:rsid w:val="7AC304F4"/>
    <w:rsid w:val="7ACF1402"/>
    <w:rsid w:val="7B2D5AE0"/>
    <w:rsid w:val="7B435826"/>
    <w:rsid w:val="7B4C51D8"/>
    <w:rsid w:val="7B5016E5"/>
    <w:rsid w:val="7B941CD3"/>
    <w:rsid w:val="7BB91831"/>
    <w:rsid w:val="7BC558EA"/>
    <w:rsid w:val="7C0F7942"/>
    <w:rsid w:val="7C9106A2"/>
    <w:rsid w:val="7D0D08F7"/>
    <w:rsid w:val="7D872F36"/>
    <w:rsid w:val="7DB12056"/>
    <w:rsid w:val="7DD81056"/>
    <w:rsid w:val="7E10189E"/>
    <w:rsid w:val="7E2542C2"/>
    <w:rsid w:val="7E47510C"/>
    <w:rsid w:val="7E6F69B0"/>
    <w:rsid w:val="7E7E73DF"/>
    <w:rsid w:val="7EC116D7"/>
    <w:rsid w:val="7EF12C9D"/>
    <w:rsid w:val="7F1530E2"/>
    <w:rsid w:val="7F3665F7"/>
    <w:rsid w:val="7F462D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paragraph" w:styleId="4">
    <w:name w:val="heading 3"/>
    <w:basedOn w:val="1"/>
    <w:next w:val="1"/>
    <w:unhideWhenUsed/>
    <w:qFormat/>
    <w:uiPriority w:val="0"/>
    <w:pPr>
      <w:keepNext/>
      <w:keepLines/>
      <w:spacing w:before="260" w:after="260" w:line="416" w:lineRule="auto"/>
      <w:outlineLvl w:val="2"/>
    </w:pPr>
    <w:rPr>
      <w:b/>
      <w:bCs/>
      <w:sz w:val="32"/>
      <w:szCs w:val="32"/>
    </w:rPr>
  </w:style>
  <w:style w:type="character" w:default="1" w:styleId="7">
    <w:name w:val="Default Paragraph Font"/>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szCs w:val="18"/>
    </w:rPr>
  </w:style>
  <w:style w:type="paragraph" w:styleId="6">
    <w:name w:val="header"/>
    <w:basedOn w:val="1"/>
    <w:qFormat/>
    <w:uiPriority w:val="0"/>
    <w:pPr>
      <w:tabs>
        <w:tab w:val="center" w:pos="4153"/>
        <w:tab w:val="right" w:pos="8306"/>
      </w:tabs>
      <w:snapToGrid w:val="0"/>
    </w:pPr>
    <w:rPr>
      <w:sz w:val="18"/>
      <w:szCs w:val="18"/>
    </w:rPr>
  </w:style>
  <w:style w:type="character" w:styleId="8">
    <w:name w:val="Hyperlink"/>
    <w:basedOn w:val="7"/>
    <w:qFormat/>
    <w:uiPriority w:val="0"/>
    <w:rPr>
      <w:color w:val="0000FF"/>
      <w:u w:val="single"/>
    </w:rPr>
  </w:style>
  <w:style w:type="paragraph" w:customStyle="1" w:styleId="10">
    <w:name w:val="WPSOffice Manual Table 1"/>
    <w:qFormat/>
    <w:uiPriority w:val="0"/>
    <w:pPr>
      <w:ind w:leftChars="0"/>
    </w:pPr>
    <w:rPr>
      <w:rFonts w:ascii="Times New Roman" w:hAnsi="Times New Roman" w:eastAsia="SimSun" w:cs="Times New Roman"/>
      <w:sz w:val="20"/>
      <w:szCs w:val="20"/>
    </w:rPr>
  </w:style>
  <w:style w:type="paragraph" w:customStyle="1" w:styleId="11">
    <w:name w:val="WPSOffice Manual Table 2"/>
    <w:qFormat/>
    <w:uiPriority w:val="0"/>
    <w:pPr>
      <w:ind w:leftChars="200"/>
    </w:pPr>
    <w:rPr>
      <w:rFonts w:ascii="Times New Roman" w:hAnsi="Times New Roman" w:eastAsia="SimSun" w:cs="Times New Roman"/>
      <w:sz w:val="20"/>
      <w:szCs w:val="20"/>
    </w:rPr>
  </w:style>
  <w:style w:type="paragraph" w:customStyle="1" w:styleId="12">
    <w:name w:val="WPSOffice手动目录 2"/>
    <w:qFormat/>
    <w:uiPriority w:val="0"/>
    <w:pPr>
      <w:ind w:leftChars="200"/>
    </w:pPr>
    <w:rPr>
      <w:rFonts w:ascii="Times New Roman" w:hAnsi="Times New Roman" w:eastAsia="SimSun" w:cs="Times New Roman"/>
      <w:sz w:val="20"/>
      <w:szCs w:val="20"/>
    </w:rPr>
  </w:style>
  <w:style w:type="paragraph" w:customStyle="1" w:styleId="13">
    <w:name w:val="WPSOffice手动目录 3"/>
    <w:qFormat/>
    <w:uiPriority w:val="0"/>
    <w:pPr>
      <w:ind w:leftChars="400"/>
    </w:pPr>
    <w:rPr>
      <w:rFonts w:ascii="Times New Roman" w:hAnsi="Times New Roman" w:eastAsia="SimSun" w:cs="Times New Roman"/>
      <w:sz w:val="20"/>
      <w:szCs w:val="20"/>
    </w:rPr>
  </w:style>
  <w:style w:type="paragraph" w:customStyle="1" w:styleId="14">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header" Target="header5.xml"/><Relationship Id="rId7" Type="http://schemas.openxmlformats.org/officeDocument/2006/relationships/footer" Target="footer1.xml"/><Relationship Id="rId6" Type="http://schemas.openxmlformats.org/officeDocument/2006/relationships/header" Target="header4.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2.png"/><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header" Target="header8.xml"/><Relationship Id="rId11" Type="http://schemas.openxmlformats.org/officeDocument/2006/relationships/header" Target="header7.xml"/><Relationship Id="rId10" Type="http://schemas.openxmlformats.org/officeDocument/2006/relationships/header" Target="header6.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199</TotalTime>
  <ScaleCrop>false</ScaleCrop>
  <LinksUpToDate>false</LinksUpToDate>
  <CharactersWithSpaces>0</CharactersWithSpaces>
  <Application>WPS Office_11.2.0.9052_F1E327BC-269C-435d-A152-05C5408002CA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2019-10-23T18:44:00Z</dcterms:created>
  <dc:creator>shafinassahfie</dc:creator>
  <cp:lastModifiedBy>shafinassahfie</cp:lastModifiedBy>
  <dcterms:modified xsi:type="dcterms:W3CDTF">2019-11-26T21:22:09Z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1033-11.2.0.9052</vt:lpwstr>
  </property>
</Properties>
</file>