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728A9" w14:textId="14A5CEC9" w:rsidR="00BD022E" w:rsidRDefault="001A3B0C" w:rsidP="00BD022E">
      <w:pPr>
        <w:ind w:left="720"/>
        <w:rPr>
          <w:rFonts w:ascii="Arial" w:hAnsi="Arial" w:cs="Arial"/>
          <w:sz w:val="24"/>
          <w:szCs w:val="24"/>
        </w:rPr>
      </w:pPr>
      <w:bookmarkStart w:id="0" w:name="_Hlk156164370"/>
      <w:bookmarkEnd w:id="0"/>
      <w:r w:rsidRPr="00FD68D1">
        <w:rPr>
          <w:rFonts w:ascii="Arial" w:hAnsi="Arial" w:cs="Arial"/>
          <w:sz w:val="24"/>
          <w:szCs w:val="24"/>
        </w:rPr>
        <w:t>Consider how we might be able to reconstruct ancient household activities and organisation from the archaeological record, with reference to specific examples from Chalcolithic or Bronze Age Cyprus.</w:t>
      </w:r>
    </w:p>
    <w:p w14:paraId="4A8461A3" w14:textId="77777777" w:rsidR="005635A8" w:rsidRPr="00BD022E" w:rsidRDefault="005635A8" w:rsidP="00BD022E">
      <w:pPr>
        <w:ind w:left="720"/>
        <w:rPr>
          <w:rFonts w:ascii="Arial" w:hAnsi="Arial" w:cs="Arial"/>
          <w:sz w:val="24"/>
          <w:szCs w:val="24"/>
        </w:rPr>
      </w:pPr>
    </w:p>
    <w:p w14:paraId="796E93AC" w14:textId="7956BBDE" w:rsidR="004A6A77" w:rsidRPr="00CC0B87" w:rsidRDefault="00506069" w:rsidP="00CC0B87">
      <w:pPr>
        <w:spacing w:line="360" w:lineRule="auto"/>
        <w:ind w:firstLine="720"/>
        <w:rPr>
          <w:rFonts w:cstheme="minorHAnsi"/>
          <w:sz w:val="24"/>
          <w:szCs w:val="24"/>
        </w:rPr>
      </w:pPr>
      <w:r w:rsidRPr="00CC0B87">
        <w:rPr>
          <w:rFonts w:cstheme="minorHAnsi"/>
          <w:sz w:val="24"/>
          <w:szCs w:val="24"/>
        </w:rPr>
        <w:t>The people-</w:t>
      </w:r>
      <w:proofErr w:type="spellStart"/>
      <w:r w:rsidRPr="00CC0B87">
        <w:rPr>
          <w:rFonts w:cstheme="minorHAnsi"/>
          <w:sz w:val="24"/>
          <w:szCs w:val="24"/>
        </w:rPr>
        <w:t>ing</w:t>
      </w:r>
      <w:proofErr w:type="spellEnd"/>
      <w:r w:rsidRPr="00CC0B87">
        <w:rPr>
          <w:rFonts w:cstheme="minorHAnsi"/>
          <w:sz w:val="24"/>
          <w:szCs w:val="24"/>
        </w:rPr>
        <w:t xml:space="preserve"> of the ancient past</w:t>
      </w:r>
      <w:r w:rsidR="008673F7" w:rsidRPr="00CC0B87">
        <w:rPr>
          <w:rFonts w:cstheme="minorHAnsi"/>
          <w:sz w:val="24"/>
          <w:szCs w:val="24"/>
        </w:rPr>
        <w:t>,</w:t>
      </w:r>
      <w:r w:rsidR="00814A40" w:rsidRPr="00CC0B87">
        <w:rPr>
          <w:rFonts w:cstheme="minorHAnsi"/>
          <w:sz w:val="24"/>
          <w:szCs w:val="24"/>
        </w:rPr>
        <w:t xml:space="preserve"> through household archaeology – what Ruth Tringham described as</w:t>
      </w:r>
      <w:r w:rsidR="008673F7" w:rsidRPr="00CC0B87">
        <w:rPr>
          <w:rFonts w:cstheme="minorHAnsi"/>
          <w:sz w:val="24"/>
          <w:szCs w:val="24"/>
        </w:rPr>
        <w:t xml:space="preserve"> </w:t>
      </w:r>
      <w:r w:rsidR="00814A40" w:rsidRPr="00CC0B87">
        <w:rPr>
          <w:rFonts w:cstheme="minorHAnsi"/>
          <w:sz w:val="24"/>
          <w:szCs w:val="24"/>
        </w:rPr>
        <w:t>creating ‘a humanised reconstruction of the past’</w:t>
      </w:r>
      <w:r w:rsidR="00814A40" w:rsidRPr="00CC0B87">
        <w:rPr>
          <w:rStyle w:val="FootnoteReference"/>
          <w:rFonts w:cstheme="minorHAnsi"/>
          <w:sz w:val="24"/>
          <w:szCs w:val="24"/>
        </w:rPr>
        <w:footnoteReference w:id="1"/>
      </w:r>
      <w:r w:rsidR="00814A40" w:rsidRPr="00CC0B87">
        <w:rPr>
          <w:rFonts w:cstheme="minorHAnsi"/>
          <w:sz w:val="24"/>
          <w:szCs w:val="24"/>
        </w:rPr>
        <w:t xml:space="preserve"> - </w:t>
      </w:r>
      <w:r w:rsidR="008673F7" w:rsidRPr="00CC0B87">
        <w:rPr>
          <w:rFonts w:cstheme="minorHAnsi"/>
          <w:sz w:val="24"/>
          <w:szCs w:val="24"/>
        </w:rPr>
        <w:t xml:space="preserve">accurately and without </w:t>
      </w:r>
      <w:r w:rsidR="00531FC0" w:rsidRPr="00CC0B87">
        <w:rPr>
          <w:rFonts w:cstheme="minorHAnsi"/>
          <w:sz w:val="24"/>
          <w:szCs w:val="24"/>
        </w:rPr>
        <w:t xml:space="preserve">the distortion of </w:t>
      </w:r>
      <w:r w:rsidR="008673F7" w:rsidRPr="00CC0B87">
        <w:rPr>
          <w:rFonts w:cstheme="minorHAnsi"/>
          <w:sz w:val="24"/>
          <w:szCs w:val="24"/>
        </w:rPr>
        <w:t>biase</w:t>
      </w:r>
      <w:r w:rsidR="00531FC0" w:rsidRPr="00CC0B87">
        <w:rPr>
          <w:rFonts w:cstheme="minorHAnsi"/>
          <w:sz w:val="24"/>
          <w:szCs w:val="24"/>
        </w:rPr>
        <w:t>s or</w:t>
      </w:r>
      <w:r w:rsidR="008673F7" w:rsidRPr="00CC0B87">
        <w:rPr>
          <w:rFonts w:cstheme="minorHAnsi"/>
          <w:sz w:val="24"/>
          <w:szCs w:val="24"/>
        </w:rPr>
        <w:t xml:space="preserve"> </w:t>
      </w:r>
      <w:r w:rsidR="00AC0952" w:rsidRPr="00CC0B87">
        <w:rPr>
          <w:rFonts w:cstheme="minorHAnsi"/>
          <w:sz w:val="24"/>
          <w:szCs w:val="24"/>
        </w:rPr>
        <w:t>anachronisms</w:t>
      </w:r>
      <w:r w:rsidR="008673F7" w:rsidRPr="00CC0B87">
        <w:rPr>
          <w:rFonts w:cstheme="minorHAnsi"/>
          <w:sz w:val="24"/>
          <w:szCs w:val="24"/>
        </w:rPr>
        <w:t>, often poses difficulty</w:t>
      </w:r>
      <w:r w:rsidR="00CD3276" w:rsidRPr="00CC0B87">
        <w:rPr>
          <w:rFonts w:cstheme="minorHAnsi"/>
          <w:sz w:val="24"/>
          <w:szCs w:val="24"/>
        </w:rPr>
        <w:t xml:space="preserve">, yet holds great potential. Falconer and Fall emphasise how </w:t>
      </w:r>
      <w:r w:rsidR="00CD3276" w:rsidRPr="00CC0B87">
        <w:rPr>
          <w:rFonts w:cstheme="minorHAnsi"/>
          <w:sz w:val="24"/>
          <w:szCs w:val="24"/>
        </w:rPr>
        <w:t xml:space="preserve">‘village and household level analysis </w:t>
      </w:r>
      <w:proofErr w:type="gramStart"/>
      <w:r w:rsidR="00CD3276" w:rsidRPr="00CC0B87">
        <w:rPr>
          <w:rFonts w:cstheme="minorHAnsi"/>
          <w:sz w:val="24"/>
          <w:szCs w:val="24"/>
        </w:rPr>
        <w:t>offers</w:t>
      </w:r>
      <w:proofErr w:type="gramEnd"/>
      <w:r w:rsidR="00CD3276" w:rsidRPr="00CC0B87">
        <w:rPr>
          <w:rFonts w:cstheme="minorHAnsi"/>
          <w:sz w:val="24"/>
          <w:szCs w:val="24"/>
        </w:rPr>
        <w:t xml:space="preserve"> a window into Cyprus’ Early and Middle Cypriot pre-urban society’</w:t>
      </w:r>
      <w:r w:rsidR="00CD3276" w:rsidRPr="00CC0B87">
        <w:rPr>
          <w:rStyle w:val="FootnoteReference"/>
          <w:rFonts w:cstheme="minorHAnsi"/>
          <w:sz w:val="24"/>
          <w:szCs w:val="24"/>
        </w:rPr>
        <w:footnoteReference w:id="2"/>
      </w:r>
      <w:r w:rsidR="00CD3276" w:rsidRPr="00CC0B87">
        <w:rPr>
          <w:rFonts w:cstheme="minorHAnsi"/>
          <w:sz w:val="24"/>
          <w:szCs w:val="24"/>
        </w:rPr>
        <w:t xml:space="preserve">, </w:t>
      </w:r>
      <w:r w:rsidR="00DF1EB3" w:rsidRPr="00CC0B87">
        <w:rPr>
          <w:rFonts w:cstheme="minorHAnsi"/>
          <w:sz w:val="24"/>
          <w:szCs w:val="24"/>
        </w:rPr>
        <w:t>and is therefore necessary to construct an image of pre-urban life in Cyprus.</w:t>
      </w:r>
      <w:r w:rsidR="008B203E" w:rsidRPr="00CC0B87">
        <w:rPr>
          <w:rFonts w:cstheme="minorHAnsi"/>
          <w:sz w:val="24"/>
          <w:szCs w:val="24"/>
        </w:rPr>
        <w:t xml:space="preserve"> </w:t>
      </w:r>
      <w:r w:rsidR="00A873DA" w:rsidRPr="00CC0B87">
        <w:rPr>
          <w:rFonts w:cstheme="minorHAnsi"/>
          <w:sz w:val="24"/>
          <w:szCs w:val="24"/>
        </w:rPr>
        <w:t xml:space="preserve">Falconer and </w:t>
      </w:r>
      <w:proofErr w:type="gramStart"/>
      <w:r w:rsidR="00A873DA" w:rsidRPr="00CC0B87">
        <w:rPr>
          <w:rFonts w:cstheme="minorHAnsi"/>
          <w:sz w:val="24"/>
          <w:szCs w:val="24"/>
        </w:rPr>
        <w:t>Fall</w:t>
      </w:r>
      <w:proofErr w:type="gramEnd"/>
      <w:r w:rsidR="00A873DA" w:rsidRPr="00CC0B87">
        <w:rPr>
          <w:rFonts w:cstheme="minorHAnsi"/>
          <w:sz w:val="24"/>
          <w:szCs w:val="24"/>
        </w:rPr>
        <w:t xml:space="preserve"> </w:t>
      </w:r>
      <w:r w:rsidR="008B203E" w:rsidRPr="00CC0B87">
        <w:rPr>
          <w:rFonts w:cstheme="minorHAnsi"/>
          <w:sz w:val="24"/>
          <w:szCs w:val="24"/>
        </w:rPr>
        <w:t xml:space="preserve">also </w:t>
      </w:r>
      <w:r w:rsidR="00A873DA" w:rsidRPr="00CC0B87">
        <w:rPr>
          <w:rFonts w:cstheme="minorHAnsi"/>
          <w:sz w:val="24"/>
          <w:szCs w:val="24"/>
        </w:rPr>
        <w:t>argue that</w:t>
      </w:r>
      <w:r w:rsidR="00A873DA" w:rsidRPr="00CC0B87">
        <w:rPr>
          <w:rFonts w:cstheme="minorHAnsi"/>
          <w:sz w:val="24"/>
          <w:szCs w:val="24"/>
        </w:rPr>
        <w:t xml:space="preserve"> </w:t>
      </w:r>
      <w:r w:rsidR="00A873DA" w:rsidRPr="00CC0B87">
        <w:rPr>
          <w:rFonts w:cstheme="minorHAnsi"/>
          <w:sz w:val="24"/>
          <w:szCs w:val="24"/>
        </w:rPr>
        <w:t>‘</w:t>
      </w:r>
      <w:r w:rsidR="00A873DA" w:rsidRPr="00CC0B87">
        <w:rPr>
          <w:rFonts w:cstheme="minorHAnsi"/>
          <w:sz w:val="24"/>
          <w:szCs w:val="24"/>
        </w:rPr>
        <w:t>social differentiation was expressed in the Early and Middle Cypriot periods primarily in burials and mortuary evidence’</w:t>
      </w:r>
      <w:r w:rsidR="008B203E" w:rsidRPr="00CC0B87">
        <w:rPr>
          <w:rStyle w:val="FootnoteReference"/>
          <w:rFonts w:cstheme="minorHAnsi"/>
          <w:sz w:val="24"/>
          <w:szCs w:val="24"/>
        </w:rPr>
        <w:footnoteReference w:id="3"/>
      </w:r>
      <w:r w:rsidR="0055712A" w:rsidRPr="00CC0B87">
        <w:rPr>
          <w:rFonts w:cstheme="minorHAnsi"/>
          <w:sz w:val="24"/>
          <w:szCs w:val="24"/>
        </w:rPr>
        <w:t>. Unfortunately, w</w:t>
      </w:r>
      <w:r w:rsidR="00D73272" w:rsidRPr="00CC0B87">
        <w:rPr>
          <w:rFonts w:cstheme="minorHAnsi"/>
          <w:sz w:val="24"/>
          <w:szCs w:val="24"/>
        </w:rPr>
        <w:t>ithin</w:t>
      </w:r>
      <w:r w:rsidR="009F2F95" w:rsidRPr="00CC0B87">
        <w:rPr>
          <w:rFonts w:cstheme="minorHAnsi"/>
          <w:sz w:val="24"/>
          <w:szCs w:val="24"/>
        </w:rPr>
        <w:t xml:space="preserve"> Cypr</w:t>
      </w:r>
      <w:r w:rsidR="00863527" w:rsidRPr="00CC0B87">
        <w:rPr>
          <w:rFonts w:cstheme="minorHAnsi"/>
          <w:sz w:val="24"/>
          <w:szCs w:val="24"/>
        </w:rPr>
        <w:t>iot archaeology</w:t>
      </w:r>
      <w:r w:rsidR="009F2F95" w:rsidRPr="00CC0B87">
        <w:rPr>
          <w:rFonts w:cstheme="minorHAnsi"/>
          <w:sz w:val="24"/>
          <w:szCs w:val="24"/>
        </w:rPr>
        <w:t xml:space="preserve"> specifically, </w:t>
      </w:r>
      <w:r w:rsidR="001B4C23" w:rsidRPr="00CC0B87">
        <w:rPr>
          <w:rFonts w:cstheme="minorHAnsi"/>
          <w:sz w:val="24"/>
          <w:szCs w:val="24"/>
        </w:rPr>
        <w:t xml:space="preserve">issues of </w:t>
      </w:r>
      <w:r w:rsidR="00433269" w:rsidRPr="00CC0B87">
        <w:rPr>
          <w:rFonts w:cstheme="minorHAnsi"/>
          <w:sz w:val="24"/>
          <w:szCs w:val="24"/>
        </w:rPr>
        <w:t>surrounding</w:t>
      </w:r>
      <w:r w:rsidR="00FB1CF9" w:rsidRPr="00CC0B87">
        <w:rPr>
          <w:rFonts w:cstheme="minorHAnsi"/>
          <w:sz w:val="24"/>
          <w:szCs w:val="24"/>
        </w:rPr>
        <w:t xml:space="preserve"> burial </w:t>
      </w:r>
      <w:proofErr w:type="gramStart"/>
      <w:r w:rsidR="00FB1CF9" w:rsidRPr="00CC0B87">
        <w:rPr>
          <w:rFonts w:cstheme="minorHAnsi"/>
          <w:sz w:val="24"/>
          <w:szCs w:val="24"/>
        </w:rPr>
        <w:t>remains</w:t>
      </w:r>
      <w:proofErr w:type="gramEnd"/>
      <w:r w:rsidR="00A172DF" w:rsidRPr="00CC0B87">
        <w:rPr>
          <w:rFonts w:cstheme="minorHAnsi"/>
          <w:sz w:val="24"/>
          <w:szCs w:val="24"/>
        </w:rPr>
        <w:t xml:space="preserve"> being ‘often relatively poorly preserved’</w:t>
      </w:r>
      <w:r w:rsidR="00A172DF" w:rsidRPr="00CC0B87">
        <w:rPr>
          <w:rStyle w:val="FootnoteReference"/>
          <w:rFonts w:cstheme="minorHAnsi"/>
          <w:noProof/>
          <w:sz w:val="24"/>
          <w:szCs w:val="24"/>
        </w:rPr>
        <w:footnoteReference w:id="4"/>
      </w:r>
      <w:r w:rsidR="00FB1CF9" w:rsidRPr="00CC0B87">
        <w:rPr>
          <w:rFonts w:cstheme="minorHAnsi"/>
          <w:sz w:val="24"/>
          <w:szCs w:val="24"/>
        </w:rPr>
        <w:t xml:space="preserve"> do nothing to assist attempts to peer into everyday Cypriot life in the Bronze Age</w:t>
      </w:r>
      <w:r w:rsidR="0062057D" w:rsidRPr="00CC0B87">
        <w:rPr>
          <w:rFonts w:cstheme="minorHAnsi"/>
          <w:sz w:val="24"/>
          <w:szCs w:val="24"/>
        </w:rPr>
        <w:t>, and mean that there is only so much we can glean from such evidence</w:t>
      </w:r>
      <w:r w:rsidR="00FB1CF9" w:rsidRPr="00CC0B87">
        <w:rPr>
          <w:rFonts w:cstheme="minorHAnsi"/>
          <w:sz w:val="24"/>
          <w:szCs w:val="24"/>
        </w:rPr>
        <w:t>.</w:t>
      </w:r>
      <w:r w:rsidR="000D7B1F" w:rsidRPr="00CC0B87">
        <w:rPr>
          <w:rFonts w:cstheme="minorHAnsi"/>
          <w:sz w:val="24"/>
          <w:szCs w:val="24"/>
        </w:rPr>
        <w:t xml:space="preserve"> </w:t>
      </w:r>
      <w:r w:rsidR="009F56A5" w:rsidRPr="00CC0B87">
        <w:rPr>
          <w:rFonts w:cstheme="minorHAnsi"/>
          <w:sz w:val="24"/>
          <w:szCs w:val="24"/>
        </w:rPr>
        <w:t xml:space="preserve">As a result of this, and other complications, </w:t>
      </w:r>
      <w:r w:rsidR="00CE4DEA" w:rsidRPr="00CC0B87">
        <w:rPr>
          <w:rFonts w:cstheme="minorHAnsi"/>
          <w:sz w:val="24"/>
          <w:szCs w:val="24"/>
        </w:rPr>
        <w:t>including</w:t>
      </w:r>
      <w:r w:rsidR="009769D9" w:rsidRPr="00CC0B87">
        <w:rPr>
          <w:rFonts w:cstheme="minorHAnsi"/>
          <w:sz w:val="24"/>
          <w:szCs w:val="24"/>
        </w:rPr>
        <w:t xml:space="preserve"> an </w:t>
      </w:r>
      <w:r w:rsidR="00CE4DEA" w:rsidRPr="00CC0B87">
        <w:rPr>
          <w:rFonts w:cstheme="minorHAnsi"/>
          <w:sz w:val="24"/>
          <w:szCs w:val="24"/>
        </w:rPr>
        <w:t>‘uneven excavation history’</w:t>
      </w:r>
      <w:r w:rsidR="00CE4DEA" w:rsidRPr="00CC0B87">
        <w:rPr>
          <w:rStyle w:val="FootnoteReference"/>
          <w:rFonts w:cstheme="minorHAnsi"/>
          <w:sz w:val="24"/>
          <w:szCs w:val="24"/>
        </w:rPr>
        <w:footnoteReference w:id="5"/>
      </w:r>
      <w:r w:rsidR="00CE4DEA" w:rsidRPr="00CC0B87">
        <w:rPr>
          <w:rFonts w:cstheme="minorHAnsi"/>
          <w:sz w:val="24"/>
          <w:szCs w:val="24"/>
        </w:rPr>
        <w:t>, due to restricted site</w:t>
      </w:r>
      <w:r w:rsidR="009769D9" w:rsidRPr="00CC0B87">
        <w:rPr>
          <w:rFonts w:cstheme="minorHAnsi"/>
          <w:sz w:val="24"/>
          <w:szCs w:val="24"/>
        </w:rPr>
        <w:t xml:space="preserve"> access, </w:t>
      </w:r>
      <w:r w:rsidR="009F56A5" w:rsidRPr="00CC0B87">
        <w:rPr>
          <w:rFonts w:cstheme="minorHAnsi"/>
          <w:sz w:val="24"/>
          <w:szCs w:val="24"/>
        </w:rPr>
        <w:t xml:space="preserve">researchers encountered in this module repeatedly come back to the reminder that, really, very little can be known for certain, </w:t>
      </w:r>
      <w:r w:rsidR="004E5028" w:rsidRPr="00CC0B87">
        <w:rPr>
          <w:rFonts w:cstheme="minorHAnsi"/>
          <w:sz w:val="24"/>
          <w:szCs w:val="24"/>
        </w:rPr>
        <w:t xml:space="preserve">a reminder </w:t>
      </w:r>
      <w:r w:rsidR="009F56A5" w:rsidRPr="00CC0B87">
        <w:rPr>
          <w:rFonts w:cstheme="minorHAnsi"/>
          <w:sz w:val="24"/>
          <w:szCs w:val="24"/>
        </w:rPr>
        <w:t>often prompted by analysis of a body</w:t>
      </w:r>
      <w:r w:rsidR="00383C8B" w:rsidRPr="00CC0B87">
        <w:rPr>
          <w:rFonts w:cstheme="minorHAnsi"/>
          <w:sz w:val="24"/>
          <w:szCs w:val="24"/>
        </w:rPr>
        <w:t>.</w:t>
      </w:r>
      <w:r w:rsidR="00356CDA" w:rsidRPr="00CC0B87">
        <w:rPr>
          <w:rFonts w:cstheme="minorHAnsi"/>
          <w:sz w:val="24"/>
          <w:szCs w:val="24"/>
        </w:rPr>
        <w:t xml:space="preserve"> </w:t>
      </w:r>
      <w:r w:rsidR="000D7B1F" w:rsidRPr="00CC0B87">
        <w:rPr>
          <w:rFonts w:cstheme="minorHAnsi"/>
          <w:sz w:val="24"/>
          <w:szCs w:val="24"/>
        </w:rPr>
        <w:t>Lorentz</w:t>
      </w:r>
      <w:r w:rsidR="00A172DF" w:rsidRPr="00CC0B87">
        <w:rPr>
          <w:rFonts w:cstheme="minorHAnsi"/>
          <w:sz w:val="24"/>
          <w:szCs w:val="24"/>
        </w:rPr>
        <w:t xml:space="preserve"> </w:t>
      </w:r>
      <w:r w:rsidR="001B5CFD" w:rsidRPr="00CC0B87">
        <w:rPr>
          <w:rFonts w:cstheme="minorHAnsi"/>
          <w:sz w:val="24"/>
          <w:szCs w:val="24"/>
        </w:rPr>
        <w:t xml:space="preserve">cites </w:t>
      </w:r>
      <w:r w:rsidR="00356CDA" w:rsidRPr="00CC0B87">
        <w:rPr>
          <w:rFonts w:cstheme="minorHAnsi"/>
          <w:sz w:val="24"/>
          <w:szCs w:val="24"/>
        </w:rPr>
        <w:t xml:space="preserve">issues arising </w:t>
      </w:r>
      <w:r w:rsidR="001B5CFD" w:rsidRPr="00CC0B87">
        <w:rPr>
          <w:rFonts w:cstheme="minorHAnsi"/>
          <w:sz w:val="24"/>
          <w:szCs w:val="24"/>
        </w:rPr>
        <w:t xml:space="preserve">partially due to </w:t>
      </w:r>
      <w:r w:rsidR="00F156FB" w:rsidRPr="00CC0B87">
        <w:rPr>
          <w:rFonts w:cstheme="minorHAnsi"/>
          <w:noProof/>
          <w:sz w:val="24"/>
          <w:szCs w:val="24"/>
        </w:rPr>
        <w:t>‘a combination of factors deriving from soil chemistry, taphonomy and ancient burial practices, as well as the vagaries of recovery and curation’</w:t>
      </w:r>
      <w:r w:rsidR="001A27D2" w:rsidRPr="00CC0B87">
        <w:rPr>
          <w:rStyle w:val="FootnoteReference"/>
          <w:rFonts w:cstheme="minorHAnsi"/>
          <w:noProof/>
          <w:sz w:val="24"/>
          <w:szCs w:val="24"/>
        </w:rPr>
        <w:footnoteReference w:id="6"/>
      </w:r>
      <w:r w:rsidR="00F156FB" w:rsidRPr="00CC0B87">
        <w:rPr>
          <w:rFonts w:cstheme="minorHAnsi"/>
          <w:noProof/>
          <w:sz w:val="24"/>
          <w:szCs w:val="24"/>
        </w:rPr>
        <w:t>.</w:t>
      </w:r>
      <w:r w:rsidR="002C3637" w:rsidRPr="00CC0B87">
        <w:rPr>
          <w:rFonts w:cstheme="minorHAnsi"/>
          <w:sz w:val="24"/>
          <w:szCs w:val="24"/>
        </w:rPr>
        <w:t xml:space="preserve"> It is emphasised that i</w:t>
      </w:r>
      <w:r w:rsidR="00A717FE" w:rsidRPr="00CC0B87">
        <w:rPr>
          <w:rFonts w:cstheme="minorHAnsi"/>
          <w:sz w:val="24"/>
          <w:szCs w:val="24"/>
        </w:rPr>
        <w:t xml:space="preserve">t is almost always beneficial </w:t>
      </w:r>
      <w:r w:rsidR="00743778" w:rsidRPr="00CC0B87">
        <w:rPr>
          <w:rFonts w:cstheme="minorHAnsi"/>
          <w:sz w:val="24"/>
          <w:szCs w:val="24"/>
        </w:rPr>
        <w:t>to refrain from stating anything in the absolute</w:t>
      </w:r>
      <w:r w:rsidR="0059334F" w:rsidRPr="00CC0B87">
        <w:rPr>
          <w:rFonts w:cstheme="minorHAnsi"/>
          <w:sz w:val="24"/>
          <w:szCs w:val="24"/>
        </w:rPr>
        <w:t>, particularly in relation to immaterial aspects of the household, such as societal divisions</w:t>
      </w:r>
      <w:r w:rsidR="00511E0E" w:rsidRPr="00CC0B87">
        <w:rPr>
          <w:rFonts w:cstheme="minorHAnsi"/>
          <w:sz w:val="24"/>
          <w:szCs w:val="24"/>
        </w:rPr>
        <w:t>, and gendered activities</w:t>
      </w:r>
      <w:r w:rsidR="00743778" w:rsidRPr="00CC0B87">
        <w:rPr>
          <w:rFonts w:cstheme="minorHAnsi"/>
          <w:sz w:val="24"/>
          <w:szCs w:val="24"/>
        </w:rPr>
        <w:t>.</w:t>
      </w:r>
      <w:r w:rsidR="007B2E2B" w:rsidRPr="00CC0B87">
        <w:rPr>
          <w:rFonts w:cstheme="minorHAnsi"/>
          <w:sz w:val="24"/>
          <w:szCs w:val="24"/>
        </w:rPr>
        <w:t xml:space="preserve"> </w:t>
      </w:r>
      <w:proofErr w:type="spellStart"/>
      <w:r w:rsidR="00867C7A" w:rsidRPr="00CC0B87">
        <w:rPr>
          <w:rFonts w:cstheme="minorHAnsi"/>
          <w:sz w:val="24"/>
          <w:szCs w:val="24"/>
        </w:rPr>
        <w:t>Budin</w:t>
      </w:r>
      <w:proofErr w:type="spellEnd"/>
      <w:r w:rsidR="00867C7A" w:rsidRPr="00CC0B87">
        <w:rPr>
          <w:rFonts w:cstheme="minorHAnsi"/>
          <w:sz w:val="24"/>
          <w:szCs w:val="24"/>
        </w:rPr>
        <w:t xml:space="preserve"> summarises other limitations on evidence for Cyprus</w:t>
      </w:r>
      <w:r w:rsidR="00EB3B94" w:rsidRPr="00CC0B87">
        <w:rPr>
          <w:rFonts w:cstheme="minorHAnsi"/>
          <w:sz w:val="24"/>
          <w:szCs w:val="24"/>
        </w:rPr>
        <w:t>, and that</w:t>
      </w:r>
      <w:r w:rsidR="00867C7A" w:rsidRPr="00CC0B87">
        <w:rPr>
          <w:rFonts w:cstheme="minorHAnsi"/>
          <w:sz w:val="24"/>
          <w:szCs w:val="24"/>
        </w:rPr>
        <w:t xml:space="preserve"> </w:t>
      </w:r>
      <w:r w:rsidR="00AC069C" w:rsidRPr="00CC0B87">
        <w:rPr>
          <w:rFonts w:cstheme="minorHAnsi"/>
          <w:sz w:val="24"/>
          <w:szCs w:val="24"/>
        </w:rPr>
        <w:t xml:space="preserve">a </w:t>
      </w:r>
      <w:r w:rsidR="007B2E2B" w:rsidRPr="00CC0B87">
        <w:rPr>
          <w:rFonts w:cstheme="minorHAnsi"/>
          <w:sz w:val="24"/>
          <w:szCs w:val="24"/>
        </w:rPr>
        <w:t>‘focus on physical evidence is demanded by the source materials available for this island. Unlike its neighbours […], Cyprus did not begin using writing until the mid-second millennium</w:t>
      </w:r>
      <w:r w:rsidR="005809B5" w:rsidRPr="00CC0B87">
        <w:rPr>
          <w:rFonts w:cstheme="minorHAnsi"/>
          <w:sz w:val="24"/>
          <w:szCs w:val="24"/>
        </w:rPr>
        <w:t>’</w:t>
      </w:r>
      <w:r w:rsidR="007B2E2B" w:rsidRPr="00CC0B87">
        <w:rPr>
          <w:rStyle w:val="FootnoteReference"/>
          <w:rFonts w:cstheme="minorHAnsi"/>
          <w:sz w:val="24"/>
          <w:szCs w:val="24"/>
        </w:rPr>
        <w:footnoteReference w:id="7"/>
      </w:r>
      <w:r w:rsidR="007B2E2B" w:rsidRPr="00CC0B87">
        <w:rPr>
          <w:rFonts w:cstheme="minorHAnsi"/>
          <w:sz w:val="24"/>
          <w:szCs w:val="24"/>
        </w:rPr>
        <w:t xml:space="preserve">, distancing us further from </w:t>
      </w:r>
      <w:r w:rsidR="005809B5" w:rsidRPr="00CC0B87">
        <w:rPr>
          <w:rFonts w:cstheme="minorHAnsi"/>
          <w:sz w:val="24"/>
          <w:szCs w:val="24"/>
        </w:rPr>
        <w:t>a human perspective of ancient Cypriots.</w:t>
      </w:r>
    </w:p>
    <w:p w14:paraId="6C136C1E" w14:textId="47EF9E6C" w:rsidR="00FE5F05" w:rsidRPr="00CC0B87" w:rsidRDefault="001C252C" w:rsidP="00CC0B87">
      <w:pPr>
        <w:spacing w:line="360" w:lineRule="auto"/>
        <w:ind w:firstLine="720"/>
        <w:rPr>
          <w:rFonts w:cstheme="minorHAnsi"/>
          <w:sz w:val="24"/>
          <w:szCs w:val="24"/>
        </w:rPr>
      </w:pPr>
      <w:r w:rsidRPr="00CC0B87">
        <w:rPr>
          <w:rFonts w:cstheme="minorHAnsi"/>
          <w:sz w:val="24"/>
          <w:szCs w:val="24"/>
        </w:rPr>
        <w:lastRenderedPageBreak/>
        <w:t xml:space="preserve">Sarah Douglas discusses furth some of the specific issues with relying heavily on burials. She </w:t>
      </w:r>
      <w:r w:rsidR="00FE5F05" w:rsidRPr="00CC0B87">
        <w:rPr>
          <w:rFonts w:cstheme="minorHAnsi"/>
          <w:sz w:val="24"/>
          <w:szCs w:val="24"/>
        </w:rPr>
        <w:t xml:space="preserve">highlights how prone Cypriot such evidence can be to damage, </w:t>
      </w:r>
      <w:proofErr w:type="gramStart"/>
      <w:r w:rsidR="00FE5F05" w:rsidRPr="00CC0B87">
        <w:rPr>
          <w:rFonts w:cstheme="minorHAnsi"/>
          <w:sz w:val="24"/>
          <w:szCs w:val="24"/>
        </w:rPr>
        <w:t>as a result of</w:t>
      </w:r>
      <w:proofErr w:type="gramEnd"/>
      <w:r w:rsidR="00FE5F05" w:rsidRPr="00CC0B87">
        <w:rPr>
          <w:rFonts w:cstheme="minorHAnsi"/>
          <w:sz w:val="24"/>
          <w:szCs w:val="24"/>
        </w:rPr>
        <w:t xml:space="preserve"> </w:t>
      </w:r>
      <w:r w:rsidR="00B57785" w:rsidRPr="00CC0B87">
        <w:rPr>
          <w:rFonts w:cstheme="minorHAnsi"/>
          <w:sz w:val="24"/>
          <w:szCs w:val="24"/>
        </w:rPr>
        <w:t>‘repeated seasonal flooding of some tombs’</w:t>
      </w:r>
      <w:r w:rsidR="00FE5F05" w:rsidRPr="00CC0B87">
        <w:rPr>
          <w:rStyle w:val="FootnoteReference"/>
          <w:rFonts w:cstheme="minorHAnsi"/>
          <w:sz w:val="24"/>
          <w:szCs w:val="24"/>
        </w:rPr>
        <w:footnoteReference w:id="8"/>
      </w:r>
      <w:r w:rsidR="00FE5F05" w:rsidRPr="00CC0B87">
        <w:rPr>
          <w:rFonts w:cstheme="minorHAnsi"/>
          <w:sz w:val="24"/>
          <w:szCs w:val="24"/>
        </w:rPr>
        <w:t xml:space="preserve">, and that, even if artefacts of use survived, </w:t>
      </w:r>
      <w:r w:rsidR="00B57785" w:rsidRPr="00CC0B87">
        <w:rPr>
          <w:rFonts w:cstheme="minorHAnsi"/>
          <w:sz w:val="24"/>
          <w:szCs w:val="24"/>
        </w:rPr>
        <w:t>‘</w:t>
      </w:r>
      <w:r w:rsidR="008D4B3F" w:rsidRPr="00CC0B87">
        <w:rPr>
          <w:rFonts w:cstheme="minorHAnsi"/>
          <w:sz w:val="24"/>
          <w:szCs w:val="24"/>
        </w:rPr>
        <w:t>f</w:t>
      </w:r>
      <w:r w:rsidR="00B57785" w:rsidRPr="00CC0B87">
        <w:rPr>
          <w:rFonts w:cstheme="minorHAnsi"/>
          <w:sz w:val="24"/>
          <w:szCs w:val="24"/>
        </w:rPr>
        <w:t>requent looting of tombs, which has occurred from antiquity and into the present day</w:t>
      </w:r>
      <w:r w:rsidR="008D4B3F" w:rsidRPr="00CC0B87">
        <w:rPr>
          <w:rFonts w:cstheme="minorHAnsi"/>
          <w:sz w:val="24"/>
          <w:szCs w:val="24"/>
        </w:rPr>
        <w:t>’</w:t>
      </w:r>
      <w:r w:rsidR="00B57785" w:rsidRPr="00CC0B87">
        <w:rPr>
          <w:rFonts w:cstheme="minorHAnsi"/>
          <w:sz w:val="24"/>
          <w:szCs w:val="24"/>
        </w:rPr>
        <w:t xml:space="preserve"> </w:t>
      </w:r>
      <w:r w:rsidR="000323F3" w:rsidRPr="00CC0B87">
        <w:rPr>
          <w:rFonts w:cstheme="minorHAnsi"/>
          <w:sz w:val="24"/>
          <w:szCs w:val="24"/>
        </w:rPr>
        <w:t xml:space="preserve">has caused inadvertent damage to human remains, in favour of valuable material goods which were taken. This </w:t>
      </w:r>
      <w:proofErr w:type="gramStart"/>
      <w:r w:rsidR="000323F3" w:rsidRPr="00CC0B87">
        <w:rPr>
          <w:rFonts w:cstheme="minorHAnsi"/>
          <w:sz w:val="24"/>
          <w:szCs w:val="24"/>
        </w:rPr>
        <w:t>in itself causes</w:t>
      </w:r>
      <w:proofErr w:type="gramEnd"/>
      <w:r w:rsidR="000323F3" w:rsidRPr="00CC0B87">
        <w:rPr>
          <w:rFonts w:cstheme="minorHAnsi"/>
          <w:sz w:val="24"/>
          <w:szCs w:val="24"/>
        </w:rPr>
        <w:t xml:space="preserve"> another problem, </w:t>
      </w:r>
      <w:r w:rsidR="005627C8" w:rsidRPr="00CC0B87">
        <w:rPr>
          <w:rFonts w:cstheme="minorHAnsi"/>
          <w:sz w:val="24"/>
          <w:szCs w:val="24"/>
        </w:rPr>
        <w:t xml:space="preserve">as looting has </w:t>
      </w:r>
      <w:r w:rsidR="008A785A" w:rsidRPr="00CC0B87">
        <w:rPr>
          <w:rFonts w:cstheme="minorHAnsi"/>
          <w:sz w:val="24"/>
          <w:szCs w:val="24"/>
        </w:rPr>
        <w:t>wound up</w:t>
      </w:r>
      <w:r w:rsidR="00B57785" w:rsidRPr="00CC0B87">
        <w:rPr>
          <w:rFonts w:cstheme="minorHAnsi"/>
          <w:sz w:val="24"/>
          <w:szCs w:val="24"/>
        </w:rPr>
        <w:t xml:space="preserve"> </w:t>
      </w:r>
      <w:r w:rsidR="008D4B3F" w:rsidRPr="00CC0B87">
        <w:rPr>
          <w:rFonts w:cstheme="minorHAnsi"/>
          <w:sz w:val="24"/>
          <w:szCs w:val="24"/>
        </w:rPr>
        <w:t>‘</w:t>
      </w:r>
      <w:r w:rsidR="00B57785" w:rsidRPr="00CC0B87">
        <w:rPr>
          <w:rFonts w:cstheme="minorHAnsi"/>
          <w:sz w:val="24"/>
          <w:szCs w:val="24"/>
        </w:rPr>
        <w:t>creating an extensive number of unprovenanced artefacts which are now held in private collections’</w:t>
      </w:r>
      <w:r w:rsidR="00B57785" w:rsidRPr="00CC0B87">
        <w:rPr>
          <w:rStyle w:val="FootnoteReference"/>
          <w:rFonts w:cstheme="minorHAnsi"/>
          <w:sz w:val="24"/>
          <w:szCs w:val="24"/>
        </w:rPr>
        <w:footnoteReference w:id="9"/>
      </w:r>
      <w:r w:rsidR="008A785A" w:rsidRPr="00CC0B87">
        <w:rPr>
          <w:rFonts w:cstheme="minorHAnsi"/>
          <w:sz w:val="24"/>
          <w:szCs w:val="24"/>
        </w:rPr>
        <w:t xml:space="preserve">, without accurate excavation records, </w:t>
      </w:r>
      <w:r w:rsidR="00475DA7" w:rsidRPr="00CC0B87">
        <w:rPr>
          <w:rFonts w:cstheme="minorHAnsi"/>
          <w:sz w:val="24"/>
          <w:szCs w:val="24"/>
        </w:rPr>
        <w:t>and to which private owners may restrict research access.</w:t>
      </w:r>
    </w:p>
    <w:p w14:paraId="6DDC736D" w14:textId="7E79700B" w:rsidR="00A30171" w:rsidRPr="00CC0B87" w:rsidRDefault="002936FD" w:rsidP="00CC0B87">
      <w:pPr>
        <w:spacing w:line="360" w:lineRule="auto"/>
        <w:ind w:firstLine="720"/>
        <w:rPr>
          <w:rFonts w:cstheme="minorHAnsi"/>
          <w:sz w:val="24"/>
          <w:szCs w:val="24"/>
        </w:rPr>
      </w:pPr>
      <w:r w:rsidRPr="00CC0B87">
        <w:rPr>
          <w:rFonts w:cstheme="minorHAnsi"/>
          <w:sz w:val="24"/>
          <w:szCs w:val="24"/>
        </w:rPr>
        <w:t>Th</w:t>
      </w:r>
      <w:r w:rsidR="004A6A77" w:rsidRPr="00CC0B87">
        <w:rPr>
          <w:rFonts w:cstheme="minorHAnsi"/>
          <w:sz w:val="24"/>
          <w:szCs w:val="24"/>
        </w:rPr>
        <w:t>e</w:t>
      </w:r>
      <w:r w:rsidRPr="00CC0B87">
        <w:rPr>
          <w:rFonts w:cstheme="minorHAnsi"/>
          <w:sz w:val="24"/>
          <w:szCs w:val="24"/>
        </w:rPr>
        <w:t xml:space="preserve"> </w:t>
      </w:r>
      <w:r w:rsidR="00ED40C0" w:rsidRPr="00CC0B87">
        <w:rPr>
          <w:rFonts w:cstheme="minorHAnsi"/>
          <w:sz w:val="24"/>
          <w:szCs w:val="24"/>
        </w:rPr>
        <w:t xml:space="preserve">dilemma </w:t>
      </w:r>
      <w:r w:rsidR="004A6A77" w:rsidRPr="00CC0B87">
        <w:rPr>
          <w:rFonts w:cstheme="minorHAnsi"/>
          <w:sz w:val="24"/>
          <w:szCs w:val="24"/>
        </w:rPr>
        <w:t xml:space="preserve">of this </w:t>
      </w:r>
      <w:r w:rsidRPr="00CC0B87">
        <w:rPr>
          <w:rFonts w:cstheme="minorHAnsi"/>
          <w:sz w:val="24"/>
          <w:szCs w:val="24"/>
        </w:rPr>
        <w:t xml:space="preserve">was expressed, memorably, by Tringham, who, when asked to give insight into the daily lives of </w:t>
      </w:r>
      <w:r w:rsidR="00F7701C" w:rsidRPr="00CC0B87">
        <w:rPr>
          <w:rFonts w:cstheme="minorHAnsi"/>
          <w:sz w:val="24"/>
          <w:szCs w:val="24"/>
        </w:rPr>
        <w:t xml:space="preserve">prehistoric peoples she </w:t>
      </w:r>
      <w:r w:rsidR="00286EC6" w:rsidRPr="00CC0B87">
        <w:rPr>
          <w:rFonts w:cstheme="minorHAnsi"/>
          <w:sz w:val="24"/>
          <w:szCs w:val="24"/>
        </w:rPr>
        <w:t>responded with initial confusion, before answering</w:t>
      </w:r>
      <w:r w:rsidR="00217196" w:rsidRPr="00CC0B87">
        <w:rPr>
          <w:rFonts w:cstheme="minorHAnsi"/>
          <w:sz w:val="24"/>
          <w:szCs w:val="24"/>
        </w:rPr>
        <w:t xml:space="preserve"> ‘there’s a house, and cows, and pigs, </w:t>
      </w:r>
      <w:r w:rsidR="002B34C7" w:rsidRPr="00CC0B87">
        <w:rPr>
          <w:rFonts w:cstheme="minorHAnsi"/>
          <w:sz w:val="24"/>
          <w:szCs w:val="24"/>
        </w:rPr>
        <w:t>and garbage…’, then, of the people themselves, ‘I see … a lot of faceless blobs’</w:t>
      </w:r>
      <w:r w:rsidR="002B34C7" w:rsidRPr="00CC0B87">
        <w:rPr>
          <w:rStyle w:val="FootnoteReference"/>
          <w:rFonts w:cstheme="minorHAnsi"/>
          <w:sz w:val="24"/>
          <w:szCs w:val="24"/>
        </w:rPr>
        <w:footnoteReference w:id="10"/>
      </w:r>
      <w:r w:rsidR="002B34C7" w:rsidRPr="00CC0B87">
        <w:rPr>
          <w:rFonts w:cstheme="minorHAnsi"/>
          <w:sz w:val="24"/>
          <w:szCs w:val="24"/>
        </w:rPr>
        <w:t>.</w:t>
      </w:r>
      <w:r w:rsidR="00F35EC4" w:rsidRPr="00CC0B87">
        <w:rPr>
          <w:rFonts w:cstheme="minorHAnsi"/>
          <w:sz w:val="24"/>
          <w:szCs w:val="24"/>
        </w:rPr>
        <w:t xml:space="preserve"> </w:t>
      </w:r>
      <w:r w:rsidR="00CE6D69" w:rsidRPr="00CC0B87">
        <w:rPr>
          <w:rFonts w:cstheme="minorHAnsi"/>
          <w:sz w:val="24"/>
          <w:szCs w:val="24"/>
        </w:rPr>
        <w:t xml:space="preserve">The struggle to </w:t>
      </w:r>
      <w:r w:rsidR="00B961F0" w:rsidRPr="00CC0B87">
        <w:rPr>
          <w:rFonts w:cstheme="minorHAnsi"/>
          <w:sz w:val="24"/>
          <w:szCs w:val="24"/>
        </w:rPr>
        <w:t xml:space="preserve">obtain information, Tringham despairs, </w:t>
      </w:r>
      <w:r w:rsidR="009668DF" w:rsidRPr="00CC0B87">
        <w:rPr>
          <w:rFonts w:cstheme="minorHAnsi"/>
          <w:sz w:val="24"/>
          <w:szCs w:val="24"/>
        </w:rPr>
        <w:t>‘leaves prehistory</w:t>
      </w:r>
      <w:r w:rsidR="00392778" w:rsidRPr="00CC0B87">
        <w:rPr>
          <w:rFonts w:cstheme="minorHAnsi"/>
          <w:sz w:val="24"/>
          <w:szCs w:val="24"/>
        </w:rPr>
        <w:t xml:space="preserve"> hanging in a cloudy nowhere-land of faceless, genderless categories’</w:t>
      </w:r>
      <w:r w:rsidR="00541AF3" w:rsidRPr="00CC0B87">
        <w:rPr>
          <w:rStyle w:val="FootnoteReference"/>
          <w:rFonts w:cstheme="minorHAnsi"/>
          <w:sz w:val="24"/>
          <w:szCs w:val="24"/>
        </w:rPr>
        <w:footnoteReference w:id="11"/>
      </w:r>
      <w:r w:rsidR="00B961F0" w:rsidRPr="00CC0B87">
        <w:rPr>
          <w:rFonts w:cstheme="minorHAnsi"/>
          <w:sz w:val="24"/>
          <w:szCs w:val="24"/>
        </w:rPr>
        <w:t xml:space="preserve">. </w:t>
      </w:r>
      <w:r w:rsidR="00ED40C0" w:rsidRPr="00CC0B87">
        <w:rPr>
          <w:rFonts w:cstheme="minorHAnsi"/>
          <w:sz w:val="24"/>
          <w:szCs w:val="24"/>
        </w:rPr>
        <w:t xml:space="preserve">Despite this, however, there </w:t>
      </w:r>
      <w:r w:rsidR="00E63E75" w:rsidRPr="00CC0B87">
        <w:rPr>
          <w:rFonts w:cstheme="minorHAnsi"/>
          <w:sz w:val="24"/>
          <w:szCs w:val="24"/>
        </w:rPr>
        <w:t>have</w:t>
      </w:r>
      <w:r w:rsidR="00ED40C0" w:rsidRPr="00CC0B87">
        <w:rPr>
          <w:rFonts w:cstheme="minorHAnsi"/>
          <w:sz w:val="24"/>
          <w:szCs w:val="24"/>
        </w:rPr>
        <w:t xml:space="preserve"> still</w:t>
      </w:r>
      <w:r w:rsidR="00E63E75" w:rsidRPr="00CC0B87">
        <w:rPr>
          <w:rFonts w:cstheme="minorHAnsi"/>
          <w:sz w:val="24"/>
          <w:szCs w:val="24"/>
        </w:rPr>
        <w:t xml:space="preserve"> been</w:t>
      </w:r>
      <w:r w:rsidR="00ED40C0" w:rsidRPr="00CC0B87">
        <w:rPr>
          <w:rFonts w:cstheme="minorHAnsi"/>
          <w:sz w:val="24"/>
          <w:szCs w:val="24"/>
        </w:rPr>
        <w:t xml:space="preserve"> </w:t>
      </w:r>
      <w:r w:rsidR="00541AF3" w:rsidRPr="00CC0B87">
        <w:rPr>
          <w:rFonts w:cstheme="minorHAnsi"/>
          <w:sz w:val="24"/>
          <w:szCs w:val="24"/>
        </w:rPr>
        <w:t>insight</w:t>
      </w:r>
      <w:r w:rsidR="00E63E75" w:rsidRPr="00CC0B87">
        <w:rPr>
          <w:rFonts w:cstheme="minorHAnsi"/>
          <w:sz w:val="24"/>
          <w:szCs w:val="24"/>
        </w:rPr>
        <w:t>s</w:t>
      </w:r>
      <w:r w:rsidR="00541AF3" w:rsidRPr="00CC0B87">
        <w:rPr>
          <w:rFonts w:cstheme="minorHAnsi"/>
          <w:sz w:val="24"/>
          <w:szCs w:val="24"/>
        </w:rPr>
        <w:t xml:space="preserve"> gained</w:t>
      </w:r>
      <w:r w:rsidR="00CE6D69" w:rsidRPr="00CC0B87">
        <w:rPr>
          <w:rFonts w:cstheme="minorHAnsi"/>
          <w:sz w:val="24"/>
          <w:szCs w:val="24"/>
        </w:rPr>
        <w:t xml:space="preserve"> </w:t>
      </w:r>
      <w:r w:rsidR="00541AF3" w:rsidRPr="00CC0B87">
        <w:rPr>
          <w:rFonts w:cstheme="minorHAnsi"/>
          <w:sz w:val="24"/>
          <w:szCs w:val="24"/>
        </w:rPr>
        <w:t>from various mediums regarding the structure of the household and how it interacted with wider society. For instance</w:t>
      </w:r>
      <w:r w:rsidR="00EB198A" w:rsidRPr="00CC0B87">
        <w:rPr>
          <w:rFonts w:cstheme="minorHAnsi"/>
          <w:sz w:val="24"/>
          <w:szCs w:val="24"/>
        </w:rPr>
        <w:t>,</w:t>
      </w:r>
      <w:r w:rsidR="00C001C9" w:rsidRPr="00CC0B87">
        <w:rPr>
          <w:rFonts w:cstheme="minorHAnsi"/>
          <w:sz w:val="24"/>
          <w:szCs w:val="24"/>
        </w:rPr>
        <w:t xml:space="preserve"> how households </w:t>
      </w:r>
      <w:r w:rsidR="00AC5521" w:rsidRPr="00CC0B87">
        <w:rPr>
          <w:rFonts w:cstheme="minorHAnsi"/>
          <w:sz w:val="24"/>
          <w:szCs w:val="24"/>
        </w:rPr>
        <w:t>may have been</w:t>
      </w:r>
      <w:r w:rsidR="00C001C9" w:rsidRPr="00CC0B87">
        <w:rPr>
          <w:rFonts w:cstheme="minorHAnsi"/>
          <w:sz w:val="24"/>
          <w:szCs w:val="24"/>
        </w:rPr>
        <w:t xml:space="preserve"> structured in relation to gender roles</w:t>
      </w:r>
      <w:r w:rsidR="00541AF3" w:rsidRPr="00CC0B87">
        <w:rPr>
          <w:rFonts w:cstheme="minorHAnsi"/>
          <w:sz w:val="24"/>
          <w:szCs w:val="24"/>
        </w:rPr>
        <w:t xml:space="preserve">, and how this </w:t>
      </w:r>
      <w:r w:rsidR="00EB198A" w:rsidRPr="00CC0B87">
        <w:rPr>
          <w:rFonts w:cstheme="minorHAnsi"/>
          <w:sz w:val="24"/>
          <w:szCs w:val="24"/>
        </w:rPr>
        <w:t>relates to the significance of children in Bronze Age Cyprus.</w:t>
      </w:r>
    </w:p>
    <w:p w14:paraId="4B6AE4EE" w14:textId="22E1D8B3" w:rsidR="00CF5265" w:rsidRPr="00CC0B87" w:rsidRDefault="00D348F7" w:rsidP="00CC0B87">
      <w:pPr>
        <w:spacing w:line="360" w:lineRule="auto"/>
        <w:rPr>
          <w:rFonts w:cstheme="minorHAnsi"/>
          <w:sz w:val="24"/>
          <w:szCs w:val="24"/>
        </w:rPr>
      </w:pPr>
      <w:r w:rsidRPr="00CC0B87">
        <w:rPr>
          <w:rFonts w:cstheme="minorHAnsi"/>
          <w:sz w:val="24"/>
          <w:szCs w:val="24"/>
        </w:rPr>
        <w:tab/>
        <w:t>The attitudes towards gender</w:t>
      </w:r>
      <w:r w:rsidR="003D44B6" w:rsidRPr="00CC0B87">
        <w:rPr>
          <w:rFonts w:cstheme="minorHAnsi"/>
          <w:sz w:val="24"/>
          <w:szCs w:val="24"/>
        </w:rPr>
        <w:t xml:space="preserve"> and age</w:t>
      </w:r>
      <w:r w:rsidRPr="00CC0B87">
        <w:rPr>
          <w:rFonts w:cstheme="minorHAnsi"/>
          <w:sz w:val="24"/>
          <w:szCs w:val="24"/>
        </w:rPr>
        <w:t xml:space="preserve"> division </w:t>
      </w:r>
      <w:r w:rsidR="006177A2" w:rsidRPr="00CC0B87">
        <w:rPr>
          <w:rFonts w:cstheme="minorHAnsi"/>
          <w:sz w:val="24"/>
          <w:szCs w:val="24"/>
        </w:rPr>
        <w:t>are often perceived as restrictive in our own society</w:t>
      </w:r>
      <w:r w:rsidR="00A81D2B" w:rsidRPr="00CC0B87">
        <w:rPr>
          <w:rFonts w:cstheme="minorHAnsi"/>
          <w:sz w:val="24"/>
          <w:szCs w:val="24"/>
        </w:rPr>
        <w:t xml:space="preserve">. There is </w:t>
      </w:r>
      <w:r w:rsidR="0037431E" w:rsidRPr="00CC0B87">
        <w:rPr>
          <w:rFonts w:cstheme="minorHAnsi"/>
          <w:sz w:val="24"/>
          <w:szCs w:val="24"/>
        </w:rPr>
        <w:t xml:space="preserve">naturally the risk that interpretations of the ancient world </w:t>
      </w:r>
      <w:r w:rsidR="00FC2261" w:rsidRPr="00CC0B87">
        <w:rPr>
          <w:rFonts w:cstheme="minorHAnsi"/>
          <w:sz w:val="24"/>
          <w:szCs w:val="24"/>
        </w:rPr>
        <w:t xml:space="preserve">can be made to </w:t>
      </w:r>
      <w:r w:rsidR="0037431E" w:rsidRPr="00CC0B87">
        <w:rPr>
          <w:rFonts w:cstheme="minorHAnsi"/>
          <w:sz w:val="24"/>
          <w:szCs w:val="24"/>
        </w:rPr>
        <w:t xml:space="preserve">mirror </w:t>
      </w:r>
      <w:r w:rsidR="007749F2" w:rsidRPr="00CC0B87">
        <w:rPr>
          <w:rFonts w:cstheme="minorHAnsi"/>
          <w:sz w:val="24"/>
          <w:szCs w:val="24"/>
        </w:rPr>
        <w:t>the</w:t>
      </w:r>
      <w:r w:rsidR="0037431E" w:rsidRPr="00CC0B87">
        <w:rPr>
          <w:rFonts w:cstheme="minorHAnsi"/>
          <w:sz w:val="24"/>
          <w:szCs w:val="24"/>
        </w:rPr>
        <w:t xml:space="preserve"> comfortable </w:t>
      </w:r>
      <w:r w:rsidR="007749F2" w:rsidRPr="00CC0B87">
        <w:rPr>
          <w:rFonts w:cstheme="minorHAnsi"/>
          <w:sz w:val="24"/>
          <w:szCs w:val="24"/>
        </w:rPr>
        <w:t xml:space="preserve">or most widely accepted </w:t>
      </w:r>
      <w:r w:rsidR="0037431E" w:rsidRPr="00CC0B87">
        <w:rPr>
          <w:rFonts w:cstheme="minorHAnsi"/>
          <w:sz w:val="24"/>
          <w:szCs w:val="24"/>
        </w:rPr>
        <w:t xml:space="preserve">perception of our own </w:t>
      </w:r>
      <w:r w:rsidR="007749F2" w:rsidRPr="00CC0B87">
        <w:rPr>
          <w:rFonts w:cstheme="minorHAnsi"/>
          <w:sz w:val="24"/>
          <w:szCs w:val="24"/>
        </w:rPr>
        <w:t>society.</w:t>
      </w:r>
      <w:r w:rsidR="00FA3404" w:rsidRPr="00CC0B87">
        <w:rPr>
          <w:rFonts w:cstheme="minorHAnsi"/>
          <w:sz w:val="24"/>
          <w:szCs w:val="24"/>
        </w:rPr>
        <w:t xml:space="preserve"> </w:t>
      </w:r>
      <w:r w:rsidR="009E54B9" w:rsidRPr="00CC0B87">
        <w:rPr>
          <w:rFonts w:cstheme="minorHAnsi"/>
          <w:sz w:val="24"/>
          <w:szCs w:val="24"/>
        </w:rPr>
        <w:t>However, t</w:t>
      </w:r>
      <w:r w:rsidR="00FA3404" w:rsidRPr="00CC0B87">
        <w:rPr>
          <w:rFonts w:cstheme="minorHAnsi"/>
          <w:sz w:val="24"/>
          <w:szCs w:val="24"/>
        </w:rPr>
        <w:t>here are various means through which we can gain</w:t>
      </w:r>
      <w:r w:rsidR="00CA6CAC" w:rsidRPr="00CC0B87">
        <w:rPr>
          <w:rFonts w:cstheme="minorHAnsi"/>
          <w:sz w:val="24"/>
          <w:szCs w:val="24"/>
        </w:rPr>
        <w:t xml:space="preserve"> useful</w:t>
      </w:r>
      <w:r w:rsidR="00FA3404" w:rsidRPr="00CC0B87">
        <w:rPr>
          <w:rFonts w:cstheme="minorHAnsi"/>
          <w:sz w:val="24"/>
          <w:szCs w:val="24"/>
        </w:rPr>
        <w:t xml:space="preserve"> insight into social constructs in ancient Cyprus. One of these is through the analysis of </w:t>
      </w:r>
      <w:r w:rsidR="00E577AD" w:rsidRPr="00CC0B87">
        <w:rPr>
          <w:rFonts w:cstheme="minorHAnsi"/>
          <w:sz w:val="24"/>
          <w:szCs w:val="24"/>
        </w:rPr>
        <w:t>bodies and burial deposits.</w:t>
      </w:r>
      <w:r w:rsidR="00FB7B75" w:rsidRPr="00CC0B87">
        <w:rPr>
          <w:rFonts w:cstheme="minorHAnsi"/>
          <w:sz w:val="24"/>
          <w:szCs w:val="24"/>
        </w:rPr>
        <w:t xml:space="preserve"> </w:t>
      </w:r>
      <w:r w:rsidR="00F409F9" w:rsidRPr="00CC0B87">
        <w:rPr>
          <w:rFonts w:cstheme="minorHAnsi"/>
          <w:sz w:val="24"/>
          <w:szCs w:val="24"/>
        </w:rPr>
        <w:t xml:space="preserve">This can help in determining how burial practices differ according to age, status and possibly gender. </w:t>
      </w:r>
      <w:r w:rsidR="0065276B" w:rsidRPr="00CC0B87">
        <w:rPr>
          <w:rFonts w:cstheme="minorHAnsi"/>
          <w:sz w:val="24"/>
          <w:szCs w:val="24"/>
        </w:rPr>
        <w:t xml:space="preserve">As a result, examining burials can help to </w:t>
      </w:r>
      <w:r w:rsidR="001B2DA1" w:rsidRPr="00CC0B87">
        <w:rPr>
          <w:rFonts w:cstheme="minorHAnsi"/>
          <w:sz w:val="24"/>
          <w:szCs w:val="24"/>
        </w:rPr>
        <w:t xml:space="preserve">create a picture of how people were treated </w:t>
      </w:r>
      <w:r w:rsidR="00CA6CAC" w:rsidRPr="00CC0B87">
        <w:rPr>
          <w:rFonts w:cstheme="minorHAnsi"/>
          <w:sz w:val="24"/>
          <w:szCs w:val="24"/>
        </w:rPr>
        <w:t xml:space="preserve">and categorised </w:t>
      </w:r>
      <w:r w:rsidR="001B2DA1" w:rsidRPr="00CC0B87">
        <w:rPr>
          <w:rFonts w:cstheme="minorHAnsi"/>
          <w:sz w:val="24"/>
          <w:szCs w:val="24"/>
        </w:rPr>
        <w:t>in life.</w:t>
      </w:r>
      <w:r w:rsidR="000E0C0E" w:rsidRPr="00CC0B87">
        <w:rPr>
          <w:rFonts w:cstheme="minorHAnsi"/>
          <w:sz w:val="24"/>
          <w:szCs w:val="24"/>
        </w:rPr>
        <w:t xml:space="preserve"> When examining age, Lorentz again draws back to the idea that presumption can be very damaging to the representation of ancient people, and that, even in accurate careful examination of bodies and age,</w:t>
      </w:r>
      <w:r w:rsidR="0025596E" w:rsidRPr="00CC0B87">
        <w:rPr>
          <w:rFonts w:cstheme="minorHAnsi"/>
          <w:sz w:val="24"/>
          <w:szCs w:val="24"/>
        </w:rPr>
        <w:t xml:space="preserve"> modern perspective </w:t>
      </w:r>
      <w:r w:rsidR="0025596E" w:rsidRPr="00CC0B87">
        <w:rPr>
          <w:rFonts w:cstheme="minorHAnsi"/>
          <w:sz w:val="24"/>
          <w:szCs w:val="24"/>
        </w:rPr>
        <w:lastRenderedPageBreak/>
        <w:t>affects the ‘kind of age’ we value</w:t>
      </w:r>
      <w:r w:rsidR="00D67BD5" w:rsidRPr="00CC0B87">
        <w:rPr>
          <w:rFonts w:cstheme="minorHAnsi"/>
          <w:sz w:val="24"/>
          <w:szCs w:val="24"/>
        </w:rPr>
        <w:t xml:space="preserve"> -</w:t>
      </w:r>
      <w:r w:rsidR="002F6FC9" w:rsidRPr="00CC0B87">
        <w:rPr>
          <w:rFonts w:cstheme="minorHAnsi"/>
          <w:sz w:val="24"/>
          <w:szCs w:val="24"/>
        </w:rPr>
        <w:t xml:space="preserve"> </w:t>
      </w:r>
      <w:r w:rsidR="0025596E" w:rsidRPr="00CC0B87">
        <w:rPr>
          <w:rFonts w:cstheme="minorHAnsi"/>
          <w:sz w:val="24"/>
          <w:szCs w:val="24"/>
        </w:rPr>
        <w:t>‘</w:t>
      </w:r>
      <w:r w:rsidR="002F6FC9" w:rsidRPr="00CC0B87">
        <w:rPr>
          <w:rFonts w:cstheme="minorHAnsi"/>
          <w:sz w:val="24"/>
          <w:szCs w:val="24"/>
        </w:rPr>
        <w:t>t</w:t>
      </w:r>
      <w:r w:rsidR="0025596E" w:rsidRPr="00CC0B87">
        <w:rPr>
          <w:rFonts w:cstheme="minorHAnsi"/>
          <w:sz w:val="24"/>
          <w:szCs w:val="24"/>
        </w:rPr>
        <w:t xml:space="preserve">oo often chronological </w:t>
      </w:r>
      <w:r w:rsidR="00333ABE" w:rsidRPr="00CC0B87">
        <w:rPr>
          <w:rFonts w:cstheme="minorHAnsi"/>
          <w:noProof/>
          <w:sz w:val="24"/>
          <w:szCs w:val="24"/>
        </w:rPr>
        <mc:AlternateContent>
          <mc:Choice Requires="wps">
            <w:drawing>
              <wp:anchor distT="0" distB="0" distL="114300" distR="114300" simplePos="0" relativeHeight="251660288" behindDoc="1" locked="0" layoutInCell="1" allowOverlap="1" wp14:anchorId="2E6536D0" wp14:editId="089A873C">
                <wp:simplePos x="0" y="0"/>
                <wp:positionH relativeFrom="column">
                  <wp:posOffset>3959225</wp:posOffset>
                </wp:positionH>
                <wp:positionV relativeFrom="paragraph">
                  <wp:posOffset>4341495</wp:posOffset>
                </wp:positionV>
                <wp:extent cx="1988185"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1988185" cy="635"/>
                        </a:xfrm>
                        <a:prstGeom prst="rect">
                          <a:avLst/>
                        </a:prstGeom>
                        <a:solidFill>
                          <a:prstClr val="white"/>
                        </a:solidFill>
                        <a:ln>
                          <a:noFill/>
                        </a:ln>
                      </wps:spPr>
                      <wps:txbx>
                        <w:txbxContent>
                          <w:p w14:paraId="56CD2927" w14:textId="58CA2622" w:rsidR="00333ABE" w:rsidRPr="00BF646E" w:rsidRDefault="00333ABE" w:rsidP="00333ABE">
                            <w:pPr>
                              <w:pStyle w:val="Caption"/>
                              <w:rPr>
                                <w:rFonts w:cstheme="minorHAnsi"/>
                                <w:sz w:val="24"/>
                                <w:szCs w:val="24"/>
                              </w:rPr>
                            </w:pPr>
                            <w:r>
                              <w:t xml:space="preserve">Figure </w:t>
                            </w:r>
                            <w:r w:rsidR="00D45810">
                              <w:fldChar w:fldCharType="begin"/>
                            </w:r>
                            <w:r w:rsidR="00D45810">
                              <w:instrText xml:space="preserve"> SEQ Figure \* ARABIC </w:instrText>
                            </w:r>
                            <w:r w:rsidR="00D45810">
                              <w:fldChar w:fldCharType="separate"/>
                            </w:r>
                            <w:r w:rsidR="00274716">
                              <w:rPr>
                                <w:noProof/>
                              </w:rPr>
                              <w:t>1</w:t>
                            </w:r>
                            <w:r w:rsidR="00D45810">
                              <w:rPr>
                                <w:noProof/>
                              </w:rPr>
                              <w:fldChar w:fldCharType="end"/>
                            </w:r>
                            <w:r>
                              <w:t xml:space="preserve"> Lorentz, 20</w:t>
                            </w:r>
                            <w:r w:rsidR="003970EC">
                              <w:t>05</w:t>
                            </w:r>
                            <w:r>
                              <w:t>, Plate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E6536D0" id="_x0000_t202" coordsize="21600,21600" o:spt="202" path="m,l,21600r21600,l21600,xe">
                <v:stroke joinstyle="miter"/>
                <v:path gradientshapeok="t" o:connecttype="rect"/>
              </v:shapetype>
              <v:shape id="Text Box 1" o:spid="_x0000_s1026" type="#_x0000_t202" style="position:absolute;margin-left:311.75pt;margin-top:341.85pt;width:156.5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" stroked="f">
                <v:textbox style="mso-fit-shape-to-text:t" inset="0,0,0,0">
                  <w:txbxContent>
                    <w:p w14:paraId="56CD2927" w14:textId="58CA2622" w:rsidR="00333ABE" w:rsidRPr="00BF646E" w:rsidRDefault="00333ABE" w:rsidP="00333ABE">
                      <w:pPr>
                        <w:pStyle w:val="Caption"/>
                        <w:rPr>
                          <w:rFonts w:cstheme="minorHAnsi"/>
                          <w:sz w:val="24"/>
                          <w:szCs w:val="24"/>
                        </w:rPr>
                      </w:pPr>
                      <w:r>
                        <w:t xml:space="preserve">Figure </w:t>
                      </w:r>
                      <w:r w:rsidR="00D45810">
                        <w:fldChar w:fldCharType="begin"/>
                      </w:r>
                      <w:r w:rsidR="00D45810">
                        <w:instrText xml:space="preserve"> SEQ Figure \* ARABIC </w:instrText>
                      </w:r>
                      <w:r w:rsidR="00D45810">
                        <w:fldChar w:fldCharType="separate"/>
                      </w:r>
                      <w:r w:rsidR="00274716">
                        <w:rPr>
                          <w:noProof/>
                        </w:rPr>
                        <w:t>1</w:t>
                      </w:r>
                      <w:r w:rsidR="00D45810">
                        <w:rPr>
                          <w:noProof/>
                        </w:rPr>
                        <w:fldChar w:fldCharType="end"/>
                      </w:r>
                      <w:r>
                        <w:t xml:space="preserve"> Lorentz, 20</w:t>
                      </w:r>
                      <w:r w:rsidR="003970EC">
                        <w:t>05</w:t>
                      </w:r>
                      <w:r>
                        <w:t>, Plate 6</w:t>
                      </w:r>
                    </w:p>
                  </w:txbxContent>
                </v:textbox>
                <w10:wrap type="tight"/>
              </v:shape>
            </w:pict>
          </mc:Fallback>
        </mc:AlternateContent>
      </w:r>
      <w:r w:rsidR="002D6CC0" w:rsidRPr="00CC0B87">
        <w:rPr>
          <w:rFonts w:cstheme="minorHAnsi"/>
          <w:noProof/>
          <w:sz w:val="24"/>
          <w:szCs w:val="24"/>
        </w:rPr>
        <w:drawing>
          <wp:anchor distT="0" distB="0" distL="114300" distR="114300" simplePos="0" relativeHeight="251658240" behindDoc="1" locked="0" layoutInCell="1" allowOverlap="1" wp14:anchorId="34AF6F0D" wp14:editId="20AD8C21">
            <wp:simplePos x="0" y="0"/>
            <wp:positionH relativeFrom="margin">
              <wp:posOffset>3959225</wp:posOffset>
            </wp:positionH>
            <wp:positionV relativeFrom="paragraph">
              <wp:posOffset>1373505</wp:posOffset>
            </wp:positionV>
            <wp:extent cx="1988185" cy="2910840"/>
            <wp:effectExtent l="0" t="0" r="0" b="3810"/>
            <wp:wrapTight wrapText="bothSides">
              <wp:wrapPolygon edited="0">
                <wp:start x="0" y="0"/>
                <wp:lineTo x="0" y="21487"/>
                <wp:lineTo x="21317" y="21487"/>
                <wp:lineTo x="21317" y="0"/>
                <wp:lineTo x="0" y="0"/>
              </wp:wrapPolygon>
            </wp:wrapTight>
            <wp:docPr id="21" name="Picture 21" descr="A close-up of a sculp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up of a sculptur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988185" cy="2910840"/>
                    </a:xfrm>
                    <a:prstGeom prst="rect">
                      <a:avLst/>
                    </a:prstGeom>
                  </pic:spPr>
                </pic:pic>
              </a:graphicData>
            </a:graphic>
          </wp:anchor>
        </w:drawing>
      </w:r>
      <w:r w:rsidR="0025596E" w:rsidRPr="00CC0B87">
        <w:rPr>
          <w:rFonts w:cstheme="minorHAnsi"/>
          <w:sz w:val="24"/>
          <w:szCs w:val="24"/>
        </w:rPr>
        <w:t>age has been afforded the prime place in archaeological analyses, due to our contemporary Western cultural baggage’</w:t>
      </w:r>
      <w:r w:rsidR="0025596E" w:rsidRPr="00CC0B87">
        <w:rPr>
          <w:rStyle w:val="FootnoteReference"/>
          <w:rFonts w:cstheme="minorHAnsi"/>
          <w:sz w:val="24"/>
          <w:szCs w:val="24"/>
        </w:rPr>
        <w:footnoteReference w:id="12"/>
      </w:r>
      <w:r w:rsidR="00D67BD5" w:rsidRPr="00CC0B87">
        <w:rPr>
          <w:rFonts w:cstheme="minorHAnsi"/>
          <w:sz w:val="24"/>
          <w:szCs w:val="24"/>
        </w:rPr>
        <w:t>.</w:t>
      </w:r>
      <w:r w:rsidR="005A0160" w:rsidRPr="00CC0B87">
        <w:rPr>
          <w:rFonts w:cstheme="minorHAnsi"/>
          <w:sz w:val="24"/>
          <w:szCs w:val="24"/>
        </w:rPr>
        <w:t xml:space="preserve"> Here, Lorentz argues that there are other types of age that can hold significance</w:t>
      </w:r>
      <w:r w:rsidR="0021102F" w:rsidRPr="00CC0B87">
        <w:rPr>
          <w:rFonts w:cstheme="minorHAnsi"/>
          <w:sz w:val="24"/>
          <w:szCs w:val="24"/>
        </w:rPr>
        <w:t xml:space="preserve"> within society</w:t>
      </w:r>
      <w:r w:rsidR="00EE7973" w:rsidRPr="00CC0B87">
        <w:rPr>
          <w:rFonts w:cstheme="minorHAnsi"/>
          <w:sz w:val="24"/>
          <w:szCs w:val="24"/>
        </w:rPr>
        <w:t>, and impact burial treatment</w:t>
      </w:r>
      <w:r w:rsidR="0021102F" w:rsidRPr="00CC0B87">
        <w:rPr>
          <w:rFonts w:cstheme="minorHAnsi"/>
          <w:sz w:val="24"/>
          <w:szCs w:val="24"/>
        </w:rPr>
        <w:t>. For instance, emotional maturity</w:t>
      </w:r>
      <w:r w:rsidR="005659A0" w:rsidRPr="00CC0B87">
        <w:rPr>
          <w:rFonts w:cstheme="minorHAnsi"/>
          <w:sz w:val="24"/>
          <w:szCs w:val="24"/>
        </w:rPr>
        <w:t>,</w:t>
      </w:r>
      <w:r w:rsidR="006F52A0" w:rsidRPr="00CC0B87">
        <w:rPr>
          <w:rFonts w:cstheme="minorHAnsi"/>
          <w:sz w:val="24"/>
          <w:szCs w:val="24"/>
        </w:rPr>
        <w:t xml:space="preserve"> or</w:t>
      </w:r>
      <w:r w:rsidR="0021102F" w:rsidRPr="00CC0B87">
        <w:rPr>
          <w:rFonts w:cstheme="minorHAnsi"/>
          <w:sz w:val="24"/>
          <w:szCs w:val="24"/>
        </w:rPr>
        <w:t xml:space="preserve"> the passing through certain rituals which mark development</w:t>
      </w:r>
      <w:r w:rsidR="006F52A0" w:rsidRPr="00CC0B87">
        <w:rPr>
          <w:rFonts w:cstheme="minorHAnsi"/>
          <w:sz w:val="24"/>
          <w:szCs w:val="24"/>
        </w:rPr>
        <w:t>. For instance, in discussion of figure one, Lorentz states how ‘weaning often marks a culturally important stage in age progression and its socio-cultural demarcation</w:t>
      </w:r>
      <w:r w:rsidR="00D90AE5" w:rsidRPr="00CC0B87">
        <w:rPr>
          <w:rFonts w:cstheme="minorHAnsi"/>
          <w:sz w:val="24"/>
          <w:szCs w:val="24"/>
        </w:rPr>
        <w:t>’, as it is a concrete event ‘</w:t>
      </w:r>
      <w:r w:rsidR="006F52A0" w:rsidRPr="00CC0B87">
        <w:rPr>
          <w:rFonts w:cstheme="minorHAnsi"/>
          <w:sz w:val="24"/>
          <w:szCs w:val="24"/>
        </w:rPr>
        <w:t>separating two difference stages of socio-cultural age’</w:t>
      </w:r>
      <w:r w:rsidR="0011431E" w:rsidRPr="00CC0B87">
        <w:rPr>
          <w:rStyle w:val="FootnoteReference"/>
          <w:rFonts w:cstheme="minorHAnsi"/>
          <w:sz w:val="24"/>
          <w:szCs w:val="24"/>
        </w:rPr>
        <w:footnoteReference w:id="13"/>
      </w:r>
      <w:r w:rsidR="00D90AE5" w:rsidRPr="00CC0B87">
        <w:rPr>
          <w:rFonts w:cstheme="minorHAnsi"/>
          <w:sz w:val="24"/>
          <w:szCs w:val="24"/>
        </w:rPr>
        <w:t>.</w:t>
      </w:r>
      <w:r w:rsidR="00B600DB" w:rsidRPr="00CC0B87">
        <w:rPr>
          <w:rFonts w:cstheme="minorHAnsi"/>
          <w:sz w:val="24"/>
          <w:szCs w:val="24"/>
        </w:rPr>
        <w:t xml:space="preserve"> The representations of children around this age, and prior, </w:t>
      </w:r>
      <w:r w:rsidR="00CD67DD" w:rsidRPr="00CC0B87">
        <w:rPr>
          <w:rFonts w:cstheme="minorHAnsi"/>
          <w:sz w:val="24"/>
          <w:szCs w:val="24"/>
        </w:rPr>
        <w:t>then, may be helpful to look at.</w:t>
      </w:r>
      <w:r w:rsidR="006F52A0" w:rsidRPr="00CC0B87">
        <w:rPr>
          <w:rFonts w:cstheme="minorHAnsi"/>
          <w:sz w:val="24"/>
          <w:szCs w:val="24"/>
        </w:rPr>
        <w:t xml:space="preserve"> </w:t>
      </w:r>
      <w:r w:rsidR="00DB0A69" w:rsidRPr="00CC0B87">
        <w:rPr>
          <w:rFonts w:cstheme="minorHAnsi"/>
          <w:sz w:val="24"/>
          <w:szCs w:val="24"/>
        </w:rPr>
        <w:t xml:space="preserve">S. L. </w:t>
      </w:r>
      <w:proofErr w:type="spellStart"/>
      <w:r w:rsidR="00DB0A69" w:rsidRPr="00CC0B87">
        <w:rPr>
          <w:rFonts w:cstheme="minorHAnsi"/>
          <w:sz w:val="24"/>
          <w:szCs w:val="24"/>
        </w:rPr>
        <w:t>Budin</w:t>
      </w:r>
      <w:proofErr w:type="spellEnd"/>
      <w:r w:rsidR="00BB6613" w:rsidRPr="00CC0B87">
        <w:rPr>
          <w:rFonts w:cstheme="minorHAnsi"/>
          <w:sz w:val="24"/>
          <w:szCs w:val="24"/>
        </w:rPr>
        <w:t xml:space="preserve"> claims that ‘</w:t>
      </w:r>
      <w:r w:rsidR="00BB6613" w:rsidRPr="00CC0B87">
        <w:rPr>
          <w:rFonts w:cstheme="minorHAnsi"/>
          <w:noProof/>
          <w:sz w:val="24"/>
          <w:szCs w:val="24"/>
        </w:rPr>
        <w:t>t</w:t>
      </w:r>
      <w:r w:rsidR="00DB0A69" w:rsidRPr="00CC0B87">
        <w:rPr>
          <w:rFonts w:cstheme="minorHAnsi"/>
          <w:noProof/>
          <w:sz w:val="24"/>
          <w:szCs w:val="24"/>
        </w:rPr>
        <w:t xml:space="preserve">here are few places in the ancient world where all the physical aspects of motherhood, </w:t>
      </w:r>
      <w:r w:rsidR="002737A7" w:rsidRPr="00CC0B87">
        <w:rPr>
          <w:rFonts w:cstheme="minorHAnsi"/>
          <w:noProof/>
          <w:sz w:val="24"/>
          <w:szCs w:val="24"/>
        </w:rPr>
        <w:t>[…]</w:t>
      </w:r>
      <w:r w:rsidR="00DB0A69" w:rsidRPr="00CC0B87">
        <w:rPr>
          <w:rFonts w:cstheme="minorHAnsi"/>
          <w:noProof/>
          <w:sz w:val="24"/>
          <w:szCs w:val="24"/>
        </w:rPr>
        <w:t xml:space="preserve"> through pregnancy, parturition, and nursing, a</w:t>
      </w:r>
      <w:r w:rsidR="002737A7" w:rsidRPr="00CC0B87">
        <w:rPr>
          <w:rFonts w:cstheme="minorHAnsi"/>
          <w:noProof/>
          <w:sz w:val="24"/>
          <w:szCs w:val="24"/>
        </w:rPr>
        <w:t>re</w:t>
      </w:r>
      <w:r w:rsidR="00DB0A69" w:rsidRPr="00CC0B87">
        <w:rPr>
          <w:rFonts w:cstheme="minorHAnsi"/>
          <w:noProof/>
          <w:sz w:val="24"/>
          <w:szCs w:val="24"/>
        </w:rPr>
        <w:t xml:space="preserve"> as well depicted as they are in the iconography of ancient Cyprus</w:t>
      </w:r>
      <w:r w:rsidR="0005429B" w:rsidRPr="00CC0B87">
        <w:rPr>
          <w:rFonts w:cstheme="minorHAnsi"/>
          <w:noProof/>
          <w:sz w:val="24"/>
          <w:szCs w:val="24"/>
        </w:rPr>
        <w:t>’</w:t>
      </w:r>
      <w:r w:rsidR="0005429B" w:rsidRPr="00CC0B87">
        <w:rPr>
          <w:rStyle w:val="FootnoteReference"/>
          <w:rFonts w:cstheme="minorHAnsi"/>
          <w:noProof/>
          <w:sz w:val="24"/>
          <w:szCs w:val="24"/>
        </w:rPr>
        <w:footnoteReference w:id="14"/>
      </w:r>
      <w:r w:rsidR="0005429B" w:rsidRPr="00CC0B87">
        <w:rPr>
          <w:rFonts w:cstheme="minorHAnsi"/>
          <w:noProof/>
          <w:sz w:val="24"/>
          <w:szCs w:val="24"/>
        </w:rPr>
        <w:t xml:space="preserve">. One such </w:t>
      </w:r>
      <w:r w:rsidR="002D6CC0" w:rsidRPr="00CC0B87">
        <w:rPr>
          <w:rFonts w:cstheme="minorHAnsi"/>
          <w:noProof/>
          <w:sz w:val="24"/>
          <w:szCs w:val="24"/>
        </w:rPr>
        <w:t>depiction can be see in figure one.</w:t>
      </w:r>
      <w:r w:rsidR="00813049" w:rsidRPr="00CC0B87">
        <w:rPr>
          <w:rFonts w:cstheme="minorHAnsi"/>
          <w:noProof/>
          <w:sz w:val="24"/>
          <w:szCs w:val="24"/>
        </w:rPr>
        <w:t xml:space="preserve"> The figure seen here is holding an in</w:t>
      </w:r>
      <w:r w:rsidR="001B0C59" w:rsidRPr="00CC0B87">
        <w:rPr>
          <w:rFonts w:cstheme="minorHAnsi"/>
          <w:noProof/>
          <w:sz w:val="24"/>
          <w:szCs w:val="24"/>
        </w:rPr>
        <w:t xml:space="preserve">fant with one arm and holding, presumably her, own breast </w:t>
      </w:r>
      <w:r w:rsidR="006A2FE0" w:rsidRPr="00CC0B87">
        <w:rPr>
          <w:rFonts w:cstheme="minorHAnsi"/>
          <w:noProof/>
          <w:sz w:val="24"/>
          <w:szCs w:val="24"/>
        </w:rPr>
        <w:drawing>
          <wp:anchor distT="0" distB="0" distL="114300" distR="114300" simplePos="0" relativeHeight="251661312" behindDoc="1" locked="0" layoutInCell="1" allowOverlap="1" wp14:anchorId="3BE6A2A2" wp14:editId="66599E3C">
            <wp:simplePos x="0" y="0"/>
            <wp:positionH relativeFrom="margin">
              <wp:align>left</wp:align>
            </wp:positionH>
            <wp:positionV relativeFrom="paragraph">
              <wp:posOffset>4670474</wp:posOffset>
            </wp:positionV>
            <wp:extent cx="1598930" cy="1546860"/>
            <wp:effectExtent l="0" t="0" r="1270" b="0"/>
            <wp:wrapTight wrapText="bothSides">
              <wp:wrapPolygon edited="0">
                <wp:start x="0" y="0"/>
                <wp:lineTo x="0" y="21281"/>
                <wp:lineTo x="21360" y="21281"/>
                <wp:lineTo x="21360" y="0"/>
                <wp:lineTo x="0" y="0"/>
              </wp:wrapPolygon>
            </wp:wrapTight>
            <wp:docPr id="20" name="Picture 20" descr="A drawing of a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drawing of a person holding a bab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598930" cy="1546860"/>
                    </a:xfrm>
                    <a:prstGeom prst="rect">
                      <a:avLst/>
                    </a:prstGeom>
                  </pic:spPr>
                </pic:pic>
              </a:graphicData>
            </a:graphic>
            <wp14:sizeRelH relativeFrom="margin">
              <wp14:pctWidth>0</wp14:pctWidth>
            </wp14:sizeRelH>
            <wp14:sizeRelV relativeFrom="margin">
              <wp14:pctHeight>0</wp14:pctHeight>
            </wp14:sizeRelV>
          </wp:anchor>
        </w:drawing>
      </w:r>
      <w:r w:rsidR="001B0C59" w:rsidRPr="00CC0B87">
        <w:rPr>
          <w:rFonts w:cstheme="minorHAnsi"/>
          <w:noProof/>
          <w:sz w:val="24"/>
          <w:szCs w:val="24"/>
        </w:rPr>
        <w:t>with the other.</w:t>
      </w:r>
      <w:r w:rsidR="00845093" w:rsidRPr="00CC0B87">
        <w:rPr>
          <w:rFonts w:cstheme="minorHAnsi"/>
          <w:noProof/>
          <w:sz w:val="24"/>
          <w:szCs w:val="24"/>
        </w:rPr>
        <w:t xml:space="preserve"> </w:t>
      </w:r>
      <w:r w:rsidR="001B0C59" w:rsidRPr="00CC0B87">
        <w:rPr>
          <w:rFonts w:cstheme="minorHAnsi"/>
          <w:sz w:val="24"/>
          <w:szCs w:val="24"/>
        </w:rPr>
        <w:t>This depiction</w:t>
      </w:r>
      <w:r w:rsidR="00910CEA" w:rsidRPr="00CC0B87">
        <w:rPr>
          <w:rFonts w:cstheme="minorHAnsi"/>
          <w:sz w:val="24"/>
          <w:szCs w:val="24"/>
        </w:rPr>
        <w:t xml:space="preserve">, of breastfeeding has </w:t>
      </w:r>
      <w:r w:rsidR="003A0A42" w:rsidRPr="00CC0B87">
        <w:rPr>
          <w:rFonts w:cstheme="minorHAnsi"/>
          <w:sz w:val="24"/>
          <w:szCs w:val="24"/>
        </w:rPr>
        <w:t>led</w:t>
      </w:r>
      <w:r w:rsidR="00910CEA" w:rsidRPr="00CC0B87">
        <w:rPr>
          <w:rFonts w:cstheme="minorHAnsi"/>
          <w:sz w:val="24"/>
          <w:szCs w:val="24"/>
        </w:rPr>
        <w:t xml:space="preserve"> t</w:t>
      </w:r>
      <w:r w:rsidR="002F750F" w:rsidRPr="00CC0B87">
        <w:rPr>
          <w:rFonts w:cstheme="minorHAnsi"/>
          <w:sz w:val="24"/>
          <w:szCs w:val="24"/>
        </w:rPr>
        <w:t>o the depiction of this</w:t>
      </w:r>
      <w:r w:rsidR="009565AA" w:rsidRPr="00CC0B87">
        <w:rPr>
          <w:rFonts w:cstheme="minorHAnsi"/>
          <w:sz w:val="24"/>
          <w:szCs w:val="24"/>
        </w:rPr>
        <w:t xml:space="preserve"> child</w:t>
      </w:r>
      <w:r w:rsidR="00845093" w:rsidRPr="00CC0B87">
        <w:rPr>
          <w:rFonts w:cstheme="minorHAnsi"/>
          <w:sz w:val="24"/>
          <w:szCs w:val="24"/>
        </w:rPr>
        <w:t>, and many others in what Lorentz calls a ‘standardised’ depiction,</w:t>
      </w:r>
      <w:r w:rsidR="002F750F" w:rsidRPr="00CC0B87">
        <w:rPr>
          <w:rFonts w:cstheme="minorHAnsi"/>
          <w:sz w:val="24"/>
          <w:szCs w:val="24"/>
        </w:rPr>
        <w:t xml:space="preserve"> being seen as </w:t>
      </w:r>
      <w:r w:rsidR="001B0C59" w:rsidRPr="00CC0B87">
        <w:rPr>
          <w:rFonts w:cstheme="minorHAnsi"/>
          <w:sz w:val="24"/>
          <w:szCs w:val="24"/>
        </w:rPr>
        <w:t>‘</w:t>
      </w:r>
      <w:r w:rsidR="00813049" w:rsidRPr="00CC0B87">
        <w:rPr>
          <w:rFonts w:cstheme="minorHAnsi"/>
          <w:sz w:val="24"/>
          <w:szCs w:val="24"/>
        </w:rPr>
        <w:t>an active one, either breastfeeding with both hands often holding the breast of the female who holds the infant in her arms (Pl.6</w:t>
      </w:r>
      <w:proofErr w:type="gramStart"/>
      <w:r w:rsidR="00813049" w:rsidRPr="00CC0B87">
        <w:rPr>
          <w:rFonts w:cstheme="minorHAnsi"/>
          <w:sz w:val="24"/>
          <w:szCs w:val="24"/>
        </w:rPr>
        <w:t>), or</w:t>
      </w:r>
      <w:proofErr w:type="gramEnd"/>
      <w:r w:rsidR="00813049" w:rsidRPr="00CC0B87">
        <w:rPr>
          <w:rFonts w:cstheme="minorHAnsi"/>
          <w:sz w:val="24"/>
          <w:szCs w:val="24"/>
        </w:rPr>
        <w:t xml:space="preserve"> sitting up’</w:t>
      </w:r>
      <w:r w:rsidR="00413D5C" w:rsidRPr="00CC0B87">
        <w:rPr>
          <w:rStyle w:val="FootnoteReference"/>
          <w:rFonts w:cstheme="minorHAnsi"/>
          <w:sz w:val="24"/>
          <w:szCs w:val="24"/>
        </w:rPr>
        <w:footnoteReference w:id="15"/>
      </w:r>
      <w:r w:rsidR="00413D5C" w:rsidRPr="00CC0B87">
        <w:rPr>
          <w:rFonts w:cstheme="minorHAnsi"/>
          <w:sz w:val="24"/>
          <w:szCs w:val="24"/>
        </w:rPr>
        <w:t xml:space="preserve">. This </w:t>
      </w:r>
      <w:r w:rsidR="006A2FE0" w:rsidRPr="00CC0B87">
        <w:rPr>
          <w:rFonts w:cstheme="minorHAnsi"/>
          <w:sz w:val="24"/>
          <w:szCs w:val="24"/>
        </w:rPr>
        <w:t>interpretation argues agency for the infants depicted</w:t>
      </w:r>
      <w:r w:rsidR="008D2C50" w:rsidRPr="00CC0B87">
        <w:rPr>
          <w:rFonts w:cstheme="minorHAnsi"/>
          <w:sz w:val="24"/>
          <w:szCs w:val="24"/>
        </w:rPr>
        <w:t>, as they are seen conducting action, and as being capable of movement.</w:t>
      </w:r>
      <w:r w:rsidR="00A57F5E" w:rsidRPr="00CC0B87">
        <w:rPr>
          <w:rFonts w:cstheme="minorHAnsi"/>
          <w:sz w:val="24"/>
          <w:szCs w:val="24"/>
        </w:rPr>
        <w:t xml:space="preserve"> The</w:t>
      </w:r>
      <w:r w:rsidR="00A90FBD" w:rsidRPr="00CC0B87">
        <w:rPr>
          <w:rFonts w:cstheme="minorHAnsi"/>
          <w:sz w:val="24"/>
          <w:szCs w:val="24"/>
        </w:rPr>
        <w:t>se depictions are notably humanising, in contrast to</w:t>
      </w:r>
      <w:r w:rsidR="0087150D" w:rsidRPr="00CC0B87">
        <w:rPr>
          <w:rFonts w:cstheme="minorHAnsi"/>
          <w:noProof/>
          <w:sz w:val="24"/>
          <w:szCs w:val="24"/>
        </w:rPr>
        <mc:AlternateContent>
          <mc:Choice Requires="wps">
            <w:drawing>
              <wp:anchor distT="0" distB="0" distL="114300" distR="114300" simplePos="0" relativeHeight="251663360" behindDoc="1" locked="0" layoutInCell="1" allowOverlap="1" wp14:anchorId="56F04A7C" wp14:editId="390CE6D3">
                <wp:simplePos x="0" y="0"/>
                <wp:positionH relativeFrom="margin">
                  <wp:align>left</wp:align>
                </wp:positionH>
                <wp:positionV relativeFrom="paragraph">
                  <wp:posOffset>6168976</wp:posOffset>
                </wp:positionV>
                <wp:extent cx="1598930" cy="635"/>
                <wp:effectExtent l="0" t="0" r="1270" b="0"/>
                <wp:wrapTight wrapText="bothSides">
                  <wp:wrapPolygon edited="0">
                    <wp:start x="0" y="0"/>
                    <wp:lineTo x="0" y="20057"/>
                    <wp:lineTo x="21360" y="20057"/>
                    <wp:lineTo x="21360" y="0"/>
                    <wp:lineTo x="0" y="0"/>
                  </wp:wrapPolygon>
                </wp:wrapTight>
                <wp:docPr id="41" name="Text Box 41"/>
                <wp:cNvGraphicFramePr/>
                <a:graphic xmlns:a="http://schemas.openxmlformats.org/drawingml/2006/main">
                  <a:graphicData uri="http://schemas.microsoft.com/office/word/2010/wordprocessingShape">
                    <wps:wsp>
                      <wps:cNvSpPr txBox="1"/>
                      <wps:spPr>
                        <a:xfrm>
                          <a:off x="0" y="0"/>
                          <a:ext cx="1598930" cy="635"/>
                        </a:xfrm>
                        <a:prstGeom prst="rect">
                          <a:avLst/>
                        </a:prstGeom>
                        <a:solidFill>
                          <a:prstClr val="white"/>
                        </a:solidFill>
                        <a:ln>
                          <a:noFill/>
                        </a:ln>
                      </wps:spPr>
                      <wps:txbx>
                        <w:txbxContent>
                          <w:p w14:paraId="0FB9C588" w14:textId="3E9F6740" w:rsidR="00274716" w:rsidRPr="005834CD" w:rsidRDefault="00274716" w:rsidP="00274716">
                            <w:pPr>
                              <w:pStyle w:val="Caption"/>
                              <w:rPr>
                                <w:rFonts w:eastAsia="Times New Roman" w:cstheme="minorHAnsi"/>
                                <w:i w:val="0"/>
                                <w:iCs w:val="0"/>
                                <w:color w:val="auto"/>
                              </w:rPr>
                            </w:pPr>
                            <w:r>
                              <w:t xml:space="preserve">Figure </w:t>
                            </w:r>
                            <w:r w:rsidR="00D45810">
                              <w:fldChar w:fldCharType="begin"/>
                            </w:r>
                            <w:r w:rsidR="00D45810">
                              <w:instrText xml:space="preserve"> SEQ Figure \* ARABIC </w:instrText>
                            </w:r>
                            <w:r w:rsidR="00D45810">
                              <w:fldChar w:fldCharType="separate"/>
                            </w:r>
                            <w:r>
                              <w:rPr>
                                <w:noProof/>
                              </w:rPr>
                              <w:t>2</w:t>
                            </w:r>
                            <w:r w:rsidR="00D45810">
                              <w:rPr>
                                <w:noProof/>
                              </w:rPr>
                              <w:fldChar w:fldCharType="end"/>
                            </w:r>
                            <w:r w:rsidRPr="0092616A">
                              <w:t xml:space="preserve"> E. </w:t>
                            </w:r>
                            <w:proofErr w:type="spellStart"/>
                            <w:r w:rsidRPr="0092616A">
                              <w:t>Averett</w:t>
                            </w:r>
                            <w:proofErr w:type="spellEnd"/>
                            <w:r>
                              <w:t>, 200</w:t>
                            </w:r>
                            <w:r w:rsidR="006A2FE0">
                              <w:t>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F04A7C" id="Text Box 41" o:spid="_x0000_s1027" type="#_x0000_t202" style="position:absolute;margin-left:0;margin-top:485.75pt;width:125.9pt;height:.05pt;z-index:-25165312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" stroked="f">
                <v:textbox style="mso-fit-shape-to-text:t" inset="0,0,0,0">
                  <w:txbxContent>
                    <w:p w14:paraId="0FB9C588" w14:textId="3E9F6740" w:rsidR="00274716" w:rsidRPr="005834CD" w:rsidRDefault="00274716" w:rsidP="00274716">
                      <w:pPr>
                        <w:pStyle w:val="Caption"/>
                        <w:rPr>
                          <w:rFonts w:eastAsia="Times New Roman" w:cstheme="minorHAnsi"/>
                          <w:i w:val="0"/>
                          <w:iCs w:val="0"/>
                          <w:color w:val="auto"/>
                        </w:rPr>
                      </w:pPr>
                      <w:r>
                        <w:t xml:space="preserve">Figure </w:t>
                      </w:r>
                      <w:r w:rsidR="00D45810">
                        <w:fldChar w:fldCharType="begin"/>
                      </w:r>
                      <w:r w:rsidR="00D45810">
                        <w:instrText xml:space="preserve"> SEQ Figure \* ARABIC </w:instrText>
                      </w:r>
                      <w:r w:rsidR="00D45810">
                        <w:fldChar w:fldCharType="separate"/>
                      </w:r>
                      <w:r>
                        <w:rPr>
                          <w:noProof/>
                        </w:rPr>
                        <w:t>2</w:t>
                      </w:r>
                      <w:r w:rsidR="00D45810">
                        <w:rPr>
                          <w:noProof/>
                        </w:rPr>
                        <w:fldChar w:fldCharType="end"/>
                      </w:r>
                      <w:r w:rsidRPr="0092616A">
                        <w:t xml:space="preserve"> E. </w:t>
                      </w:r>
                      <w:proofErr w:type="spellStart"/>
                      <w:r w:rsidRPr="0092616A">
                        <w:t>Averett</w:t>
                      </w:r>
                      <w:proofErr w:type="spellEnd"/>
                      <w:r>
                        <w:t>, 200</w:t>
                      </w:r>
                      <w:r w:rsidR="006A2FE0">
                        <w:t>7</w:t>
                      </w:r>
                    </w:p>
                  </w:txbxContent>
                </v:textbox>
                <w10:wrap type="tight" anchorx="margin"/>
              </v:shape>
            </w:pict>
          </mc:Fallback>
        </mc:AlternateContent>
      </w:r>
      <w:r w:rsidR="00A57F5E" w:rsidRPr="00CC0B87">
        <w:rPr>
          <w:rFonts w:cstheme="minorHAnsi"/>
          <w:sz w:val="24"/>
          <w:szCs w:val="24"/>
        </w:rPr>
        <w:t xml:space="preserve"> </w:t>
      </w:r>
      <w:r w:rsidR="00784AC5" w:rsidRPr="00CC0B87">
        <w:rPr>
          <w:rFonts w:cstheme="minorHAnsi"/>
          <w:sz w:val="24"/>
          <w:szCs w:val="24"/>
        </w:rPr>
        <w:t>‘</w:t>
      </w:r>
      <w:r w:rsidR="004C5215" w:rsidRPr="00CC0B87">
        <w:rPr>
          <w:rFonts w:cstheme="minorHAnsi"/>
          <w:sz w:val="24"/>
          <w:szCs w:val="24"/>
        </w:rPr>
        <w:t>the passive cradle boarded and swaddled infants of the EC and MC</w:t>
      </w:r>
      <w:r w:rsidR="00937C17" w:rsidRPr="00CC0B87">
        <w:rPr>
          <w:rFonts w:cstheme="minorHAnsi"/>
          <w:sz w:val="24"/>
          <w:szCs w:val="24"/>
        </w:rPr>
        <w:t>’</w:t>
      </w:r>
      <w:r w:rsidR="00937C17" w:rsidRPr="00CC0B87">
        <w:rPr>
          <w:rStyle w:val="FootnoteReference"/>
          <w:rFonts w:cstheme="minorHAnsi"/>
          <w:sz w:val="24"/>
          <w:szCs w:val="24"/>
        </w:rPr>
        <w:footnoteReference w:id="16"/>
      </w:r>
      <w:r w:rsidR="00A90FBD" w:rsidRPr="00CC0B87">
        <w:rPr>
          <w:rFonts w:cstheme="minorHAnsi"/>
          <w:sz w:val="24"/>
          <w:szCs w:val="24"/>
        </w:rPr>
        <w:t>. These figures have</w:t>
      </w:r>
      <w:r w:rsidR="00A57F5E" w:rsidRPr="00CC0B87">
        <w:rPr>
          <w:rFonts w:cstheme="minorHAnsi"/>
          <w:sz w:val="24"/>
          <w:szCs w:val="24"/>
        </w:rPr>
        <w:t xml:space="preserve"> visible freedom of movement</w:t>
      </w:r>
      <w:r w:rsidR="00576A29" w:rsidRPr="00CC0B87">
        <w:rPr>
          <w:rFonts w:cstheme="minorHAnsi"/>
          <w:sz w:val="24"/>
          <w:szCs w:val="24"/>
        </w:rPr>
        <w:t>, and an alertness of character, granted to them by the provision of facial features (</w:t>
      </w:r>
      <w:r w:rsidR="0087150D" w:rsidRPr="00CC0B87">
        <w:rPr>
          <w:rFonts w:cstheme="minorHAnsi"/>
          <w:sz w:val="24"/>
          <w:szCs w:val="24"/>
        </w:rPr>
        <w:t>such as the eyes in figure one</w:t>
      </w:r>
      <w:r w:rsidR="00ED6D39" w:rsidRPr="00CC0B87">
        <w:rPr>
          <w:rFonts w:cstheme="minorHAnsi"/>
          <w:sz w:val="24"/>
          <w:szCs w:val="24"/>
        </w:rPr>
        <w:t>)</w:t>
      </w:r>
      <w:r w:rsidR="0087150D" w:rsidRPr="00CC0B87">
        <w:rPr>
          <w:rFonts w:cstheme="minorHAnsi"/>
          <w:sz w:val="24"/>
          <w:szCs w:val="24"/>
        </w:rPr>
        <w:t>, and limbs,</w:t>
      </w:r>
      <w:r w:rsidR="00ED6D39" w:rsidRPr="00CC0B87">
        <w:rPr>
          <w:rFonts w:cstheme="minorHAnsi"/>
          <w:sz w:val="24"/>
          <w:szCs w:val="24"/>
        </w:rPr>
        <w:t xml:space="preserve"> in both images,</w:t>
      </w:r>
      <w:r w:rsidR="0087150D" w:rsidRPr="00CC0B87">
        <w:rPr>
          <w:rFonts w:cstheme="minorHAnsi"/>
          <w:sz w:val="24"/>
          <w:szCs w:val="24"/>
        </w:rPr>
        <w:t xml:space="preserve"> distinguishable for </w:t>
      </w:r>
      <w:r w:rsidR="0087150D" w:rsidRPr="00CC0B87">
        <w:rPr>
          <w:rFonts w:cstheme="minorHAnsi"/>
          <w:sz w:val="24"/>
          <w:szCs w:val="24"/>
        </w:rPr>
        <w:lastRenderedPageBreak/>
        <w:t>those of their parents</w:t>
      </w:r>
      <w:r w:rsidR="000F3AEB" w:rsidRPr="00CC0B87">
        <w:rPr>
          <w:rFonts w:cstheme="minorHAnsi"/>
          <w:sz w:val="24"/>
          <w:szCs w:val="24"/>
        </w:rPr>
        <w:t>, therefore, a separate entity</w:t>
      </w:r>
      <w:r w:rsidR="0087150D" w:rsidRPr="00CC0B87">
        <w:rPr>
          <w:rFonts w:cstheme="minorHAnsi"/>
          <w:sz w:val="24"/>
          <w:szCs w:val="24"/>
        </w:rPr>
        <w:t>,</w:t>
      </w:r>
      <w:r w:rsidR="000F3AEB" w:rsidRPr="00CC0B87">
        <w:rPr>
          <w:rFonts w:cstheme="minorHAnsi"/>
          <w:sz w:val="24"/>
          <w:szCs w:val="24"/>
        </w:rPr>
        <w:t xml:space="preserve"> </w:t>
      </w:r>
      <w:r w:rsidR="00ED6D39" w:rsidRPr="00CC0B87">
        <w:rPr>
          <w:rFonts w:cstheme="minorHAnsi"/>
          <w:sz w:val="24"/>
          <w:szCs w:val="24"/>
        </w:rPr>
        <w:t>thus reminding us of their humanity</w:t>
      </w:r>
      <w:r w:rsidR="00067BA5" w:rsidRPr="00CC0B87">
        <w:rPr>
          <w:rFonts w:cstheme="minorHAnsi"/>
          <w:sz w:val="24"/>
          <w:szCs w:val="24"/>
        </w:rPr>
        <w:t>,</w:t>
      </w:r>
      <w:r w:rsidR="003637A9" w:rsidRPr="00CC0B87">
        <w:rPr>
          <w:rFonts w:cstheme="minorHAnsi"/>
          <w:sz w:val="24"/>
          <w:szCs w:val="24"/>
        </w:rPr>
        <w:t xml:space="preserve"> even at the early age</w:t>
      </w:r>
      <w:r w:rsidR="005D2ABB" w:rsidRPr="00CC0B87">
        <w:rPr>
          <w:rFonts w:cstheme="minorHAnsi"/>
          <w:sz w:val="24"/>
          <w:szCs w:val="24"/>
        </w:rPr>
        <w:t xml:space="preserve"> surrounding the ‘weaning’ stage.</w:t>
      </w:r>
      <w:r w:rsidR="00E50868" w:rsidRPr="00CC0B87">
        <w:rPr>
          <w:rFonts w:cstheme="minorHAnsi"/>
          <w:sz w:val="24"/>
          <w:szCs w:val="24"/>
        </w:rPr>
        <w:t xml:space="preserve"> </w:t>
      </w:r>
    </w:p>
    <w:p w14:paraId="45649192" w14:textId="249C0F10" w:rsidR="00CF5265" w:rsidRPr="00CC0B87" w:rsidRDefault="00B7652F" w:rsidP="00CC0B87">
      <w:pPr>
        <w:spacing w:line="360" w:lineRule="auto"/>
        <w:rPr>
          <w:rFonts w:cstheme="minorHAnsi"/>
          <w:noProof/>
          <w:sz w:val="24"/>
          <w:szCs w:val="24"/>
        </w:rPr>
      </w:pPr>
      <w:r w:rsidRPr="00CC0B87">
        <w:rPr>
          <w:rFonts w:cstheme="minorHAnsi"/>
          <w:sz w:val="24"/>
          <w:szCs w:val="24"/>
        </w:rPr>
        <w:tab/>
        <w:t xml:space="preserve">S. L. </w:t>
      </w:r>
      <w:proofErr w:type="spellStart"/>
      <w:r w:rsidRPr="00CC0B87">
        <w:rPr>
          <w:rFonts w:cstheme="minorHAnsi"/>
          <w:sz w:val="24"/>
          <w:szCs w:val="24"/>
        </w:rPr>
        <w:t>Budin</w:t>
      </w:r>
      <w:proofErr w:type="spellEnd"/>
      <w:r w:rsidRPr="00CC0B87">
        <w:rPr>
          <w:rFonts w:cstheme="minorHAnsi"/>
          <w:sz w:val="24"/>
          <w:szCs w:val="24"/>
        </w:rPr>
        <w:t xml:space="preserve"> </w:t>
      </w:r>
      <w:r w:rsidR="009F56B7" w:rsidRPr="00CC0B87">
        <w:rPr>
          <w:rFonts w:cstheme="minorHAnsi"/>
          <w:sz w:val="24"/>
          <w:szCs w:val="24"/>
        </w:rPr>
        <w:t xml:space="preserve">explores several instances of </w:t>
      </w:r>
      <w:r w:rsidR="00641782" w:rsidRPr="00CC0B87">
        <w:rPr>
          <w:rFonts w:cstheme="minorHAnsi"/>
          <w:sz w:val="24"/>
          <w:szCs w:val="24"/>
        </w:rPr>
        <w:t xml:space="preserve">pottery evidence relating to the organisation of the household. One of these is a </w:t>
      </w:r>
      <w:r w:rsidR="00CF5265" w:rsidRPr="00CC0B87">
        <w:rPr>
          <w:rFonts w:cstheme="minorHAnsi"/>
          <w:noProof/>
          <w:sz w:val="24"/>
          <w:szCs w:val="24"/>
        </w:rPr>
        <w:t>‘terracotta “house” or “birth-hut”</w:t>
      </w:r>
      <w:r w:rsidR="00234134" w:rsidRPr="00CC0B87">
        <w:rPr>
          <w:rFonts w:cstheme="minorHAnsi"/>
          <w:noProof/>
          <w:sz w:val="24"/>
          <w:szCs w:val="24"/>
        </w:rPr>
        <w:t>’</w:t>
      </w:r>
      <w:r w:rsidR="00234134" w:rsidRPr="00CC0B87">
        <w:rPr>
          <w:rStyle w:val="FootnoteReference"/>
          <w:rFonts w:cstheme="minorHAnsi"/>
          <w:noProof/>
          <w:sz w:val="24"/>
          <w:szCs w:val="24"/>
        </w:rPr>
        <w:t xml:space="preserve"> </w:t>
      </w:r>
      <w:r w:rsidR="00234134" w:rsidRPr="00CC0B87">
        <w:rPr>
          <w:rStyle w:val="FootnoteReference"/>
          <w:rFonts w:cstheme="minorHAnsi"/>
          <w:noProof/>
          <w:sz w:val="24"/>
          <w:szCs w:val="24"/>
        </w:rPr>
        <w:footnoteReference w:id="17"/>
      </w:r>
      <w:r w:rsidR="00234134" w:rsidRPr="00CC0B87">
        <w:rPr>
          <w:rFonts w:cstheme="minorHAnsi"/>
          <w:noProof/>
          <w:sz w:val="24"/>
          <w:szCs w:val="24"/>
        </w:rPr>
        <w:t xml:space="preserve">, a </w:t>
      </w:r>
      <w:r w:rsidR="00522646" w:rsidRPr="00CC0B87">
        <w:rPr>
          <w:rFonts w:cstheme="minorHAnsi"/>
          <w:noProof/>
          <w:sz w:val="24"/>
          <w:szCs w:val="24"/>
        </w:rPr>
        <w:t xml:space="preserve">small </w:t>
      </w:r>
      <w:r w:rsidR="00234134" w:rsidRPr="00CC0B87">
        <w:rPr>
          <w:rFonts w:cstheme="minorHAnsi"/>
          <w:noProof/>
          <w:sz w:val="24"/>
          <w:szCs w:val="24"/>
        </w:rPr>
        <w:t xml:space="preserve">replica of a </w:t>
      </w:r>
      <w:r w:rsidR="00522646" w:rsidRPr="00CC0B87">
        <w:rPr>
          <w:rFonts w:cstheme="minorHAnsi"/>
          <w:noProof/>
          <w:sz w:val="24"/>
          <w:szCs w:val="24"/>
        </w:rPr>
        <w:t xml:space="preserve">Bronze Age house on Cyprus. The association with this model and childbirth has led Budin to </w:t>
      </w:r>
      <w:r w:rsidR="009C1A59" w:rsidRPr="00CC0B87">
        <w:rPr>
          <w:rFonts w:cstheme="minorHAnsi"/>
          <w:noProof/>
          <w:sz w:val="24"/>
          <w:szCs w:val="24"/>
        </w:rPr>
        <w:t>argue that this serves as evidence for the liklihood that ‘</w:t>
      </w:r>
      <w:r w:rsidR="009C1A59" w:rsidRPr="00CC0B87">
        <w:rPr>
          <w:rFonts w:cstheme="minorHAnsi"/>
          <w:noProof/>
          <w:sz w:val="24"/>
          <w:szCs w:val="24"/>
        </w:rPr>
        <w:t>childbirth took place at home’</w:t>
      </w:r>
      <w:r w:rsidR="006D132D" w:rsidRPr="00CC0B87">
        <w:rPr>
          <w:rFonts w:cstheme="minorHAnsi"/>
          <w:noProof/>
          <w:sz w:val="24"/>
          <w:szCs w:val="24"/>
        </w:rPr>
        <w:t xml:space="preserve">. Though the model does not provide insight into </w:t>
      </w:r>
      <w:r w:rsidR="00037DC1" w:rsidRPr="00CC0B87">
        <w:rPr>
          <w:rFonts w:cstheme="minorHAnsi"/>
          <w:noProof/>
          <w:sz w:val="24"/>
          <w:szCs w:val="24"/>
        </w:rPr>
        <w:t>whether other village members, from beyond the immediate household, would have been present at the time,</w:t>
      </w:r>
      <w:r w:rsidR="00E541E6" w:rsidRPr="00CC0B87">
        <w:rPr>
          <w:rFonts w:cstheme="minorHAnsi"/>
          <w:noProof/>
          <w:sz w:val="24"/>
          <w:szCs w:val="24"/>
        </w:rPr>
        <w:t xml:space="preserve"> </w:t>
      </w:r>
      <w:r w:rsidR="001146B4" w:rsidRPr="00CC0B87">
        <w:rPr>
          <w:rFonts w:cstheme="minorHAnsi"/>
          <w:noProof/>
          <w:sz w:val="24"/>
          <w:szCs w:val="24"/>
        </w:rPr>
        <w:t xml:space="preserve">it would seem to suggest that home birth was the </w:t>
      </w:r>
      <w:r w:rsidR="00D12AB2" w:rsidRPr="00CC0B87">
        <w:rPr>
          <w:rFonts w:cstheme="minorHAnsi"/>
          <w:noProof/>
          <w:sz w:val="24"/>
          <w:szCs w:val="24"/>
        </w:rPr>
        <w:t xml:space="preserve">norm at the time, rather than, say, having a designated area for mothers and newborns. </w:t>
      </w:r>
      <w:r w:rsidR="00177E00" w:rsidRPr="00CC0B87">
        <w:rPr>
          <w:rFonts w:cstheme="minorHAnsi"/>
          <w:noProof/>
          <w:sz w:val="24"/>
          <w:szCs w:val="24"/>
        </w:rPr>
        <w:t>The model also potentially indicates the</w:t>
      </w:r>
      <w:r w:rsidR="00037DC1" w:rsidRPr="00CC0B87">
        <w:rPr>
          <w:rFonts w:cstheme="minorHAnsi"/>
          <w:noProof/>
          <w:sz w:val="24"/>
          <w:szCs w:val="24"/>
        </w:rPr>
        <w:t xml:space="preserve"> express</w:t>
      </w:r>
      <w:r w:rsidR="00177E00" w:rsidRPr="00CC0B87">
        <w:rPr>
          <w:rFonts w:cstheme="minorHAnsi"/>
          <w:noProof/>
          <w:sz w:val="24"/>
          <w:szCs w:val="24"/>
        </w:rPr>
        <w:t>ion of</w:t>
      </w:r>
      <w:r w:rsidR="00037DC1" w:rsidRPr="00CC0B87">
        <w:rPr>
          <w:rFonts w:cstheme="minorHAnsi"/>
          <w:noProof/>
          <w:sz w:val="24"/>
          <w:szCs w:val="24"/>
        </w:rPr>
        <w:t xml:space="preserve"> a desire to bless the process of childbirth through the </w:t>
      </w:r>
      <w:r w:rsidR="003C6862" w:rsidRPr="00CC0B87">
        <w:rPr>
          <w:rFonts w:cstheme="minorHAnsi"/>
          <w:noProof/>
          <w:sz w:val="24"/>
          <w:szCs w:val="24"/>
        </w:rPr>
        <w:t>representation of the house.</w:t>
      </w:r>
      <w:r w:rsidR="002F2D0C" w:rsidRPr="00CC0B87">
        <w:rPr>
          <w:rFonts w:cstheme="minorHAnsi"/>
          <w:noProof/>
          <w:sz w:val="24"/>
          <w:szCs w:val="24"/>
        </w:rPr>
        <w:t xml:space="preserve"> Budin also covers the matter of picrolite figurines. Picrolite figurines were</w:t>
      </w:r>
      <w:r w:rsidR="00002B0A" w:rsidRPr="00CC0B87">
        <w:rPr>
          <w:rFonts w:cstheme="minorHAnsi"/>
          <w:noProof/>
          <w:sz w:val="24"/>
          <w:szCs w:val="24"/>
        </w:rPr>
        <w:t xml:space="preserve"> images of individuals thought to be birthing women, based on their crouched posture, and outstretched arms – possibly for holding on to other women present to assist during the birth.</w:t>
      </w:r>
      <w:r w:rsidR="00454484" w:rsidRPr="00CC0B87">
        <w:rPr>
          <w:rFonts w:cstheme="minorHAnsi"/>
          <w:noProof/>
          <w:sz w:val="24"/>
          <w:szCs w:val="24"/>
        </w:rPr>
        <w:t xml:space="preserve"> The instances of picrolite figures being depicted wearing smaller picrolite figures, </w:t>
      </w:r>
      <w:r w:rsidR="0004399D" w:rsidRPr="00CC0B87">
        <w:rPr>
          <w:rFonts w:cstheme="minorHAnsi"/>
          <w:noProof/>
          <w:sz w:val="24"/>
          <w:szCs w:val="24"/>
        </w:rPr>
        <w:t>has led to the conclusion that these were worn as amulets by birthing, or heavily pregnant women</w:t>
      </w:r>
      <w:r w:rsidR="003D35CE" w:rsidRPr="00CC0B87">
        <w:rPr>
          <w:rFonts w:cstheme="minorHAnsi"/>
          <w:noProof/>
          <w:sz w:val="24"/>
          <w:szCs w:val="24"/>
        </w:rPr>
        <w:t xml:space="preserve">. However, Budin also explores the insightful find that </w:t>
      </w:r>
      <w:r w:rsidR="00055B7B" w:rsidRPr="00CC0B87">
        <w:rPr>
          <w:rFonts w:cstheme="minorHAnsi"/>
          <w:noProof/>
          <w:sz w:val="24"/>
          <w:szCs w:val="24"/>
        </w:rPr>
        <w:t xml:space="preserve">some </w:t>
      </w:r>
      <w:r w:rsidR="00CF5265" w:rsidRPr="00CC0B87">
        <w:rPr>
          <w:rFonts w:cstheme="minorHAnsi"/>
          <w:noProof/>
          <w:sz w:val="24"/>
          <w:szCs w:val="24"/>
        </w:rPr>
        <w:t>‘medium-sized picrolite figurines have all-over wear patterns</w:t>
      </w:r>
      <w:r w:rsidR="005E5B94" w:rsidRPr="00CC0B87">
        <w:rPr>
          <w:rFonts w:cstheme="minorHAnsi"/>
          <w:noProof/>
          <w:sz w:val="24"/>
          <w:szCs w:val="24"/>
        </w:rPr>
        <w:t>’</w:t>
      </w:r>
      <w:r w:rsidR="005E5B94" w:rsidRPr="00CC0B87">
        <w:rPr>
          <w:rStyle w:val="FootnoteReference"/>
          <w:rFonts w:cstheme="minorHAnsi"/>
          <w:noProof/>
          <w:sz w:val="24"/>
          <w:szCs w:val="24"/>
        </w:rPr>
        <w:footnoteReference w:id="18"/>
      </w:r>
      <w:r w:rsidR="005E5B94" w:rsidRPr="00CC0B87">
        <w:rPr>
          <w:rFonts w:cstheme="minorHAnsi"/>
          <w:noProof/>
          <w:sz w:val="24"/>
          <w:szCs w:val="24"/>
        </w:rPr>
        <w:t xml:space="preserve">, not the one-sided erosion that a necklace would have, from resting against skin on one side. </w:t>
      </w:r>
      <w:r w:rsidR="0017495A" w:rsidRPr="00CC0B87">
        <w:rPr>
          <w:rFonts w:cstheme="minorHAnsi"/>
          <w:noProof/>
          <w:sz w:val="24"/>
          <w:szCs w:val="24"/>
        </w:rPr>
        <w:t xml:space="preserve">These wear patterns, Budin argues, </w:t>
      </w:r>
      <w:r w:rsidR="00E47F03" w:rsidRPr="00CC0B87">
        <w:rPr>
          <w:rFonts w:cstheme="minorHAnsi"/>
          <w:noProof/>
          <w:sz w:val="24"/>
          <w:szCs w:val="24"/>
        </w:rPr>
        <w:t>heavily suggest that the picrolite figures were gripped, tightly and regularly</w:t>
      </w:r>
      <w:r w:rsidR="009F0092" w:rsidRPr="00CC0B87">
        <w:rPr>
          <w:rFonts w:cstheme="minorHAnsi"/>
          <w:noProof/>
          <w:sz w:val="24"/>
          <w:szCs w:val="24"/>
        </w:rPr>
        <w:t>. D</w:t>
      </w:r>
      <w:r w:rsidR="00A010DF" w:rsidRPr="00CC0B87">
        <w:rPr>
          <w:rFonts w:cstheme="minorHAnsi"/>
          <w:noProof/>
          <w:sz w:val="24"/>
          <w:szCs w:val="24"/>
        </w:rPr>
        <w:t>ue to their strong associations with maternity,</w:t>
      </w:r>
      <w:r w:rsidR="009F0092" w:rsidRPr="00CC0B87">
        <w:rPr>
          <w:rFonts w:cstheme="minorHAnsi"/>
          <w:noProof/>
          <w:sz w:val="24"/>
          <w:szCs w:val="24"/>
        </w:rPr>
        <w:t xml:space="preserve"> they</w:t>
      </w:r>
      <w:r w:rsidR="00A010DF" w:rsidRPr="00CC0B87">
        <w:rPr>
          <w:rFonts w:cstheme="minorHAnsi"/>
          <w:noProof/>
          <w:sz w:val="24"/>
          <w:szCs w:val="24"/>
        </w:rPr>
        <w:t xml:space="preserve"> </w:t>
      </w:r>
      <w:r w:rsidR="009F0092" w:rsidRPr="00CC0B87">
        <w:rPr>
          <w:rFonts w:cstheme="minorHAnsi"/>
          <w:noProof/>
          <w:sz w:val="24"/>
          <w:szCs w:val="24"/>
        </w:rPr>
        <w:t xml:space="preserve"> were </w:t>
      </w:r>
      <w:r w:rsidR="00A010DF" w:rsidRPr="00CC0B87">
        <w:rPr>
          <w:rFonts w:cstheme="minorHAnsi"/>
          <w:noProof/>
          <w:sz w:val="24"/>
          <w:szCs w:val="24"/>
        </w:rPr>
        <w:t>likely actively gripped during childbirth, p</w:t>
      </w:r>
      <w:r w:rsidR="00654DBD" w:rsidRPr="00CC0B87">
        <w:rPr>
          <w:rFonts w:cstheme="minorHAnsi"/>
          <w:noProof/>
          <w:sz w:val="24"/>
          <w:szCs w:val="24"/>
        </w:rPr>
        <w:t xml:space="preserve">erhaps as </w:t>
      </w:r>
      <w:r w:rsidR="00A010DF" w:rsidRPr="00CC0B87">
        <w:rPr>
          <w:rFonts w:cstheme="minorHAnsi"/>
          <w:noProof/>
          <w:sz w:val="24"/>
          <w:szCs w:val="24"/>
        </w:rPr>
        <w:t xml:space="preserve">familiar </w:t>
      </w:r>
      <w:r w:rsidR="00654DBD" w:rsidRPr="00CC0B87">
        <w:rPr>
          <w:rFonts w:cstheme="minorHAnsi"/>
          <w:noProof/>
          <w:sz w:val="24"/>
          <w:szCs w:val="24"/>
        </w:rPr>
        <w:t xml:space="preserve">objects of comfort, </w:t>
      </w:r>
      <w:r w:rsidR="00912272" w:rsidRPr="00CC0B87">
        <w:rPr>
          <w:rFonts w:cstheme="minorHAnsi"/>
          <w:noProof/>
          <w:sz w:val="24"/>
          <w:szCs w:val="24"/>
        </w:rPr>
        <w:t>a reminder of</w:t>
      </w:r>
      <w:r w:rsidR="00D05E02" w:rsidRPr="00CC0B87">
        <w:rPr>
          <w:rFonts w:cstheme="minorHAnsi"/>
          <w:noProof/>
          <w:sz w:val="24"/>
          <w:szCs w:val="24"/>
        </w:rPr>
        <w:t xml:space="preserve"> previous women who have had the same experiences</w:t>
      </w:r>
      <w:r w:rsidR="00A9730A" w:rsidRPr="00CC0B87">
        <w:rPr>
          <w:rFonts w:cstheme="minorHAnsi"/>
          <w:noProof/>
          <w:sz w:val="24"/>
          <w:szCs w:val="24"/>
        </w:rPr>
        <w:t xml:space="preserve">, thanks to the fact that </w:t>
      </w:r>
      <w:r w:rsidR="009F0092" w:rsidRPr="00CC0B87">
        <w:rPr>
          <w:rFonts w:cstheme="minorHAnsi"/>
          <w:noProof/>
          <w:sz w:val="24"/>
          <w:szCs w:val="24"/>
        </w:rPr>
        <w:t xml:space="preserve">the wear patterns have been argued to </w:t>
      </w:r>
      <w:r w:rsidR="00A9730A" w:rsidRPr="00CC0B87">
        <w:rPr>
          <w:rFonts w:cstheme="minorHAnsi"/>
          <w:noProof/>
          <w:sz w:val="24"/>
          <w:szCs w:val="24"/>
        </w:rPr>
        <w:t xml:space="preserve">be too extensive to </w:t>
      </w:r>
      <w:r w:rsidR="00123373" w:rsidRPr="00CC0B87">
        <w:rPr>
          <w:rFonts w:cstheme="minorHAnsi"/>
          <w:noProof/>
          <w:sz w:val="24"/>
          <w:szCs w:val="24"/>
        </w:rPr>
        <w:t xml:space="preserve">only have been used in one household’s births, suggesting the presence of some form of support network, perhaps, </w:t>
      </w:r>
      <w:r w:rsidR="006B442B" w:rsidRPr="00CC0B87">
        <w:rPr>
          <w:rFonts w:cstheme="minorHAnsi"/>
          <w:noProof/>
          <w:sz w:val="24"/>
          <w:szCs w:val="24"/>
        </w:rPr>
        <w:t>accounting for the travelling of these figures throughout a village. Budin also suggests that the picrolites were seen as</w:t>
      </w:r>
      <w:r w:rsidR="00D05E02" w:rsidRPr="00CC0B87">
        <w:rPr>
          <w:rFonts w:cstheme="minorHAnsi"/>
          <w:noProof/>
          <w:sz w:val="24"/>
          <w:szCs w:val="24"/>
        </w:rPr>
        <w:t xml:space="preserve"> ‘</w:t>
      </w:r>
      <w:r w:rsidR="00D05E02" w:rsidRPr="00CC0B87">
        <w:rPr>
          <w:rFonts w:cstheme="minorHAnsi"/>
          <w:noProof/>
          <w:sz w:val="24"/>
          <w:szCs w:val="24"/>
        </w:rPr>
        <w:t>functioning as magical aids to childbirth’</w:t>
      </w:r>
      <w:r w:rsidR="00A9078B" w:rsidRPr="00CC0B87">
        <w:rPr>
          <w:rStyle w:val="FootnoteReference"/>
          <w:rFonts w:cstheme="minorHAnsi"/>
          <w:noProof/>
          <w:sz w:val="24"/>
          <w:szCs w:val="24"/>
        </w:rPr>
        <w:footnoteReference w:id="19"/>
      </w:r>
      <w:r w:rsidR="006B442B" w:rsidRPr="00CC0B87">
        <w:rPr>
          <w:rFonts w:cstheme="minorHAnsi"/>
          <w:noProof/>
          <w:sz w:val="24"/>
          <w:szCs w:val="24"/>
        </w:rPr>
        <w:t>, providing strength and an increased chance of a successful birth</w:t>
      </w:r>
      <w:r w:rsidR="006C24D0" w:rsidRPr="00CC0B87">
        <w:rPr>
          <w:rFonts w:cstheme="minorHAnsi"/>
          <w:noProof/>
          <w:sz w:val="24"/>
          <w:szCs w:val="24"/>
        </w:rPr>
        <w:t xml:space="preserve">, likely a </w:t>
      </w:r>
      <w:r w:rsidR="00A9078B" w:rsidRPr="00CC0B87">
        <w:rPr>
          <w:rFonts w:cstheme="minorHAnsi"/>
          <w:noProof/>
          <w:sz w:val="24"/>
          <w:szCs w:val="24"/>
        </w:rPr>
        <w:t>well-sought comfort.</w:t>
      </w:r>
      <w:r w:rsidR="00686B39" w:rsidRPr="00CC0B87">
        <w:rPr>
          <w:rFonts w:cstheme="minorHAnsi"/>
          <w:noProof/>
          <w:sz w:val="24"/>
          <w:szCs w:val="24"/>
        </w:rPr>
        <w:t xml:space="preserve"> In addition to these objects’ significance in the lives of women, </w:t>
      </w:r>
      <w:r w:rsidR="00D445C2" w:rsidRPr="00CC0B87">
        <w:rPr>
          <w:rFonts w:cstheme="minorHAnsi"/>
          <w:noProof/>
          <w:sz w:val="24"/>
          <w:szCs w:val="24"/>
        </w:rPr>
        <w:t>it is important to note that the presen</w:t>
      </w:r>
      <w:r w:rsidR="00543AE2" w:rsidRPr="00CC0B87">
        <w:rPr>
          <w:rFonts w:cstheme="minorHAnsi"/>
          <w:noProof/>
          <w:sz w:val="24"/>
          <w:szCs w:val="24"/>
        </w:rPr>
        <w:t xml:space="preserve">ce of </w:t>
      </w:r>
      <w:r w:rsidR="00543AE2" w:rsidRPr="00CC0B87">
        <w:rPr>
          <w:rFonts w:cstheme="minorHAnsi"/>
          <w:noProof/>
          <w:sz w:val="24"/>
          <w:szCs w:val="24"/>
        </w:rPr>
        <w:lastRenderedPageBreak/>
        <w:t xml:space="preserve">the picrolite figure wearing a smaller version of itself </w:t>
      </w:r>
      <w:r w:rsidR="00CF5265" w:rsidRPr="00CC0B87">
        <w:rPr>
          <w:rFonts w:cstheme="minorHAnsi"/>
          <w:noProof/>
          <w:sz w:val="24"/>
          <w:szCs w:val="24"/>
        </w:rPr>
        <w:t>‘in a funerary context</w:t>
      </w:r>
      <w:r w:rsidR="00543AE2" w:rsidRPr="00CC0B87">
        <w:rPr>
          <w:rFonts w:cstheme="minorHAnsi"/>
          <w:noProof/>
          <w:sz w:val="24"/>
          <w:szCs w:val="24"/>
        </w:rPr>
        <w:t>’</w:t>
      </w:r>
      <w:r w:rsidR="00543AE2" w:rsidRPr="00CC0B87">
        <w:rPr>
          <w:rStyle w:val="FootnoteReference"/>
          <w:rFonts w:cstheme="minorHAnsi"/>
          <w:noProof/>
          <w:sz w:val="24"/>
          <w:szCs w:val="24"/>
        </w:rPr>
        <w:footnoteReference w:id="20"/>
      </w:r>
      <w:r w:rsidR="00543AE2" w:rsidRPr="00CC0B87">
        <w:rPr>
          <w:rFonts w:cstheme="minorHAnsi"/>
          <w:noProof/>
          <w:sz w:val="24"/>
          <w:szCs w:val="24"/>
        </w:rPr>
        <w:t xml:space="preserve">. </w:t>
      </w:r>
      <w:r w:rsidR="00CF5265" w:rsidRPr="00CC0B87">
        <w:rPr>
          <w:rFonts w:cstheme="minorHAnsi"/>
          <w:noProof/>
          <w:sz w:val="24"/>
          <w:szCs w:val="24"/>
        </w:rPr>
        <w:t xml:space="preserve"> </w:t>
      </w:r>
      <w:r w:rsidR="00543AE2" w:rsidRPr="00CC0B87">
        <w:rPr>
          <w:rFonts w:cstheme="minorHAnsi"/>
          <w:noProof/>
          <w:sz w:val="24"/>
          <w:szCs w:val="24"/>
        </w:rPr>
        <w:t xml:space="preserve">The breach of these objects from the </w:t>
      </w:r>
      <w:r w:rsidR="0086586B" w:rsidRPr="00CC0B87">
        <w:rPr>
          <w:rFonts w:cstheme="minorHAnsi"/>
          <w:noProof/>
          <w:sz w:val="24"/>
          <w:szCs w:val="24"/>
        </w:rPr>
        <w:t>household,</w:t>
      </w:r>
      <w:r w:rsidR="00B52F5A" w:rsidRPr="00CC0B87">
        <w:rPr>
          <w:rFonts w:cstheme="minorHAnsi"/>
          <w:noProof/>
          <w:sz w:val="24"/>
          <w:szCs w:val="24"/>
        </w:rPr>
        <w:t xml:space="preserve"> away from the </w:t>
      </w:r>
      <w:r w:rsidR="00D74DFB" w:rsidRPr="00CC0B87">
        <w:rPr>
          <w:rFonts w:cstheme="minorHAnsi"/>
          <w:noProof/>
          <w:sz w:val="24"/>
          <w:szCs w:val="24"/>
        </w:rPr>
        <w:t>act of birthing</w:t>
      </w:r>
      <w:r w:rsidR="00BD41C9" w:rsidRPr="00CC0B87">
        <w:rPr>
          <w:rFonts w:cstheme="minorHAnsi"/>
          <w:noProof/>
          <w:sz w:val="24"/>
          <w:szCs w:val="24"/>
        </w:rPr>
        <w:t xml:space="preserve"> ‘</w:t>
      </w:r>
      <w:r w:rsidR="00CF5265" w:rsidRPr="00CC0B87">
        <w:rPr>
          <w:rFonts w:cstheme="minorHAnsi"/>
          <w:noProof/>
          <w:sz w:val="24"/>
          <w:szCs w:val="24"/>
        </w:rPr>
        <w:t>emphasises the proliferation of maternal imagery in Chalcolithis Cyprus’</w:t>
      </w:r>
      <w:r w:rsidR="00B52F5A" w:rsidRPr="00CC0B87">
        <w:rPr>
          <w:rStyle w:val="FootnoteReference"/>
          <w:rFonts w:cstheme="minorHAnsi"/>
          <w:noProof/>
          <w:sz w:val="24"/>
          <w:szCs w:val="24"/>
        </w:rPr>
        <w:footnoteReference w:id="21"/>
      </w:r>
      <w:r w:rsidR="00BD41C9" w:rsidRPr="00CC0B87">
        <w:rPr>
          <w:rFonts w:cstheme="minorHAnsi"/>
          <w:noProof/>
          <w:sz w:val="24"/>
          <w:szCs w:val="24"/>
        </w:rPr>
        <w:t>.</w:t>
      </w:r>
      <w:r w:rsidR="00D74DFB" w:rsidRPr="00CC0B87">
        <w:rPr>
          <w:rFonts w:cstheme="minorHAnsi"/>
          <w:noProof/>
          <w:sz w:val="24"/>
          <w:szCs w:val="24"/>
        </w:rPr>
        <w:t xml:space="preserve"> This</w:t>
      </w:r>
      <w:r w:rsidR="00BD4144" w:rsidRPr="00CC0B87">
        <w:rPr>
          <w:rFonts w:cstheme="minorHAnsi"/>
          <w:noProof/>
          <w:sz w:val="24"/>
          <w:szCs w:val="24"/>
        </w:rPr>
        <w:t xml:space="preserve"> could, more speculatively, be argued to</w:t>
      </w:r>
      <w:r w:rsidR="00D74DFB" w:rsidRPr="00CC0B87">
        <w:rPr>
          <w:rFonts w:cstheme="minorHAnsi"/>
          <w:noProof/>
          <w:sz w:val="24"/>
          <w:szCs w:val="24"/>
        </w:rPr>
        <w:t xml:space="preserve"> suggest an </w:t>
      </w:r>
      <w:r w:rsidR="00CD79F3" w:rsidRPr="00CC0B87">
        <w:rPr>
          <w:rFonts w:cstheme="minorHAnsi"/>
          <w:noProof/>
          <w:sz w:val="24"/>
          <w:szCs w:val="24"/>
        </w:rPr>
        <w:t xml:space="preserve">affliation, in the </w:t>
      </w:r>
      <w:r w:rsidR="00BD41C9" w:rsidRPr="00CC0B87">
        <w:rPr>
          <w:rFonts w:cstheme="minorHAnsi"/>
          <w:noProof/>
          <w:sz w:val="24"/>
          <w:szCs w:val="24"/>
        </w:rPr>
        <w:t xml:space="preserve">Chalcolithic </w:t>
      </w:r>
      <w:r w:rsidR="00CD79F3" w:rsidRPr="00CC0B87">
        <w:rPr>
          <w:rFonts w:cstheme="minorHAnsi"/>
          <w:noProof/>
          <w:sz w:val="24"/>
          <w:szCs w:val="24"/>
        </w:rPr>
        <w:t>mindset, between birth, and death,</w:t>
      </w:r>
      <w:r w:rsidR="00BD4144" w:rsidRPr="00CC0B87">
        <w:rPr>
          <w:rFonts w:cstheme="minorHAnsi"/>
          <w:noProof/>
          <w:sz w:val="24"/>
          <w:szCs w:val="24"/>
        </w:rPr>
        <w:t xml:space="preserve"> </w:t>
      </w:r>
      <w:r w:rsidR="00CB6FC0" w:rsidRPr="00CC0B87">
        <w:rPr>
          <w:rFonts w:cstheme="minorHAnsi"/>
          <w:noProof/>
          <w:sz w:val="24"/>
          <w:szCs w:val="24"/>
        </w:rPr>
        <w:t xml:space="preserve">and the </w:t>
      </w:r>
      <w:r w:rsidR="00380010" w:rsidRPr="00CC0B87">
        <w:rPr>
          <w:rFonts w:cstheme="minorHAnsi"/>
          <w:noProof/>
          <w:sz w:val="24"/>
          <w:szCs w:val="24"/>
        </w:rPr>
        <w:t>reshaping</w:t>
      </w:r>
      <w:r w:rsidR="00CB6FC0" w:rsidRPr="00CC0B87">
        <w:rPr>
          <w:rFonts w:cstheme="minorHAnsi"/>
          <w:noProof/>
          <w:sz w:val="24"/>
          <w:szCs w:val="24"/>
        </w:rPr>
        <w:t xml:space="preserve"> of the household resulted by both</w:t>
      </w:r>
      <w:r w:rsidR="00BD41C9" w:rsidRPr="00CC0B87">
        <w:rPr>
          <w:rFonts w:cstheme="minorHAnsi"/>
          <w:noProof/>
          <w:sz w:val="24"/>
          <w:szCs w:val="24"/>
        </w:rPr>
        <w:t>.</w:t>
      </w:r>
    </w:p>
    <w:p w14:paraId="1CFA3FF2" w14:textId="1F66211A" w:rsidR="00866B68" w:rsidRPr="00CC0B87" w:rsidRDefault="00116757" w:rsidP="00CC0B87">
      <w:pPr>
        <w:spacing w:line="360" w:lineRule="auto"/>
        <w:ind w:firstLine="720"/>
        <w:rPr>
          <w:rFonts w:cstheme="minorHAnsi"/>
          <w:sz w:val="24"/>
          <w:szCs w:val="24"/>
        </w:rPr>
      </w:pPr>
      <w:r w:rsidRPr="00CC0B87">
        <w:rPr>
          <w:rFonts w:cstheme="minorHAnsi"/>
          <w:noProof/>
          <w:sz w:val="24"/>
          <w:szCs w:val="24"/>
        </w:rPr>
        <w:t xml:space="preserve">The significance of infants in </w:t>
      </w:r>
      <w:r w:rsidR="00802700" w:rsidRPr="00CC0B87">
        <w:rPr>
          <w:rFonts w:cstheme="minorHAnsi"/>
          <w:noProof/>
          <w:sz w:val="24"/>
          <w:szCs w:val="24"/>
        </w:rPr>
        <w:t xml:space="preserve">Bronze Age Cyprus can also be investigated through the observation of </w:t>
      </w:r>
      <w:r w:rsidR="00802700" w:rsidRPr="00CC0B87">
        <w:rPr>
          <w:rFonts w:cstheme="minorHAnsi"/>
          <w:sz w:val="24"/>
          <w:szCs w:val="24"/>
        </w:rPr>
        <w:t>‘age-specific practices which leave traces on the human skeleton’, specifically ‘body modification affecting the skeleton,</w:t>
      </w:r>
      <w:r w:rsidR="003637A9" w:rsidRPr="00CC0B87">
        <w:rPr>
          <w:rFonts w:cstheme="minorHAnsi"/>
          <w:sz w:val="24"/>
          <w:szCs w:val="24"/>
        </w:rPr>
        <w:t xml:space="preserve"> [and]</w:t>
      </w:r>
      <w:r w:rsidR="00802700" w:rsidRPr="00CC0B87">
        <w:rPr>
          <w:rFonts w:cstheme="minorHAnsi"/>
          <w:sz w:val="24"/>
          <w:szCs w:val="24"/>
        </w:rPr>
        <w:t xml:space="preserve"> growth delay’</w:t>
      </w:r>
      <w:r w:rsidR="00502FC2" w:rsidRPr="00CC0B87">
        <w:rPr>
          <w:rStyle w:val="FootnoteReference"/>
          <w:rFonts w:cstheme="minorHAnsi"/>
          <w:sz w:val="24"/>
          <w:szCs w:val="24"/>
        </w:rPr>
        <w:footnoteReference w:id="22"/>
      </w:r>
      <w:r w:rsidR="00502FC2" w:rsidRPr="00CC0B87">
        <w:rPr>
          <w:rFonts w:cstheme="minorHAnsi"/>
          <w:sz w:val="24"/>
          <w:szCs w:val="24"/>
        </w:rPr>
        <w:t xml:space="preserve"> presented in grave finds. </w:t>
      </w:r>
      <w:r w:rsidR="003637A9" w:rsidRPr="00CC0B87">
        <w:rPr>
          <w:rFonts w:cstheme="minorHAnsi"/>
          <w:sz w:val="24"/>
          <w:szCs w:val="24"/>
        </w:rPr>
        <w:t xml:space="preserve">The most </w:t>
      </w:r>
      <w:r w:rsidR="00182D09" w:rsidRPr="00CC0B87">
        <w:rPr>
          <w:rFonts w:cstheme="minorHAnsi"/>
          <w:sz w:val="24"/>
          <w:szCs w:val="24"/>
        </w:rPr>
        <w:t xml:space="preserve">common of these is head-shaping, a practice which </w:t>
      </w:r>
      <w:r w:rsidR="00820521" w:rsidRPr="00CC0B87">
        <w:rPr>
          <w:rFonts w:cstheme="minorHAnsi"/>
          <w:sz w:val="24"/>
          <w:szCs w:val="24"/>
        </w:rPr>
        <w:t>‘had to be instigated in infancy’</w:t>
      </w:r>
      <w:r w:rsidR="00820521" w:rsidRPr="00CC0B87">
        <w:rPr>
          <w:rStyle w:val="FootnoteReference"/>
          <w:rFonts w:cstheme="minorHAnsi"/>
          <w:sz w:val="24"/>
          <w:szCs w:val="24"/>
        </w:rPr>
        <w:footnoteReference w:id="23"/>
      </w:r>
      <w:r w:rsidR="00182D09" w:rsidRPr="00CC0B87">
        <w:rPr>
          <w:rFonts w:cstheme="minorHAnsi"/>
          <w:sz w:val="24"/>
          <w:szCs w:val="24"/>
        </w:rPr>
        <w:t>, while the skull was still malleable and developing.</w:t>
      </w:r>
      <w:r w:rsidR="00053BC0" w:rsidRPr="00CC0B87">
        <w:rPr>
          <w:rFonts w:cstheme="minorHAnsi"/>
          <w:sz w:val="24"/>
          <w:szCs w:val="24"/>
        </w:rPr>
        <w:t xml:space="preserve"> </w:t>
      </w:r>
      <w:r w:rsidR="003964DA" w:rsidRPr="00CC0B87">
        <w:rPr>
          <w:rFonts w:cstheme="minorHAnsi"/>
          <w:noProof/>
          <w:sz w:val="24"/>
          <w:szCs w:val="24"/>
        </w:rPr>
        <w:t>Speaking on body modification, Lorentz states ‘these things are done to one, and are regulated by social conventions, and thus can give clues about the attitudes and dispositions of particular human groups’</w:t>
      </w:r>
      <w:r w:rsidR="003964DA" w:rsidRPr="00CC0B87">
        <w:rPr>
          <w:rStyle w:val="FootnoteReference"/>
          <w:rFonts w:cstheme="minorHAnsi"/>
          <w:noProof/>
          <w:sz w:val="24"/>
          <w:szCs w:val="24"/>
        </w:rPr>
        <w:footnoteReference w:id="24"/>
      </w:r>
      <w:r w:rsidR="003964DA" w:rsidRPr="00CC0B87">
        <w:rPr>
          <w:rFonts w:cstheme="minorHAnsi"/>
          <w:noProof/>
          <w:sz w:val="24"/>
          <w:szCs w:val="24"/>
        </w:rPr>
        <w:t xml:space="preserve">. </w:t>
      </w:r>
      <w:r w:rsidR="00CB2924" w:rsidRPr="00CC0B87">
        <w:rPr>
          <w:rFonts w:cstheme="minorHAnsi"/>
          <w:noProof/>
          <w:sz w:val="24"/>
          <w:szCs w:val="24"/>
        </w:rPr>
        <w:t xml:space="preserve">This refers to the idea that status was likely connected to the practice of headshaping. This is indicated by the fact that </w:t>
      </w:r>
      <w:r w:rsidR="00682993" w:rsidRPr="00CC0B87">
        <w:rPr>
          <w:rFonts w:cstheme="minorHAnsi"/>
          <w:sz w:val="24"/>
          <w:szCs w:val="24"/>
        </w:rPr>
        <w:t>‘head shaping occurs in very wealthy LC tombs</w:t>
      </w:r>
      <w:r w:rsidR="00CB2924" w:rsidRPr="00CC0B87">
        <w:rPr>
          <w:rFonts w:cstheme="minorHAnsi"/>
          <w:sz w:val="24"/>
          <w:szCs w:val="24"/>
        </w:rPr>
        <w:t>’</w:t>
      </w:r>
      <w:r w:rsidR="008A4764" w:rsidRPr="00CC0B87">
        <w:rPr>
          <w:rStyle w:val="FootnoteReference"/>
          <w:rFonts w:cstheme="minorHAnsi"/>
          <w:sz w:val="24"/>
          <w:szCs w:val="24"/>
        </w:rPr>
        <w:footnoteReference w:id="25"/>
      </w:r>
      <w:r w:rsidR="00AE0ED7" w:rsidRPr="00CC0B87">
        <w:rPr>
          <w:rFonts w:cstheme="minorHAnsi"/>
          <w:sz w:val="24"/>
          <w:szCs w:val="24"/>
        </w:rPr>
        <w:t xml:space="preserve">, relating to a group of women found in </w:t>
      </w:r>
      <w:proofErr w:type="spellStart"/>
      <w:r w:rsidR="00AE0ED7" w:rsidRPr="00CC0B87">
        <w:rPr>
          <w:rFonts w:cstheme="minorHAnsi"/>
          <w:sz w:val="24"/>
          <w:szCs w:val="24"/>
        </w:rPr>
        <w:t>Khirokitia</w:t>
      </w:r>
      <w:proofErr w:type="spellEnd"/>
      <w:r w:rsidR="00AE0ED7" w:rsidRPr="00CC0B87">
        <w:rPr>
          <w:rFonts w:cstheme="minorHAnsi"/>
          <w:sz w:val="24"/>
          <w:szCs w:val="24"/>
        </w:rPr>
        <w:t xml:space="preserve"> with </w:t>
      </w:r>
      <w:r w:rsidR="00FF3F6E" w:rsidRPr="00CC0B87">
        <w:rPr>
          <w:rFonts w:cstheme="minorHAnsi"/>
          <w:sz w:val="24"/>
          <w:szCs w:val="24"/>
        </w:rPr>
        <w:t>skulls that have been shaped more extensively than others at the site. Such a</w:t>
      </w:r>
      <w:r w:rsidR="00096D02" w:rsidRPr="00CC0B87">
        <w:rPr>
          <w:rFonts w:cstheme="minorHAnsi"/>
          <w:sz w:val="24"/>
          <w:szCs w:val="24"/>
        </w:rPr>
        <w:t xml:space="preserve"> discovering prompted Lorentz to theorise on the ‘possibility of gender differential </w:t>
      </w:r>
      <w:proofErr w:type="spellStart"/>
      <w:r w:rsidR="00096D02" w:rsidRPr="00CC0B87">
        <w:rPr>
          <w:rFonts w:cstheme="minorHAnsi"/>
          <w:sz w:val="24"/>
          <w:szCs w:val="24"/>
        </w:rPr>
        <w:t>headshaping</w:t>
      </w:r>
      <w:proofErr w:type="spellEnd"/>
      <w:r w:rsidR="00096D02" w:rsidRPr="00CC0B87">
        <w:rPr>
          <w:rFonts w:cstheme="minorHAnsi"/>
          <w:sz w:val="24"/>
          <w:szCs w:val="24"/>
        </w:rPr>
        <w:t>’</w:t>
      </w:r>
      <w:r w:rsidR="00AB3CC8" w:rsidRPr="00CC0B87">
        <w:rPr>
          <w:rStyle w:val="FootnoteReference"/>
          <w:rFonts w:cstheme="minorHAnsi"/>
          <w:sz w:val="24"/>
          <w:szCs w:val="24"/>
        </w:rPr>
        <w:footnoteReference w:id="26"/>
      </w:r>
      <w:r w:rsidR="00096D02" w:rsidRPr="00CC0B87">
        <w:rPr>
          <w:rFonts w:cstheme="minorHAnsi"/>
          <w:sz w:val="24"/>
          <w:szCs w:val="24"/>
        </w:rPr>
        <w:t xml:space="preserve">, </w:t>
      </w:r>
      <w:r w:rsidR="00AB3CC8" w:rsidRPr="00CC0B87">
        <w:rPr>
          <w:rFonts w:cstheme="minorHAnsi"/>
          <w:sz w:val="24"/>
          <w:szCs w:val="24"/>
        </w:rPr>
        <w:t xml:space="preserve">which served ‘as a marker of socio-cultural difference’ in other societies, and so may have done so in Cyprus. She argues that these extensive examples indicate that </w:t>
      </w:r>
      <w:r w:rsidR="005876E8" w:rsidRPr="00CC0B87">
        <w:rPr>
          <w:rFonts w:cstheme="minorHAnsi"/>
          <w:sz w:val="24"/>
          <w:szCs w:val="24"/>
        </w:rPr>
        <w:t xml:space="preserve">though ‘the presence or absence of </w:t>
      </w:r>
      <w:proofErr w:type="spellStart"/>
      <w:r w:rsidR="005876E8" w:rsidRPr="00CC0B87">
        <w:rPr>
          <w:rFonts w:cstheme="minorHAnsi"/>
          <w:sz w:val="24"/>
          <w:szCs w:val="24"/>
        </w:rPr>
        <w:t>headshaping</w:t>
      </w:r>
      <w:proofErr w:type="spellEnd"/>
      <w:r w:rsidR="005876E8" w:rsidRPr="00CC0B87">
        <w:rPr>
          <w:rFonts w:cstheme="minorHAnsi"/>
          <w:sz w:val="24"/>
          <w:szCs w:val="24"/>
        </w:rPr>
        <w:t xml:space="preserve"> at </w:t>
      </w:r>
      <w:proofErr w:type="spellStart"/>
      <w:r w:rsidR="005876E8" w:rsidRPr="00CC0B87">
        <w:rPr>
          <w:rFonts w:cstheme="minorHAnsi"/>
          <w:sz w:val="24"/>
          <w:szCs w:val="24"/>
        </w:rPr>
        <w:t>Khirokitia</w:t>
      </w:r>
      <w:proofErr w:type="spellEnd"/>
      <w:r w:rsidR="005876E8" w:rsidRPr="00CC0B87">
        <w:rPr>
          <w:rFonts w:cstheme="minorHAnsi"/>
          <w:sz w:val="24"/>
          <w:szCs w:val="24"/>
        </w:rPr>
        <w:t xml:space="preserve"> is not gendered, […] its intensity seems to be’, indicating a desire to mark men and women apart as physically different and distinct, which may suggest </w:t>
      </w:r>
      <w:r w:rsidR="00866B68" w:rsidRPr="00CC0B87">
        <w:rPr>
          <w:rFonts w:cstheme="minorHAnsi"/>
          <w:sz w:val="24"/>
          <w:szCs w:val="24"/>
        </w:rPr>
        <w:t>difference in roles</w:t>
      </w:r>
      <w:r w:rsidR="00190E3E" w:rsidRPr="00CC0B87">
        <w:rPr>
          <w:rFonts w:cstheme="minorHAnsi"/>
          <w:sz w:val="24"/>
          <w:szCs w:val="24"/>
        </w:rPr>
        <w:t>, perhaps, or of treatment</w:t>
      </w:r>
      <w:r w:rsidR="00866B68" w:rsidRPr="00CC0B87">
        <w:rPr>
          <w:rFonts w:cstheme="minorHAnsi"/>
          <w:sz w:val="24"/>
          <w:szCs w:val="24"/>
        </w:rPr>
        <w:t>.</w:t>
      </w:r>
    </w:p>
    <w:p w14:paraId="1DF52970" w14:textId="616E6073" w:rsidR="00116757" w:rsidRPr="00CC0B87" w:rsidRDefault="008A4764" w:rsidP="00CC0B87">
      <w:pPr>
        <w:spacing w:line="360" w:lineRule="auto"/>
        <w:ind w:firstLine="720"/>
        <w:rPr>
          <w:rFonts w:cstheme="minorHAnsi"/>
          <w:noProof/>
          <w:sz w:val="24"/>
          <w:szCs w:val="24"/>
        </w:rPr>
      </w:pPr>
      <w:r w:rsidRPr="00CC0B87">
        <w:rPr>
          <w:rFonts w:cstheme="minorHAnsi"/>
          <w:sz w:val="24"/>
          <w:szCs w:val="24"/>
        </w:rPr>
        <w:t xml:space="preserve"> The act of beginning to shape a young child’s head, </w:t>
      </w:r>
      <w:r w:rsidR="001A5020" w:rsidRPr="00CC0B87">
        <w:rPr>
          <w:rFonts w:cstheme="minorHAnsi"/>
          <w:sz w:val="24"/>
          <w:szCs w:val="24"/>
        </w:rPr>
        <w:t xml:space="preserve">requiring energy and </w:t>
      </w:r>
      <w:r w:rsidR="007865A0" w:rsidRPr="00CC0B87">
        <w:rPr>
          <w:rFonts w:cstheme="minorHAnsi"/>
          <w:sz w:val="24"/>
          <w:szCs w:val="24"/>
        </w:rPr>
        <w:t xml:space="preserve">consistent binding, </w:t>
      </w:r>
      <w:r w:rsidR="001A5020" w:rsidRPr="00CC0B87">
        <w:rPr>
          <w:rFonts w:cstheme="minorHAnsi"/>
          <w:sz w:val="24"/>
          <w:szCs w:val="24"/>
        </w:rPr>
        <w:t xml:space="preserve">in a society with </w:t>
      </w:r>
      <w:r w:rsidR="007865A0" w:rsidRPr="00CC0B87">
        <w:rPr>
          <w:rFonts w:cstheme="minorHAnsi"/>
          <w:sz w:val="24"/>
          <w:szCs w:val="24"/>
        </w:rPr>
        <w:t>a high infant mortality rate,</w:t>
      </w:r>
      <w:r w:rsidR="008550F4" w:rsidRPr="00CC0B87">
        <w:rPr>
          <w:rFonts w:cstheme="minorHAnsi"/>
          <w:sz w:val="24"/>
          <w:szCs w:val="24"/>
        </w:rPr>
        <w:t xml:space="preserve"> suggests that those children born </w:t>
      </w:r>
      <w:r w:rsidR="00E3699D" w:rsidRPr="00CC0B87">
        <w:rPr>
          <w:rFonts w:cstheme="minorHAnsi"/>
          <w:sz w:val="24"/>
          <w:szCs w:val="24"/>
        </w:rPr>
        <w:t xml:space="preserve">into wealthy families </w:t>
      </w:r>
      <w:r w:rsidR="00F910A7" w:rsidRPr="00CC0B87">
        <w:rPr>
          <w:rFonts w:cstheme="minorHAnsi"/>
          <w:sz w:val="24"/>
          <w:szCs w:val="24"/>
        </w:rPr>
        <w:t>were immediately viewed as members of the kin group, worthy of being marked out</w:t>
      </w:r>
      <w:r w:rsidR="00B91C46" w:rsidRPr="00CC0B87">
        <w:rPr>
          <w:rFonts w:cstheme="minorHAnsi"/>
          <w:sz w:val="24"/>
          <w:szCs w:val="24"/>
        </w:rPr>
        <w:t xml:space="preserve">, even at a young age. The </w:t>
      </w:r>
      <w:r w:rsidR="000721AF" w:rsidRPr="00CC0B87">
        <w:rPr>
          <w:rFonts w:cstheme="minorHAnsi"/>
          <w:sz w:val="24"/>
          <w:szCs w:val="24"/>
        </w:rPr>
        <w:t xml:space="preserve">different approach suggested by Lorentz regarding </w:t>
      </w:r>
      <w:r w:rsidR="000721AF" w:rsidRPr="00CC0B87">
        <w:rPr>
          <w:rFonts w:cstheme="minorHAnsi"/>
          <w:sz w:val="24"/>
          <w:szCs w:val="24"/>
        </w:rPr>
        <w:lastRenderedPageBreak/>
        <w:t>the shaping of baby girls’ head</w:t>
      </w:r>
      <w:r w:rsidR="00EE7D51" w:rsidRPr="00CC0B87">
        <w:rPr>
          <w:rFonts w:cstheme="minorHAnsi"/>
          <w:sz w:val="24"/>
          <w:szCs w:val="24"/>
        </w:rPr>
        <w:t>s</w:t>
      </w:r>
      <w:r w:rsidR="000721AF" w:rsidRPr="00CC0B87">
        <w:rPr>
          <w:rFonts w:cstheme="minorHAnsi"/>
          <w:sz w:val="24"/>
          <w:szCs w:val="24"/>
        </w:rPr>
        <w:t xml:space="preserve"> </w:t>
      </w:r>
      <w:r w:rsidR="00AD251C" w:rsidRPr="00CC0B87">
        <w:rPr>
          <w:rFonts w:cstheme="minorHAnsi"/>
          <w:sz w:val="24"/>
          <w:szCs w:val="24"/>
        </w:rPr>
        <w:t xml:space="preserve">would </w:t>
      </w:r>
      <w:r w:rsidR="00EE7D51" w:rsidRPr="00CC0B87">
        <w:rPr>
          <w:rFonts w:cstheme="minorHAnsi"/>
          <w:sz w:val="24"/>
          <w:szCs w:val="24"/>
        </w:rPr>
        <w:t>mean</w:t>
      </w:r>
      <w:r w:rsidR="00AD251C" w:rsidRPr="00CC0B87">
        <w:rPr>
          <w:rFonts w:cstheme="minorHAnsi"/>
          <w:sz w:val="24"/>
          <w:szCs w:val="24"/>
        </w:rPr>
        <w:t xml:space="preserve"> </w:t>
      </w:r>
      <w:r w:rsidR="00ED214A" w:rsidRPr="00CC0B87">
        <w:rPr>
          <w:rFonts w:cstheme="minorHAnsi"/>
          <w:sz w:val="24"/>
          <w:szCs w:val="24"/>
        </w:rPr>
        <w:t>‘visually drawing attention to her gendered role/s in life’</w:t>
      </w:r>
      <w:r w:rsidR="00866B68" w:rsidRPr="00CC0B87">
        <w:rPr>
          <w:rStyle w:val="FootnoteReference"/>
          <w:rFonts w:cstheme="minorHAnsi"/>
          <w:sz w:val="24"/>
          <w:szCs w:val="24"/>
        </w:rPr>
        <w:footnoteReference w:id="27"/>
      </w:r>
      <w:r w:rsidR="00AD251C" w:rsidRPr="00CC0B87">
        <w:rPr>
          <w:rFonts w:cstheme="minorHAnsi"/>
          <w:sz w:val="24"/>
          <w:szCs w:val="24"/>
        </w:rPr>
        <w:t>.</w:t>
      </w:r>
      <w:r w:rsidR="00FE7373" w:rsidRPr="00CC0B87">
        <w:rPr>
          <w:rFonts w:cstheme="minorHAnsi"/>
          <w:sz w:val="24"/>
          <w:szCs w:val="24"/>
        </w:rPr>
        <w:t xml:space="preserve"> In fact, h</w:t>
      </w:r>
      <w:r w:rsidR="00682993" w:rsidRPr="00CC0B87">
        <w:rPr>
          <w:rFonts w:cstheme="minorHAnsi"/>
          <w:sz w:val="24"/>
          <w:szCs w:val="24"/>
        </w:rPr>
        <w:t xml:space="preserve">ead shaping </w:t>
      </w:r>
      <w:r w:rsidR="00FE7373" w:rsidRPr="00CC0B87">
        <w:rPr>
          <w:rFonts w:cstheme="minorHAnsi"/>
          <w:sz w:val="24"/>
          <w:szCs w:val="24"/>
        </w:rPr>
        <w:t xml:space="preserve">was seen </w:t>
      </w:r>
      <w:r w:rsidR="00682993" w:rsidRPr="00CC0B87">
        <w:rPr>
          <w:rFonts w:cstheme="minorHAnsi"/>
          <w:sz w:val="24"/>
          <w:szCs w:val="24"/>
        </w:rPr>
        <w:t>so significant</w:t>
      </w:r>
      <w:r w:rsidR="00FE7373" w:rsidRPr="00CC0B87">
        <w:rPr>
          <w:rFonts w:cstheme="minorHAnsi"/>
          <w:sz w:val="24"/>
          <w:szCs w:val="24"/>
        </w:rPr>
        <w:t xml:space="preserve">ly in </w:t>
      </w:r>
      <w:r w:rsidR="00233151" w:rsidRPr="00CC0B87">
        <w:rPr>
          <w:rFonts w:cstheme="minorHAnsi"/>
          <w:sz w:val="24"/>
          <w:szCs w:val="24"/>
        </w:rPr>
        <w:t>BA Cyprus</w:t>
      </w:r>
      <w:r w:rsidR="00682993" w:rsidRPr="00CC0B87">
        <w:rPr>
          <w:rFonts w:cstheme="minorHAnsi"/>
          <w:sz w:val="24"/>
          <w:szCs w:val="24"/>
        </w:rPr>
        <w:t xml:space="preserve"> that an ‘anthropologist active in Cyprus and the surrounding region over 50 years ago, suggested that some of the circularly head shaped individuals in Late Bronze Age Cyprus could be immigrants coming from elsewhere in the region’</w:t>
      </w:r>
      <w:r w:rsidR="00233151" w:rsidRPr="00CC0B87">
        <w:rPr>
          <w:rStyle w:val="FootnoteReference"/>
          <w:rFonts w:cstheme="minorHAnsi"/>
          <w:sz w:val="24"/>
          <w:szCs w:val="24"/>
        </w:rPr>
        <w:footnoteReference w:id="28"/>
      </w:r>
      <w:r w:rsidR="00233151" w:rsidRPr="00CC0B87">
        <w:rPr>
          <w:rFonts w:cstheme="minorHAnsi"/>
          <w:sz w:val="24"/>
          <w:szCs w:val="24"/>
        </w:rPr>
        <w:t xml:space="preserve">. </w:t>
      </w:r>
      <w:r w:rsidR="006E4B02" w:rsidRPr="00CC0B87">
        <w:rPr>
          <w:rFonts w:cstheme="minorHAnsi"/>
          <w:sz w:val="24"/>
          <w:szCs w:val="24"/>
        </w:rPr>
        <w:t xml:space="preserve">However, this interpretation of pottery representations, Lorentz argues, </w:t>
      </w:r>
      <w:r w:rsidR="00DE36E3" w:rsidRPr="00CC0B87">
        <w:rPr>
          <w:rFonts w:cstheme="minorHAnsi"/>
          <w:sz w:val="24"/>
          <w:szCs w:val="24"/>
        </w:rPr>
        <w:t xml:space="preserve">is perhaps limited, </w:t>
      </w:r>
      <w:r w:rsidR="00DE36E3" w:rsidRPr="00CC0B87">
        <w:rPr>
          <w:rFonts w:cstheme="minorHAnsi"/>
          <w:noProof/>
          <w:sz w:val="24"/>
          <w:szCs w:val="24"/>
        </w:rPr>
        <w:t xml:space="preserve">as the representation of </w:t>
      </w:r>
      <w:r w:rsidR="00EF100E" w:rsidRPr="00CC0B87">
        <w:rPr>
          <w:rFonts w:cstheme="minorHAnsi"/>
          <w:noProof/>
          <w:sz w:val="24"/>
          <w:szCs w:val="24"/>
        </w:rPr>
        <w:t>circular heads may simply be lower class individuals, if the practice is in fact related to cla</w:t>
      </w:r>
      <w:r w:rsidR="00A3688A" w:rsidRPr="00CC0B87">
        <w:rPr>
          <w:rFonts w:cstheme="minorHAnsi"/>
          <w:noProof/>
          <w:sz w:val="24"/>
          <w:szCs w:val="24"/>
        </w:rPr>
        <w:t>ss</w:t>
      </w:r>
      <w:r w:rsidR="00D840AB" w:rsidRPr="00CC0B87">
        <w:rPr>
          <w:rFonts w:cstheme="minorHAnsi"/>
          <w:noProof/>
          <w:sz w:val="24"/>
          <w:szCs w:val="24"/>
        </w:rPr>
        <w:t>, or may occur due to an exchange of imagery with differing cultures</w:t>
      </w:r>
      <w:r w:rsidR="00A3688A" w:rsidRPr="00CC0B87">
        <w:rPr>
          <w:rFonts w:cstheme="minorHAnsi"/>
          <w:noProof/>
          <w:sz w:val="24"/>
          <w:szCs w:val="24"/>
        </w:rPr>
        <w:t>.</w:t>
      </w:r>
    </w:p>
    <w:p w14:paraId="484FE4DE" w14:textId="564EEA1B" w:rsidR="00D24536" w:rsidRPr="00CC0B87" w:rsidRDefault="00A3688A" w:rsidP="00CC0B87">
      <w:pPr>
        <w:spacing w:line="360" w:lineRule="auto"/>
        <w:ind w:firstLine="720"/>
        <w:rPr>
          <w:rFonts w:cstheme="minorHAnsi"/>
          <w:sz w:val="24"/>
          <w:szCs w:val="24"/>
        </w:rPr>
      </w:pPr>
      <w:r w:rsidRPr="00CC0B87">
        <w:rPr>
          <w:rFonts w:cstheme="minorHAnsi"/>
          <w:noProof/>
          <w:sz w:val="24"/>
          <w:szCs w:val="24"/>
        </w:rPr>
        <w:t>The difficultly with such examinations,</w:t>
      </w:r>
      <w:r w:rsidR="00C768F2" w:rsidRPr="00CC0B87">
        <w:rPr>
          <w:rFonts w:cstheme="minorHAnsi"/>
          <w:noProof/>
          <w:sz w:val="24"/>
          <w:szCs w:val="24"/>
        </w:rPr>
        <w:t xml:space="preserve"> however useful regarding headshaping,</w:t>
      </w:r>
      <w:r w:rsidRPr="00CC0B87">
        <w:rPr>
          <w:rFonts w:cstheme="minorHAnsi"/>
          <w:noProof/>
          <w:sz w:val="24"/>
          <w:szCs w:val="24"/>
        </w:rPr>
        <w:t xml:space="preserve"> </w:t>
      </w:r>
      <w:r w:rsidR="00467497" w:rsidRPr="00CC0B87">
        <w:rPr>
          <w:rFonts w:cstheme="minorHAnsi"/>
          <w:noProof/>
          <w:sz w:val="24"/>
          <w:szCs w:val="24"/>
        </w:rPr>
        <w:t xml:space="preserve">is that </w:t>
      </w:r>
      <w:r w:rsidR="00F34CEA" w:rsidRPr="00CC0B87">
        <w:rPr>
          <w:rFonts w:cstheme="minorHAnsi"/>
          <w:sz w:val="24"/>
          <w:szCs w:val="24"/>
        </w:rPr>
        <w:t>‘only some differential practices relating to cultural identity leave traces on the human skeleton and/or dentition</w:t>
      </w:r>
      <w:r w:rsidR="00717A7B" w:rsidRPr="00CC0B87">
        <w:rPr>
          <w:rFonts w:cstheme="minorHAnsi"/>
          <w:sz w:val="24"/>
          <w:szCs w:val="24"/>
        </w:rPr>
        <w:t>’</w:t>
      </w:r>
      <w:r w:rsidR="005C52F3" w:rsidRPr="00CC0B87">
        <w:rPr>
          <w:rStyle w:val="FootnoteReference"/>
          <w:rFonts w:cstheme="minorHAnsi"/>
          <w:sz w:val="24"/>
          <w:szCs w:val="24"/>
        </w:rPr>
        <w:footnoteReference w:id="29"/>
      </w:r>
      <w:r w:rsidR="00717A7B" w:rsidRPr="00CC0B87">
        <w:rPr>
          <w:rFonts w:cstheme="minorHAnsi"/>
          <w:sz w:val="24"/>
          <w:szCs w:val="24"/>
        </w:rPr>
        <w:t xml:space="preserve">. For instance, what information and/or decision making an adult individual </w:t>
      </w:r>
      <w:r w:rsidR="00C768F2" w:rsidRPr="00CC0B87">
        <w:rPr>
          <w:rFonts w:cstheme="minorHAnsi"/>
          <w:sz w:val="24"/>
          <w:szCs w:val="24"/>
        </w:rPr>
        <w:t>was</w:t>
      </w:r>
      <w:r w:rsidR="00717A7B" w:rsidRPr="00CC0B87">
        <w:rPr>
          <w:rFonts w:cstheme="minorHAnsi"/>
          <w:sz w:val="24"/>
          <w:szCs w:val="24"/>
        </w:rPr>
        <w:t xml:space="preserve"> allowed to take part in during life</w:t>
      </w:r>
      <w:r w:rsidR="00AA4C31" w:rsidRPr="00CC0B87">
        <w:rPr>
          <w:rFonts w:cstheme="minorHAnsi"/>
          <w:sz w:val="24"/>
          <w:szCs w:val="24"/>
        </w:rPr>
        <w:t>, due to their status or gender,</w:t>
      </w:r>
      <w:r w:rsidR="00717A7B" w:rsidRPr="00CC0B87">
        <w:rPr>
          <w:rFonts w:cstheme="minorHAnsi"/>
          <w:sz w:val="24"/>
          <w:szCs w:val="24"/>
        </w:rPr>
        <w:t xml:space="preserve"> would be invisible when dealing with their skeleton</w:t>
      </w:r>
      <w:r w:rsidR="00D15B73" w:rsidRPr="00CC0B87">
        <w:rPr>
          <w:rFonts w:cstheme="minorHAnsi"/>
          <w:sz w:val="24"/>
          <w:szCs w:val="24"/>
        </w:rPr>
        <w:t>.</w:t>
      </w:r>
    </w:p>
    <w:p w14:paraId="70300C7A" w14:textId="36F998D3" w:rsidR="00D77033" w:rsidRPr="00CC0B87" w:rsidRDefault="00A61B49" w:rsidP="00CC0B87">
      <w:pPr>
        <w:pStyle w:val="Heading4"/>
        <w:spacing w:line="360" w:lineRule="auto"/>
        <w:ind w:firstLine="720"/>
        <w:rPr>
          <w:rFonts w:asciiTheme="minorHAnsi" w:hAnsiTheme="minorHAnsi" w:cstheme="minorHAnsi"/>
          <w:b w:val="0"/>
          <w:bCs w:val="0"/>
        </w:rPr>
      </w:pPr>
      <w:r w:rsidRPr="00CC0B87">
        <w:rPr>
          <w:rFonts w:asciiTheme="minorHAnsi" w:hAnsiTheme="minorHAnsi" w:cstheme="minorHAnsi"/>
          <w:b w:val="0"/>
          <w:bCs w:val="0"/>
        </w:rPr>
        <w:t>However, o</w:t>
      </w:r>
      <w:r w:rsidR="00AA4C31" w:rsidRPr="00CC0B87">
        <w:rPr>
          <w:rFonts w:asciiTheme="minorHAnsi" w:hAnsiTheme="minorHAnsi" w:cstheme="minorHAnsi"/>
          <w:b w:val="0"/>
          <w:bCs w:val="0"/>
        </w:rPr>
        <w:t>bservation of burials</w:t>
      </w:r>
      <w:r w:rsidRPr="00CC0B87">
        <w:rPr>
          <w:rFonts w:asciiTheme="minorHAnsi" w:hAnsiTheme="minorHAnsi" w:cstheme="minorHAnsi"/>
          <w:b w:val="0"/>
          <w:bCs w:val="0"/>
        </w:rPr>
        <w:t xml:space="preserve"> may</w:t>
      </w:r>
      <w:r w:rsidR="00AA4C31" w:rsidRPr="00CC0B87">
        <w:rPr>
          <w:rFonts w:asciiTheme="minorHAnsi" w:hAnsiTheme="minorHAnsi" w:cstheme="minorHAnsi"/>
          <w:b w:val="0"/>
          <w:bCs w:val="0"/>
        </w:rPr>
        <w:t xml:space="preserve"> also</w:t>
      </w:r>
      <w:r w:rsidRPr="00CC0B87">
        <w:rPr>
          <w:rFonts w:asciiTheme="minorHAnsi" w:hAnsiTheme="minorHAnsi" w:cstheme="minorHAnsi"/>
          <w:b w:val="0"/>
          <w:bCs w:val="0"/>
        </w:rPr>
        <w:t xml:space="preserve"> help indicate </w:t>
      </w:r>
      <w:r w:rsidR="00AB4CE4" w:rsidRPr="00CC0B87">
        <w:rPr>
          <w:rFonts w:asciiTheme="minorHAnsi" w:hAnsiTheme="minorHAnsi" w:cstheme="minorHAnsi"/>
          <w:b w:val="0"/>
          <w:bCs w:val="0"/>
        </w:rPr>
        <w:t>treatment according to status, gender,</w:t>
      </w:r>
      <w:r w:rsidR="00307204" w:rsidRPr="00CC0B87">
        <w:rPr>
          <w:rFonts w:asciiTheme="minorHAnsi" w:hAnsiTheme="minorHAnsi" w:cstheme="minorHAnsi"/>
          <w:b w:val="0"/>
          <w:bCs w:val="0"/>
        </w:rPr>
        <w:t xml:space="preserve"> and</w:t>
      </w:r>
      <w:r w:rsidR="00AB4CE4" w:rsidRPr="00CC0B87">
        <w:rPr>
          <w:rFonts w:asciiTheme="minorHAnsi" w:hAnsiTheme="minorHAnsi" w:cstheme="minorHAnsi"/>
          <w:b w:val="0"/>
          <w:bCs w:val="0"/>
        </w:rPr>
        <w:t xml:space="preserve"> age, </w:t>
      </w:r>
      <w:r w:rsidR="00307204" w:rsidRPr="00CC0B87">
        <w:rPr>
          <w:rFonts w:asciiTheme="minorHAnsi" w:hAnsiTheme="minorHAnsi" w:cstheme="minorHAnsi"/>
          <w:b w:val="0"/>
          <w:bCs w:val="0"/>
        </w:rPr>
        <w:t>based on</w:t>
      </w:r>
      <w:r w:rsidR="00AB4CE4" w:rsidRPr="00CC0B87">
        <w:rPr>
          <w:rFonts w:asciiTheme="minorHAnsi" w:hAnsiTheme="minorHAnsi" w:cstheme="minorHAnsi"/>
          <w:b w:val="0"/>
          <w:bCs w:val="0"/>
        </w:rPr>
        <w:t xml:space="preserve"> where and how an individual was buried.</w:t>
      </w:r>
      <w:r w:rsidR="00562384" w:rsidRPr="00CC0B87">
        <w:rPr>
          <w:rFonts w:asciiTheme="minorHAnsi" w:hAnsiTheme="minorHAnsi" w:cstheme="minorHAnsi"/>
          <w:b w:val="0"/>
          <w:bCs w:val="0"/>
        </w:rPr>
        <w:t xml:space="preserve"> Lorentz discusses, for instance, the possibility that </w:t>
      </w:r>
      <w:r w:rsidR="00F06EA4" w:rsidRPr="00CC0B87">
        <w:rPr>
          <w:rFonts w:asciiTheme="minorHAnsi" w:hAnsiTheme="minorHAnsi" w:cstheme="minorHAnsi"/>
          <w:b w:val="0"/>
          <w:bCs w:val="0"/>
        </w:rPr>
        <w:t>‘</w:t>
      </w:r>
      <w:r w:rsidR="00562384" w:rsidRPr="00CC0B87">
        <w:rPr>
          <w:rFonts w:asciiTheme="minorHAnsi" w:hAnsiTheme="minorHAnsi" w:cstheme="minorHAnsi"/>
          <w:b w:val="0"/>
          <w:bCs w:val="0"/>
        </w:rPr>
        <w:t>infants were first buried in the dromos niches, and that only an adult death warranted opening the burial chamber proper</w:t>
      </w:r>
      <w:r w:rsidR="00F06EA4" w:rsidRPr="00CC0B87">
        <w:rPr>
          <w:rFonts w:asciiTheme="minorHAnsi" w:hAnsiTheme="minorHAnsi" w:cstheme="minorHAnsi"/>
          <w:b w:val="0"/>
          <w:bCs w:val="0"/>
        </w:rPr>
        <w:t>’</w:t>
      </w:r>
      <w:r w:rsidR="00F06EA4" w:rsidRPr="00CC0B87">
        <w:rPr>
          <w:rStyle w:val="FootnoteReference"/>
          <w:rFonts w:asciiTheme="minorHAnsi" w:hAnsiTheme="minorHAnsi" w:cstheme="minorHAnsi"/>
          <w:b w:val="0"/>
          <w:bCs w:val="0"/>
        </w:rPr>
        <w:footnoteReference w:id="30"/>
      </w:r>
      <w:r w:rsidR="00F06EA4" w:rsidRPr="00CC0B87">
        <w:rPr>
          <w:rFonts w:asciiTheme="minorHAnsi" w:hAnsiTheme="minorHAnsi" w:cstheme="minorHAnsi"/>
          <w:b w:val="0"/>
          <w:bCs w:val="0"/>
        </w:rPr>
        <w:t xml:space="preserve">. </w:t>
      </w:r>
      <w:r w:rsidR="00F97ACF" w:rsidRPr="00CC0B87">
        <w:rPr>
          <w:rFonts w:asciiTheme="minorHAnsi" w:hAnsiTheme="minorHAnsi" w:cstheme="minorHAnsi"/>
          <w:b w:val="0"/>
          <w:bCs w:val="0"/>
        </w:rPr>
        <w:t>This suggestion</w:t>
      </w:r>
      <w:r w:rsidR="00AC10AA" w:rsidRPr="00CC0B87">
        <w:rPr>
          <w:rFonts w:asciiTheme="minorHAnsi" w:hAnsiTheme="minorHAnsi" w:cstheme="minorHAnsi"/>
          <w:b w:val="0"/>
          <w:bCs w:val="0"/>
        </w:rPr>
        <w:t xml:space="preserve"> </w:t>
      </w:r>
      <w:proofErr w:type="gramStart"/>
      <w:r w:rsidR="00AC10AA" w:rsidRPr="00CC0B87">
        <w:rPr>
          <w:rFonts w:asciiTheme="minorHAnsi" w:hAnsiTheme="minorHAnsi" w:cstheme="minorHAnsi"/>
          <w:b w:val="0"/>
          <w:bCs w:val="0"/>
        </w:rPr>
        <w:t>opens up</w:t>
      </w:r>
      <w:proofErr w:type="gramEnd"/>
      <w:r w:rsidR="00AC10AA" w:rsidRPr="00CC0B87">
        <w:rPr>
          <w:rFonts w:asciiTheme="minorHAnsi" w:hAnsiTheme="minorHAnsi" w:cstheme="minorHAnsi"/>
          <w:b w:val="0"/>
          <w:bCs w:val="0"/>
        </w:rPr>
        <w:t xml:space="preserve"> potential insight into age-based burial treatments. </w:t>
      </w:r>
      <w:r w:rsidR="00F06EA4" w:rsidRPr="00CC0B87">
        <w:rPr>
          <w:rFonts w:asciiTheme="minorHAnsi" w:hAnsiTheme="minorHAnsi" w:cstheme="minorHAnsi"/>
          <w:b w:val="0"/>
          <w:bCs w:val="0"/>
        </w:rPr>
        <w:t xml:space="preserve">If this were the </w:t>
      </w:r>
      <w:r w:rsidR="0098455C" w:rsidRPr="00CC0B87">
        <w:rPr>
          <w:rFonts w:asciiTheme="minorHAnsi" w:hAnsiTheme="minorHAnsi" w:cstheme="minorHAnsi"/>
          <w:b w:val="0"/>
          <w:bCs w:val="0"/>
        </w:rPr>
        <w:t xml:space="preserve">way the </w:t>
      </w:r>
      <w:r w:rsidR="00AC10AA" w:rsidRPr="00CC0B87">
        <w:rPr>
          <w:rFonts w:asciiTheme="minorHAnsi" w:hAnsiTheme="minorHAnsi" w:cstheme="minorHAnsi"/>
          <w:b w:val="0"/>
          <w:bCs w:val="0"/>
        </w:rPr>
        <w:t xml:space="preserve">infant </w:t>
      </w:r>
      <w:r w:rsidR="0098455C" w:rsidRPr="00CC0B87">
        <w:rPr>
          <w:rFonts w:asciiTheme="minorHAnsi" w:hAnsiTheme="minorHAnsi" w:cstheme="minorHAnsi"/>
          <w:b w:val="0"/>
          <w:bCs w:val="0"/>
        </w:rPr>
        <w:t xml:space="preserve">bodies found their way into adult burials, it would certainly suggest a limitation on the perceived significance of </w:t>
      </w:r>
      <w:r w:rsidR="0083011D" w:rsidRPr="00CC0B87">
        <w:rPr>
          <w:rFonts w:asciiTheme="minorHAnsi" w:hAnsiTheme="minorHAnsi" w:cstheme="minorHAnsi"/>
          <w:b w:val="0"/>
          <w:bCs w:val="0"/>
        </w:rPr>
        <w:t xml:space="preserve">dead infants, seemingly marking them out as being ‘lesser’ members of society. </w:t>
      </w:r>
      <w:r w:rsidR="004219F8" w:rsidRPr="00CC0B87">
        <w:rPr>
          <w:rFonts w:asciiTheme="minorHAnsi" w:hAnsiTheme="minorHAnsi" w:cstheme="minorHAnsi"/>
          <w:b w:val="0"/>
          <w:bCs w:val="0"/>
        </w:rPr>
        <w:t xml:space="preserve">Even if this were not emotionally the case, the practicality of disposing of an adult, versus an infant, body, </w:t>
      </w:r>
      <w:r w:rsidR="005F3405" w:rsidRPr="00CC0B87">
        <w:rPr>
          <w:rFonts w:asciiTheme="minorHAnsi" w:hAnsiTheme="minorHAnsi" w:cstheme="minorHAnsi"/>
          <w:b w:val="0"/>
          <w:bCs w:val="0"/>
        </w:rPr>
        <w:t>make</w:t>
      </w:r>
      <w:r w:rsidR="00E611D6" w:rsidRPr="00CC0B87">
        <w:rPr>
          <w:rFonts w:asciiTheme="minorHAnsi" w:hAnsiTheme="minorHAnsi" w:cstheme="minorHAnsi"/>
          <w:b w:val="0"/>
          <w:bCs w:val="0"/>
        </w:rPr>
        <w:t>s for</w:t>
      </w:r>
      <w:r w:rsidR="005F3405" w:rsidRPr="00CC0B87">
        <w:rPr>
          <w:rFonts w:asciiTheme="minorHAnsi" w:hAnsiTheme="minorHAnsi" w:cstheme="minorHAnsi"/>
          <w:b w:val="0"/>
          <w:bCs w:val="0"/>
        </w:rPr>
        <w:t xml:space="preserve"> a cohesive argument for the fact that it would not have necessarily </w:t>
      </w:r>
      <w:r w:rsidR="007864B4" w:rsidRPr="00CC0B87">
        <w:rPr>
          <w:rFonts w:asciiTheme="minorHAnsi" w:hAnsiTheme="minorHAnsi" w:cstheme="minorHAnsi"/>
          <w:b w:val="0"/>
          <w:bCs w:val="0"/>
        </w:rPr>
        <w:t>made sense to bury all the infants in adult tombs as</w:t>
      </w:r>
      <w:r w:rsidR="005243C0" w:rsidRPr="00CC0B87">
        <w:rPr>
          <w:rFonts w:asciiTheme="minorHAnsi" w:hAnsiTheme="minorHAnsi" w:cstheme="minorHAnsi"/>
          <w:b w:val="0"/>
          <w:bCs w:val="0"/>
        </w:rPr>
        <w:t xml:space="preserve"> and when</w:t>
      </w:r>
      <w:r w:rsidR="007864B4" w:rsidRPr="00CC0B87">
        <w:rPr>
          <w:rFonts w:asciiTheme="minorHAnsi" w:hAnsiTheme="minorHAnsi" w:cstheme="minorHAnsi"/>
          <w:b w:val="0"/>
          <w:bCs w:val="0"/>
        </w:rPr>
        <w:t xml:space="preserve"> they died individually, therefore opening the tomb every time a child died, which</w:t>
      </w:r>
      <w:r w:rsidR="006339AC" w:rsidRPr="00CC0B87">
        <w:rPr>
          <w:rFonts w:asciiTheme="minorHAnsi" w:hAnsiTheme="minorHAnsi" w:cstheme="minorHAnsi"/>
          <w:b w:val="0"/>
          <w:bCs w:val="0"/>
        </w:rPr>
        <w:t>, at a time when pregnancy and birth held such significant danger for both the mother and child, would likely not have been sustainable.</w:t>
      </w:r>
      <w:r w:rsidR="003A6151" w:rsidRPr="00CC0B87">
        <w:rPr>
          <w:rFonts w:asciiTheme="minorHAnsi" w:hAnsiTheme="minorHAnsi" w:cstheme="minorHAnsi"/>
          <w:b w:val="0"/>
          <w:bCs w:val="0"/>
        </w:rPr>
        <w:t xml:space="preserve"> </w:t>
      </w:r>
      <w:r w:rsidR="00347873" w:rsidRPr="00CC0B87">
        <w:rPr>
          <w:rFonts w:asciiTheme="minorHAnsi" w:hAnsiTheme="minorHAnsi" w:cstheme="minorHAnsi"/>
          <w:b w:val="0"/>
          <w:bCs w:val="0"/>
        </w:rPr>
        <w:t>Another observation of child burials</w:t>
      </w:r>
      <w:r w:rsidR="003D36E4" w:rsidRPr="00CC0B87">
        <w:rPr>
          <w:rFonts w:asciiTheme="minorHAnsi" w:hAnsiTheme="minorHAnsi" w:cstheme="minorHAnsi"/>
          <w:b w:val="0"/>
          <w:bCs w:val="0"/>
        </w:rPr>
        <w:t xml:space="preserve"> is that, unlike those of adults, </w:t>
      </w:r>
      <w:r w:rsidR="00E90D8E" w:rsidRPr="00CC0B87">
        <w:rPr>
          <w:rFonts w:asciiTheme="minorHAnsi" w:hAnsiTheme="minorHAnsi" w:cstheme="minorHAnsi"/>
          <w:b w:val="0"/>
          <w:bCs w:val="0"/>
        </w:rPr>
        <w:t xml:space="preserve">they </w:t>
      </w:r>
      <w:r w:rsidR="003D36E4" w:rsidRPr="00CC0B87">
        <w:rPr>
          <w:rFonts w:asciiTheme="minorHAnsi" w:hAnsiTheme="minorHAnsi" w:cstheme="minorHAnsi"/>
          <w:b w:val="0"/>
          <w:bCs w:val="0"/>
        </w:rPr>
        <w:t xml:space="preserve">‘are sometimes found within the houses, suggesting a different social identity </w:t>
      </w:r>
      <w:r w:rsidR="003D36E4" w:rsidRPr="00CC0B87">
        <w:rPr>
          <w:rFonts w:asciiTheme="minorHAnsi" w:hAnsiTheme="minorHAnsi" w:cstheme="minorHAnsi"/>
          <w:b w:val="0"/>
          <w:bCs w:val="0"/>
        </w:rPr>
        <w:lastRenderedPageBreak/>
        <w:t>for infants</w:t>
      </w:r>
      <w:r w:rsidR="00350BFE" w:rsidRPr="00CC0B87">
        <w:rPr>
          <w:rFonts w:asciiTheme="minorHAnsi" w:hAnsiTheme="minorHAnsi" w:cstheme="minorHAnsi"/>
          <w:b w:val="0"/>
          <w:bCs w:val="0"/>
        </w:rPr>
        <w:t>’</w:t>
      </w:r>
      <w:r w:rsidR="00350BFE" w:rsidRPr="00CC0B87">
        <w:rPr>
          <w:rStyle w:val="FootnoteReference"/>
          <w:rFonts w:asciiTheme="minorHAnsi" w:hAnsiTheme="minorHAnsi" w:cstheme="minorHAnsi"/>
          <w:b w:val="0"/>
          <w:bCs w:val="0"/>
        </w:rPr>
        <w:footnoteReference w:id="31"/>
      </w:r>
      <w:r w:rsidR="00454FD4" w:rsidRPr="00CC0B87">
        <w:rPr>
          <w:rFonts w:asciiTheme="minorHAnsi" w:hAnsiTheme="minorHAnsi" w:cstheme="minorHAnsi"/>
          <w:b w:val="0"/>
          <w:bCs w:val="0"/>
        </w:rPr>
        <w:t xml:space="preserve">. </w:t>
      </w:r>
      <w:r w:rsidR="005519C3" w:rsidRPr="00CC0B87">
        <w:rPr>
          <w:rFonts w:asciiTheme="minorHAnsi" w:hAnsiTheme="minorHAnsi" w:cstheme="minorHAnsi"/>
          <w:b w:val="0"/>
          <w:bCs w:val="0"/>
        </w:rPr>
        <w:t xml:space="preserve">Burial underneath the home could be </w:t>
      </w:r>
      <w:r w:rsidR="00347873" w:rsidRPr="00CC0B87">
        <w:rPr>
          <w:rFonts w:asciiTheme="minorHAnsi" w:hAnsiTheme="minorHAnsi" w:cstheme="minorHAnsi"/>
          <w:b w:val="0"/>
          <w:bCs w:val="0"/>
        </w:rPr>
        <w:t xml:space="preserve">interpretated as a protective </w:t>
      </w:r>
      <w:r w:rsidR="00CE4242" w:rsidRPr="00CC0B87">
        <w:rPr>
          <w:rFonts w:asciiTheme="minorHAnsi" w:hAnsiTheme="minorHAnsi" w:cstheme="minorHAnsi"/>
          <w:b w:val="0"/>
          <w:bCs w:val="0"/>
        </w:rPr>
        <w:t xml:space="preserve">and possessive </w:t>
      </w:r>
      <w:r w:rsidR="00347873" w:rsidRPr="00CC0B87">
        <w:rPr>
          <w:rFonts w:asciiTheme="minorHAnsi" w:hAnsiTheme="minorHAnsi" w:cstheme="minorHAnsi"/>
          <w:b w:val="0"/>
          <w:bCs w:val="0"/>
        </w:rPr>
        <w:t>behaviour</w:t>
      </w:r>
      <w:r w:rsidR="00CE4242" w:rsidRPr="00CC0B87">
        <w:rPr>
          <w:rFonts w:asciiTheme="minorHAnsi" w:hAnsiTheme="minorHAnsi" w:cstheme="minorHAnsi"/>
          <w:b w:val="0"/>
          <w:bCs w:val="0"/>
        </w:rPr>
        <w:t xml:space="preserve"> on the part of the living</w:t>
      </w:r>
      <w:r w:rsidR="00347873" w:rsidRPr="00CC0B87">
        <w:rPr>
          <w:rFonts w:asciiTheme="minorHAnsi" w:hAnsiTheme="minorHAnsi" w:cstheme="minorHAnsi"/>
          <w:b w:val="0"/>
          <w:bCs w:val="0"/>
        </w:rPr>
        <w:t xml:space="preserve">, </w:t>
      </w:r>
      <w:r w:rsidR="00F039CF" w:rsidRPr="00CC0B87">
        <w:rPr>
          <w:rFonts w:asciiTheme="minorHAnsi" w:hAnsiTheme="minorHAnsi" w:cstheme="minorHAnsi"/>
          <w:b w:val="0"/>
          <w:bCs w:val="0"/>
        </w:rPr>
        <w:t>perhaps indicating t</w:t>
      </w:r>
      <w:r w:rsidR="007E4265" w:rsidRPr="00CC0B87">
        <w:rPr>
          <w:rFonts w:asciiTheme="minorHAnsi" w:hAnsiTheme="minorHAnsi" w:cstheme="minorHAnsi"/>
          <w:b w:val="0"/>
          <w:bCs w:val="0"/>
        </w:rPr>
        <w:t xml:space="preserve">hat families were acting on </w:t>
      </w:r>
      <w:r w:rsidR="007A3B69" w:rsidRPr="00CC0B87">
        <w:rPr>
          <w:rFonts w:asciiTheme="minorHAnsi" w:hAnsiTheme="minorHAnsi" w:cstheme="minorHAnsi"/>
          <w:b w:val="0"/>
          <w:bCs w:val="0"/>
        </w:rPr>
        <w:t>the emotional</w:t>
      </w:r>
      <w:r w:rsidR="007E4265" w:rsidRPr="00CC0B87">
        <w:rPr>
          <w:rFonts w:asciiTheme="minorHAnsi" w:hAnsiTheme="minorHAnsi" w:cstheme="minorHAnsi"/>
          <w:b w:val="0"/>
          <w:bCs w:val="0"/>
        </w:rPr>
        <w:t xml:space="preserve"> sense of premature loss</w:t>
      </w:r>
      <w:r w:rsidR="00DC533D" w:rsidRPr="00CC0B87">
        <w:rPr>
          <w:rFonts w:asciiTheme="minorHAnsi" w:hAnsiTheme="minorHAnsi" w:cstheme="minorHAnsi"/>
          <w:b w:val="0"/>
          <w:bCs w:val="0"/>
        </w:rPr>
        <w:t xml:space="preserve">, </w:t>
      </w:r>
      <w:r w:rsidR="005E41E6" w:rsidRPr="00CC0B87">
        <w:rPr>
          <w:rFonts w:asciiTheme="minorHAnsi" w:hAnsiTheme="minorHAnsi" w:cstheme="minorHAnsi"/>
          <w:b w:val="0"/>
          <w:bCs w:val="0"/>
        </w:rPr>
        <w:t xml:space="preserve">ultimately </w:t>
      </w:r>
      <w:r w:rsidR="00DC533D" w:rsidRPr="00CC0B87">
        <w:rPr>
          <w:rFonts w:asciiTheme="minorHAnsi" w:hAnsiTheme="minorHAnsi" w:cstheme="minorHAnsi"/>
          <w:b w:val="0"/>
          <w:bCs w:val="0"/>
        </w:rPr>
        <w:t xml:space="preserve">adding to </w:t>
      </w:r>
      <w:r w:rsidR="005E41E6" w:rsidRPr="00CC0B87">
        <w:rPr>
          <w:rFonts w:asciiTheme="minorHAnsi" w:hAnsiTheme="minorHAnsi" w:cstheme="minorHAnsi"/>
          <w:b w:val="0"/>
          <w:bCs w:val="0"/>
        </w:rPr>
        <w:t>a</w:t>
      </w:r>
      <w:r w:rsidR="00DC533D" w:rsidRPr="00CC0B87">
        <w:rPr>
          <w:rFonts w:asciiTheme="minorHAnsi" w:hAnsiTheme="minorHAnsi" w:cstheme="minorHAnsi"/>
          <w:b w:val="0"/>
          <w:bCs w:val="0"/>
        </w:rPr>
        <w:t xml:space="preserve"> sense of belonging, and home</w:t>
      </w:r>
      <w:r w:rsidR="005E41E6" w:rsidRPr="00CC0B87">
        <w:rPr>
          <w:rFonts w:asciiTheme="minorHAnsi" w:hAnsiTheme="minorHAnsi" w:cstheme="minorHAnsi"/>
          <w:b w:val="0"/>
          <w:bCs w:val="0"/>
        </w:rPr>
        <w:t>, as they live in that area</w:t>
      </w:r>
      <w:r w:rsidR="00DC533D" w:rsidRPr="00CC0B87">
        <w:rPr>
          <w:rFonts w:asciiTheme="minorHAnsi" w:hAnsiTheme="minorHAnsi" w:cstheme="minorHAnsi"/>
          <w:b w:val="0"/>
          <w:bCs w:val="0"/>
        </w:rPr>
        <w:t xml:space="preserve">, </w:t>
      </w:r>
      <w:r w:rsidR="005E41E6" w:rsidRPr="00CC0B87">
        <w:rPr>
          <w:rFonts w:asciiTheme="minorHAnsi" w:hAnsiTheme="minorHAnsi" w:cstheme="minorHAnsi"/>
          <w:b w:val="0"/>
          <w:bCs w:val="0"/>
        </w:rPr>
        <w:t>and as</w:t>
      </w:r>
      <w:r w:rsidR="00DC533D" w:rsidRPr="00CC0B87">
        <w:rPr>
          <w:rFonts w:asciiTheme="minorHAnsi" w:hAnsiTheme="minorHAnsi" w:cstheme="minorHAnsi"/>
          <w:b w:val="0"/>
          <w:bCs w:val="0"/>
        </w:rPr>
        <w:t xml:space="preserve"> generations of chil</w:t>
      </w:r>
      <w:r w:rsidR="00B82253" w:rsidRPr="00CC0B87">
        <w:rPr>
          <w:rFonts w:asciiTheme="minorHAnsi" w:hAnsiTheme="minorHAnsi" w:cstheme="minorHAnsi"/>
          <w:b w:val="0"/>
          <w:bCs w:val="0"/>
        </w:rPr>
        <w:t>dren are buried under their famil</w:t>
      </w:r>
      <w:r w:rsidR="009621A0" w:rsidRPr="00CC0B87">
        <w:rPr>
          <w:rFonts w:asciiTheme="minorHAnsi" w:hAnsiTheme="minorHAnsi" w:cstheme="minorHAnsi"/>
          <w:b w:val="0"/>
          <w:bCs w:val="0"/>
        </w:rPr>
        <w:t>y</w:t>
      </w:r>
      <w:r w:rsidR="00B82253" w:rsidRPr="00CC0B87">
        <w:rPr>
          <w:rFonts w:asciiTheme="minorHAnsi" w:hAnsiTheme="minorHAnsi" w:cstheme="minorHAnsi"/>
          <w:b w:val="0"/>
          <w:bCs w:val="0"/>
        </w:rPr>
        <w:t xml:space="preserve"> homes</w:t>
      </w:r>
      <w:r w:rsidR="00D46335" w:rsidRPr="00CC0B87">
        <w:rPr>
          <w:rFonts w:asciiTheme="minorHAnsi" w:hAnsiTheme="minorHAnsi" w:cstheme="minorHAnsi"/>
          <w:b w:val="0"/>
          <w:bCs w:val="0"/>
        </w:rPr>
        <w:t xml:space="preserve">. </w:t>
      </w:r>
      <w:r w:rsidR="00454FD4" w:rsidRPr="00CC0B87">
        <w:rPr>
          <w:rFonts w:asciiTheme="minorHAnsi" w:hAnsiTheme="minorHAnsi" w:cstheme="minorHAnsi"/>
          <w:b w:val="0"/>
          <w:bCs w:val="0"/>
        </w:rPr>
        <w:t xml:space="preserve">However, again, </w:t>
      </w:r>
      <w:r w:rsidR="006B1B47" w:rsidRPr="00CC0B87">
        <w:rPr>
          <w:rFonts w:asciiTheme="minorHAnsi" w:hAnsiTheme="minorHAnsi" w:cstheme="minorHAnsi"/>
          <w:b w:val="0"/>
          <w:bCs w:val="0"/>
        </w:rPr>
        <w:t xml:space="preserve">this may </w:t>
      </w:r>
      <w:r w:rsidR="00E06526" w:rsidRPr="00CC0B87">
        <w:rPr>
          <w:rFonts w:asciiTheme="minorHAnsi" w:hAnsiTheme="minorHAnsi" w:cstheme="minorHAnsi"/>
          <w:b w:val="0"/>
          <w:bCs w:val="0"/>
        </w:rPr>
        <w:t>be forcing an emotive lens on an aspect of life realistically more shaped by practicalities</w:t>
      </w:r>
      <w:r w:rsidR="00D46335" w:rsidRPr="00CC0B87">
        <w:rPr>
          <w:rFonts w:asciiTheme="minorHAnsi" w:hAnsiTheme="minorHAnsi" w:cstheme="minorHAnsi"/>
          <w:b w:val="0"/>
          <w:bCs w:val="0"/>
        </w:rPr>
        <w:t xml:space="preserve">, for instance, there </w:t>
      </w:r>
      <w:r w:rsidR="00DC533D" w:rsidRPr="00CC0B87">
        <w:rPr>
          <w:rFonts w:asciiTheme="minorHAnsi" w:hAnsiTheme="minorHAnsi" w:cstheme="minorHAnsi"/>
          <w:b w:val="0"/>
          <w:bCs w:val="0"/>
        </w:rPr>
        <w:t xml:space="preserve">would be much less of a need to take a child’s body elsewhere to bury it due to </w:t>
      </w:r>
      <w:r w:rsidR="007D1325" w:rsidRPr="00CC0B87">
        <w:rPr>
          <w:rFonts w:asciiTheme="minorHAnsi" w:hAnsiTheme="minorHAnsi" w:cstheme="minorHAnsi"/>
          <w:b w:val="0"/>
          <w:bCs w:val="0"/>
        </w:rPr>
        <w:t>its size, and perhaps, the frequency</w:t>
      </w:r>
      <w:r w:rsidR="00E16BD7" w:rsidRPr="00CC0B87">
        <w:rPr>
          <w:rFonts w:asciiTheme="minorHAnsi" w:hAnsiTheme="minorHAnsi" w:cstheme="minorHAnsi"/>
          <w:b w:val="0"/>
          <w:bCs w:val="0"/>
        </w:rPr>
        <w:t xml:space="preserve"> of child death would make this an unnecessary has</w:t>
      </w:r>
      <w:r w:rsidR="00597AA9" w:rsidRPr="00CC0B87">
        <w:rPr>
          <w:rFonts w:asciiTheme="minorHAnsi" w:hAnsiTheme="minorHAnsi" w:cstheme="minorHAnsi"/>
          <w:b w:val="0"/>
          <w:bCs w:val="0"/>
        </w:rPr>
        <w:t>s</w:t>
      </w:r>
      <w:r w:rsidR="00E16BD7" w:rsidRPr="00CC0B87">
        <w:rPr>
          <w:rFonts w:asciiTheme="minorHAnsi" w:hAnsiTheme="minorHAnsi" w:cstheme="minorHAnsi"/>
          <w:b w:val="0"/>
          <w:bCs w:val="0"/>
        </w:rPr>
        <w:t>le.</w:t>
      </w:r>
      <w:r w:rsidR="00597AA9" w:rsidRPr="00CC0B87">
        <w:rPr>
          <w:rFonts w:asciiTheme="minorHAnsi" w:hAnsiTheme="minorHAnsi" w:cstheme="minorHAnsi"/>
          <w:b w:val="0"/>
          <w:bCs w:val="0"/>
        </w:rPr>
        <w:t xml:space="preserve"> </w:t>
      </w:r>
      <w:r w:rsidR="006D691C" w:rsidRPr="00CC0B87">
        <w:rPr>
          <w:rFonts w:asciiTheme="minorHAnsi" w:hAnsiTheme="minorHAnsi" w:cstheme="minorHAnsi"/>
          <w:b w:val="0"/>
          <w:bCs w:val="0"/>
        </w:rPr>
        <w:t xml:space="preserve">Regardless of intent, </w:t>
      </w:r>
      <w:r w:rsidR="00B8388E" w:rsidRPr="00CC0B87">
        <w:rPr>
          <w:rFonts w:asciiTheme="minorHAnsi" w:hAnsiTheme="minorHAnsi" w:cstheme="minorHAnsi"/>
          <w:b w:val="0"/>
          <w:bCs w:val="0"/>
        </w:rPr>
        <w:t xml:space="preserve">the fact that child burials </w:t>
      </w:r>
      <w:r w:rsidR="0066671B" w:rsidRPr="00CC0B87">
        <w:rPr>
          <w:rFonts w:asciiTheme="minorHAnsi" w:hAnsiTheme="minorHAnsi" w:cstheme="minorHAnsi"/>
          <w:b w:val="0"/>
          <w:bCs w:val="0"/>
        </w:rPr>
        <w:t xml:space="preserve">were so distinct in location from those of adults serves, according to Lorentz, </w:t>
      </w:r>
      <w:r w:rsidR="00DF7F65" w:rsidRPr="00CC0B87">
        <w:rPr>
          <w:rFonts w:asciiTheme="minorHAnsi" w:hAnsiTheme="minorHAnsi" w:cstheme="minorHAnsi"/>
          <w:b w:val="0"/>
          <w:bCs w:val="0"/>
        </w:rPr>
        <w:t xml:space="preserve">to </w:t>
      </w:r>
      <w:r w:rsidR="00373CA9" w:rsidRPr="00CC0B87">
        <w:rPr>
          <w:rFonts w:asciiTheme="minorHAnsi" w:hAnsiTheme="minorHAnsi" w:cstheme="minorHAnsi"/>
          <w:b w:val="0"/>
          <w:bCs w:val="0"/>
        </w:rPr>
        <w:t>‘</w:t>
      </w:r>
      <w:r w:rsidR="00DF7F65" w:rsidRPr="00CC0B87">
        <w:rPr>
          <w:rFonts w:asciiTheme="minorHAnsi" w:hAnsiTheme="minorHAnsi" w:cstheme="minorHAnsi"/>
          <w:b w:val="0"/>
          <w:bCs w:val="0"/>
        </w:rPr>
        <w:t>[</w:t>
      </w:r>
      <w:r w:rsidR="00373CA9" w:rsidRPr="00CC0B87">
        <w:rPr>
          <w:rFonts w:asciiTheme="minorHAnsi" w:hAnsiTheme="minorHAnsi" w:cstheme="minorHAnsi"/>
          <w:b w:val="0"/>
          <w:bCs w:val="0"/>
        </w:rPr>
        <w:t>establish</w:t>
      </w:r>
      <w:r w:rsidR="00DF7F65" w:rsidRPr="00CC0B87">
        <w:rPr>
          <w:rFonts w:asciiTheme="minorHAnsi" w:hAnsiTheme="minorHAnsi" w:cstheme="minorHAnsi"/>
          <w:b w:val="0"/>
          <w:bCs w:val="0"/>
        </w:rPr>
        <w:t>]</w:t>
      </w:r>
      <w:r w:rsidR="00373CA9" w:rsidRPr="00CC0B87">
        <w:rPr>
          <w:rFonts w:asciiTheme="minorHAnsi" w:hAnsiTheme="minorHAnsi" w:cstheme="minorHAnsi"/>
          <w:b w:val="0"/>
          <w:bCs w:val="0"/>
        </w:rPr>
        <w:t xml:space="preserve"> that age was viewed as an important enough form of socio-cultural difference during the Late Cypriote Bronze Age to be expressed in burial</w:t>
      </w:r>
      <w:r w:rsidR="00AA0BE7" w:rsidRPr="00CC0B87">
        <w:rPr>
          <w:rFonts w:asciiTheme="minorHAnsi" w:hAnsiTheme="minorHAnsi" w:cstheme="minorHAnsi"/>
          <w:b w:val="0"/>
          <w:bCs w:val="0"/>
        </w:rPr>
        <w:t>’</w:t>
      </w:r>
      <w:r w:rsidR="008F1155" w:rsidRPr="00CC0B87">
        <w:rPr>
          <w:rStyle w:val="FootnoteReference"/>
          <w:rFonts w:asciiTheme="minorHAnsi" w:hAnsiTheme="minorHAnsi" w:cstheme="minorHAnsi"/>
          <w:b w:val="0"/>
          <w:bCs w:val="0"/>
        </w:rPr>
        <w:footnoteReference w:id="32"/>
      </w:r>
      <w:r w:rsidR="00E46989" w:rsidRPr="00CC0B87">
        <w:rPr>
          <w:rFonts w:asciiTheme="minorHAnsi" w:hAnsiTheme="minorHAnsi" w:cstheme="minorHAnsi"/>
          <w:b w:val="0"/>
          <w:bCs w:val="0"/>
        </w:rPr>
        <w:t>.</w:t>
      </w:r>
    </w:p>
    <w:p w14:paraId="62580A15" w14:textId="7888CD46" w:rsidR="00E10B9D" w:rsidRPr="00CC0B87" w:rsidRDefault="00E10B9D" w:rsidP="00CC0B87">
      <w:pPr>
        <w:pStyle w:val="Heading4"/>
        <w:spacing w:line="360" w:lineRule="auto"/>
        <w:rPr>
          <w:rFonts w:asciiTheme="minorHAnsi" w:hAnsiTheme="minorHAnsi" w:cstheme="minorHAnsi"/>
          <w:b w:val="0"/>
          <w:bCs w:val="0"/>
        </w:rPr>
      </w:pPr>
      <w:r w:rsidRPr="00CC0B87">
        <w:rPr>
          <w:rFonts w:asciiTheme="minorHAnsi" w:hAnsiTheme="minorHAnsi" w:cstheme="minorHAnsi"/>
          <w:b w:val="0"/>
          <w:bCs w:val="0"/>
        </w:rPr>
        <w:tab/>
      </w:r>
      <w:r w:rsidR="00D63EC6" w:rsidRPr="00CC0B87">
        <w:rPr>
          <w:rFonts w:asciiTheme="minorHAnsi" w:hAnsiTheme="minorHAnsi" w:cstheme="minorHAnsi"/>
          <w:b w:val="0"/>
          <w:bCs w:val="0"/>
        </w:rPr>
        <w:t>R</w:t>
      </w:r>
      <w:r w:rsidRPr="00CC0B87">
        <w:rPr>
          <w:rFonts w:asciiTheme="minorHAnsi" w:hAnsiTheme="minorHAnsi" w:cstheme="minorHAnsi"/>
          <w:b w:val="0"/>
          <w:bCs w:val="0"/>
        </w:rPr>
        <w:t xml:space="preserve">oles of women, regarding grave evidence, have </w:t>
      </w:r>
      <w:r w:rsidR="00C21EC6" w:rsidRPr="00CC0B87">
        <w:rPr>
          <w:rFonts w:asciiTheme="minorHAnsi" w:hAnsiTheme="minorHAnsi" w:cstheme="minorHAnsi"/>
          <w:b w:val="0"/>
          <w:bCs w:val="0"/>
        </w:rPr>
        <w:t>been estimated by various pieces of evidence.</w:t>
      </w:r>
      <w:r w:rsidR="000A43E0" w:rsidRPr="00CC0B87">
        <w:rPr>
          <w:rFonts w:asciiTheme="minorHAnsi" w:hAnsiTheme="minorHAnsi" w:cstheme="minorHAnsi"/>
          <w:b w:val="0"/>
          <w:bCs w:val="0"/>
        </w:rPr>
        <w:t xml:space="preserve"> One example of this</w:t>
      </w:r>
      <w:r w:rsidR="0016125E" w:rsidRPr="00CC0B87">
        <w:rPr>
          <w:rFonts w:asciiTheme="minorHAnsi" w:hAnsiTheme="minorHAnsi" w:cstheme="minorHAnsi"/>
          <w:b w:val="0"/>
          <w:bCs w:val="0"/>
        </w:rPr>
        <w:t xml:space="preserve">, </w:t>
      </w:r>
      <w:r w:rsidR="000A43E0" w:rsidRPr="00CC0B87">
        <w:rPr>
          <w:rFonts w:asciiTheme="minorHAnsi" w:hAnsiTheme="minorHAnsi" w:cstheme="minorHAnsi"/>
          <w:b w:val="0"/>
          <w:bCs w:val="0"/>
        </w:rPr>
        <w:t xml:space="preserve">documented by </w:t>
      </w:r>
      <w:r w:rsidR="00D46549" w:rsidRPr="00CC0B87">
        <w:rPr>
          <w:rFonts w:asciiTheme="minorHAnsi" w:hAnsiTheme="minorHAnsi" w:cstheme="minorHAnsi"/>
          <w:b w:val="0"/>
          <w:bCs w:val="0"/>
        </w:rPr>
        <w:t>Lorentz</w:t>
      </w:r>
      <w:r w:rsidR="0016125E" w:rsidRPr="00CC0B87">
        <w:rPr>
          <w:rFonts w:asciiTheme="minorHAnsi" w:hAnsiTheme="minorHAnsi" w:cstheme="minorHAnsi"/>
          <w:b w:val="0"/>
          <w:bCs w:val="0"/>
        </w:rPr>
        <w:t>, is of</w:t>
      </w:r>
      <w:r w:rsidR="009E5CA8" w:rsidRPr="00CC0B87">
        <w:rPr>
          <w:rFonts w:asciiTheme="minorHAnsi" w:hAnsiTheme="minorHAnsi" w:cstheme="minorHAnsi"/>
          <w:b w:val="0"/>
          <w:bCs w:val="0"/>
        </w:rPr>
        <w:t xml:space="preserve"> a woman whose teeth </w:t>
      </w:r>
      <w:r w:rsidR="007847F4" w:rsidRPr="00CC0B87">
        <w:rPr>
          <w:rFonts w:asciiTheme="minorHAnsi" w:hAnsiTheme="minorHAnsi" w:cstheme="minorHAnsi"/>
          <w:b w:val="0"/>
          <w:bCs w:val="0"/>
        </w:rPr>
        <w:t xml:space="preserve">bore </w:t>
      </w:r>
      <w:r w:rsidR="009E5CA8" w:rsidRPr="00CC0B87">
        <w:rPr>
          <w:rFonts w:asciiTheme="minorHAnsi" w:hAnsiTheme="minorHAnsi" w:cstheme="minorHAnsi"/>
          <w:b w:val="0"/>
          <w:bCs w:val="0"/>
        </w:rPr>
        <w:t>‘</w:t>
      </w:r>
      <w:r w:rsidR="007847F4" w:rsidRPr="00CC0B87">
        <w:rPr>
          <w:rFonts w:asciiTheme="minorHAnsi" w:hAnsiTheme="minorHAnsi" w:cstheme="minorHAnsi"/>
          <w:b w:val="0"/>
          <w:bCs w:val="0"/>
        </w:rPr>
        <w:t>s</w:t>
      </w:r>
      <w:r w:rsidR="009E5CA8" w:rsidRPr="00CC0B87">
        <w:rPr>
          <w:rFonts w:asciiTheme="minorHAnsi" w:hAnsiTheme="minorHAnsi" w:cstheme="minorHAnsi"/>
          <w:b w:val="0"/>
          <w:bCs w:val="0"/>
        </w:rPr>
        <w:t xml:space="preserve">everal grooves </w:t>
      </w:r>
      <w:r w:rsidR="007847F4" w:rsidRPr="00CC0B87">
        <w:rPr>
          <w:rFonts w:asciiTheme="minorHAnsi" w:hAnsiTheme="minorHAnsi" w:cstheme="minorHAnsi"/>
          <w:b w:val="0"/>
          <w:bCs w:val="0"/>
        </w:rPr>
        <w:t xml:space="preserve">[that] </w:t>
      </w:r>
      <w:r w:rsidR="009E5CA8" w:rsidRPr="00CC0B87">
        <w:rPr>
          <w:rFonts w:asciiTheme="minorHAnsi" w:hAnsiTheme="minorHAnsi" w:cstheme="minorHAnsi"/>
          <w:b w:val="0"/>
          <w:bCs w:val="0"/>
        </w:rPr>
        <w:t>were observed on the distolingual interproximal surfaces of both maxillary lateral incisors</w:t>
      </w:r>
      <w:r w:rsidR="00591620" w:rsidRPr="00CC0B87">
        <w:rPr>
          <w:rFonts w:asciiTheme="minorHAnsi" w:hAnsiTheme="minorHAnsi" w:cstheme="minorHAnsi"/>
          <w:b w:val="0"/>
          <w:bCs w:val="0"/>
        </w:rPr>
        <w:t>’</w:t>
      </w:r>
      <w:r w:rsidR="00E503EC" w:rsidRPr="00CC0B87">
        <w:rPr>
          <w:rStyle w:val="FootnoteReference"/>
          <w:rFonts w:asciiTheme="minorHAnsi" w:hAnsiTheme="minorHAnsi" w:cstheme="minorHAnsi"/>
          <w:b w:val="0"/>
          <w:bCs w:val="0"/>
        </w:rPr>
        <w:footnoteReference w:id="33"/>
      </w:r>
      <w:r w:rsidR="008F26AF" w:rsidRPr="00CC0B87">
        <w:rPr>
          <w:rFonts w:asciiTheme="minorHAnsi" w:hAnsiTheme="minorHAnsi" w:cstheme="minorHAnsi"/>
          <w:b w:val="0"/>
          <w:bCs w:val="0"/>
        </w:rPr>
        <w:t>,</w:t>
      </w:r>
      <w:r w:rsidR="00591620" w:rsidRPr="00CC0B87">
        <w:rPr>
          <w:rFonts w:asciiTheme="minorHAnsi" w:hAnsiTheme="minorHAnsi" w:cstheme="minorHAnsi"/>
          <w:b w:val="0"/>
          <w:bCs w:val="0"/>
        </w:rPr>
        <w:t xml:space="preserve"> very narrow in width. These grooves have been theorised as </w:t>
      </w:r>
      <w:r w:rsidR="006A0C0F" w:rsidRPr="00CC0B87">
        <w:rPr>
          <w:rFonts w:asciiTheme="minorHAnsi" w:hAnsiTheme="minorHAnsi" w:cstheme="minorHAnsi"/>
          <w:b w:val="0"/>
          <w:bCs w:val="0"/>
        </w:rPr>
        <w:t>having be</w:t>
      </w:r>
      <w:r w:rsidR="00E527D3" w:rsidRPr="00CC0B87">
        <w:rPr>
          <w:rFonts w:asciiTheme="minorHAnsi" w:hAnsiTheme="minorHAnsi" w:cstheme="minorHAnsi"/>
          <w:b w:val="0"/>
          <w:bCs w:val="0"/>
        </w:rPr>
        <w:t>en</w:t>
      </w:r>
      <w:r w:rsidR="006A0C0F" w:rsidRPr="00CC0B87">
        <w:rPr>
          <w:rFonts w:asciiTheme="minorHAnsi" w:hAnsiTheme="minorHAnsi" w:cstheme="minorHAnsi"/>
          <w:b w:val="0"/>
          <w:bCs w:val="0"/>
        </w:rPr>
        <w:t xml:space="preserve"> caused by ‘</w:t>
      </w:r>
      <w:r w:rsidR="006A0C0F" w:rsidRPr="00CC0B87">
        <w:rPr>
          <w:rFonts w:asciiTheme="minorHAnsi" w:hAnsiTheme="minorHAnsi" w:cstheme="minorHAnsi"/>
          <w:b w:val="0"/>
          <w:bCs w:val="0"/>
        </w:rPr>
        <w:t>drawing thread or fibre alongside the teeth</w:t>
      </w:r>
      <w:r w:rsidR="006A0C0F" w:rsidRPr="00CC0B87">
        <w:rPr>
          <w:rFonts w:asciiTheme="minorHAnsi" w:hAnsiTheme="minorHAnsi" w:cstheme="minorHAnsi"/>
          <w:b w:val="0"/>
          <w:bCs w:val="0"/>
        </w:rPr>
        <w:t>’</w:t>
      </w:r>
      <w:r w:rsidR="00E503EC" w:rsidRPr="00CC0B87">
        <w:rPr>
          <w:rStyle w:val="FootnoteReference"/>
          <w:rFonts w:asciiTheme="minorHAnsi" w:hAnsiTheme="minorHAnsi" w:cstheme="minorHAnsi"/>
          <w:b w:val="0"/>
          <w:bCs w:val="0"/>
        </w:rPr>
        <w:footnoteReference w:id="34"/>
      </w:r>
      <w:r w:rsidR="006A0C0F" w:rsidRPr="00CC0B87">
        <w:rPr>
          <w:rFonts w:asciiTheme="minorHAnsi" w:hAnsiTheme="minorHAnsi" w:cstheme="minorHAnsi"/>
          <w:b w:val="0"/>
          <w:bCs w:val="0"/>
        </w:rPr>
        <w:t>,</w:t>
      </w:r>
      <w:r w:rsidR="001B624D" w:rsidRPr="00CC0B87">
        <w:rPr>
          <w:rFonts w:asciiTheme="minorHAnsi" w:hAnsiTheme="minorHAnsi" w:cstheme="minorHAnsi"/>
          <w:b w:val="0"/>
          <w:bCs w:val="0"/>
        </w:rPr>
        <w:t xml:space="preserve"> or holding pins between her teeth on a regular basis. Both of which </w:t>
      </w:r>
      <w:r w:rsidR="004224A8" w:rsidRPr="00CC0B87">
        <w:rPr>
          <w:rFonts w:asciiTheme="minorHAnsi" w:hAnsiTheme="minorHAnsi" w:cstheme="minorHAnsi"/>
          <w:b w:val="0"/>
          <w:bCs w:val="0"/>
        </w:rPr>
        <w:t xml:space="preserve">would have taken place had the woman been </w:t>
      </w:r>
      <w:r w:rsidR="006A0C0F" w:rsidRPr="00CC0B87">
        <w:rPr>
          <w:rFonts w:asciiTheme="minorHAnsi" w:hAnsiTheme="minorHAnsi" w:cstheme="minorHAnsi"/>
          <w:b w:val="0"/>
          <w:bCs w:val="0"/>
        </w:rPr>
        <w:t>re</w:t>
      </w:r>
      <w:r w:rsidR="00F9192D" w:rsidRPr="00CC0B87">
        <w:rPr>
          <w:rFonts w:asciiTheme="minorHAnsi" w:hAnsiTheme="minorHAnsi" w:cstheme="minorHAnsi"/>
          <w:b w:val="0"/>
          <w:bCs w:val="0"/>
        </w:rPr>
        <w:t xml:space="preserve">gularly holding fabric in her </w:t>
      </w:r>
      <w:r w:rsidR="003C0CA9" w:rsidRPr="00CC0B87">
        <w:rPr>
          <w:rFonts w:asciiTheme="minorHAnsi" w:hAnsiTheme="minorHAnsi" w:cstheme="minorHAnsi"/>
          <w:b w:val="0"/>
          <w:bCs w:val="0"/>
        </w:rPr>
        <w:t>teeth, or repeatedly holding a thread taught to cut it</w:t>
      </w:r>
      <w:r w:rsidR="006D01F2" w:rsidRPr="00CC0B87">
        <w:rPr>
          <w:rFonts w:asciiTheme="minorHAnsi" w:hAnsiTheme="minorHAnsi" w:cstheme="minorHAnsi"/>
          <w:b w:val="0"/>
          <w:bCs w:val="0"/>
        </w:rPr>
        <w:t xml:space="preserve">. Although this cannot possibly indicate the roles of the women around her, we can </w:t>
      </w:r>
      <w:r w:rsidR="00B65342" w:rsidRPr="00CC0B87">
        <w:rPr>
          <w:rFonts w:asciiTheme="minorHAnsi" w:hAnsiTheme="minorHAnsi" w:cstheme="minorHAnsi"/>
          <w:b w:val="0"/>
          <w:bCs w:val="0"/>
        </w:rPr>
        <w:t xml:space="preserve">at least infer that one of </w:t>
      </w:r>
      <w:r w:rsidR="00B65342" w:rsidRPr="00CC0B87">
        <w:rPr>
          <w:rFonts w:asciiTheme="minorHAnsi" w:hAnsiTheme="minorHAnsi" w:cstheme="minorHAnsi"/>
          <w:b w:val="0"/>
          <w:bCs w:val="0"/>
          <w:i/>
          <w:iCs/>
        </w:rPr>
        <w:t>her</w:t>
      </w:r>
      <w:r w:rsidR="00B65342" w:rsidRPr="00CC0B87">
        <w:rPr>
          <w:rFonts w:asciiTheme="minorHAnsi" w:hAnsiTheme="minorHAnsi" w:cstheme="minorHAnsi"/>
          <w:b w:val="0"/>
          <w:bCs w:val="0"/>
        </w:rPr>
        <w:t xml:space="preserve"> roles in life</w:t>
      </w:r>
      <w:r w:rsidR="004224A8" w:rsidRPr="00CC0B87">
        <w:rPr>
          <w:rFonts w:asciiTheme="minorHAnsi" w:hAnsiTheme="minorHAnsi" w:cstheme="minorHAnsi"/>
          <w:b w:val="0"/>
          <w:bCs w:val="0"/>
        </w:rPr>
        <w:t xml:space="preserve"> revolved around the production and maintenance of fabrics</w:t>
      </w:r>
      <w:r w:rsidR="00FF04C3" w:rsidRPr="00CC0B87">
        <w:rPr>
          <w:rFonts w:asciiTheme="minorHAnsi" w:hAnsiTheme="minorHAnsi" w:cstheme="minorHAnsi"/>
          <w:b w:val="0"/>
          <w:bCs w:val="0"/>
        </w:rPr>
        <w:t xml:space="preserve">, likely as a professional seamstress, as household production grew more </w:t>
      </w:r>
      <w:r w:rsidR="00A24598" w:rsidRPr="00CC0B87">
        <w:rPr>
          <w:rFonts w:asciiTheme="minorHAnsi" w:hAnsiTheme="minorHAnsi" w:cstheme="minorHAnsi"/>
          <w:b w:val="0"/>
          <w:bCs w:val="0"/>
        </w:rPr>
        <w:t>efficient,</w:t>
      </w:r>
      <w:r w:rsidR="00FF04C3" w:rsidRPr="00CC0B87">
        <w:rPr>
          <w:rFonts w:asciiTheme="minorHAnsi" w:hAnsiTheme="minorHAnsi" w:cstheme="minorHAnsi"/>
          <w:b w:val="0"/>
          <w:bCs w:val="0"/>
        </w:rPr>
        <w:t xml:space="preserve"> and </w:t>
      </w:r>
      <w:r w:rsidR="00AE25E9" w:rsidRPr="00CC0B87">
        <w:rPr>
          <w:rFonts w:asciiTheme="minorHAnsi" w:hAnsiTheme="minorHAnsi" w:cstheme="minorHAnsi"/>
          <w:b w:val="0"/>
          <w:bCs w:val="0"/>
        </w:rPr>
        <w:t xml:space="preserve">people </w:t>
      </w:r>
      <w:r w:rsidR="001A7063" w:rsidRPr="00CC0B87">
        <w:rPr>
          <w:rFonts w:asciiTheme="minorHAnsi" w:hAnsiTheme="minorHAnsi" w:cstheme="minorHAnsi"/>
          <w:b w:val="0"/>
          <w:bCs w:val="0"/>
        </w:rPr>
        <w:t xml:space="preserve">began to specialise in their </w:t>
      </w:r>
      <w:proofErr w:type="gramStart"/>
      <w:r w:rsidR="001A7063" w:rsidRPr="00CC0B87">
        <w:rPr>
          <w:rFonts w:asciiTheme="minorHAnsi" w:hAnsiTheme="minorHAnsi" w:cstheme="minorHAnsi"/>
          <w:b w:val="0"/>
          <w:bCs w:val="0"/>
        </w:rPr>
        <w:t>particular form</w:t>
      </w:r>
      <w:proofErr w:type="gramEnd"/>
      <w:r w:rsidR="001A7063" w:rsidRPr="00CC0B87">
        <w:rPr>
          <w:rFonts w:asciiTheme="minorHAnsi" w:hAnsiTheme="minorHAnsi" w:cstheme="minorHAnsi"/>
          <w:b w:val="0"/>
          <w:bCs w:val="0"/>
        </w:rPr>
        <w:t xml:space="preserve"> of production</w:t>
      </w:r>
      <w:r w:rsidR="00921052" w:rsidRPr="00CC0B87">
        <w:rPr>
          <w:rFonts w:asciiTheme="minorHAnsi" w:hAnsiTheme="minorHAnsi" w:cstheme="minorHAnsi"/>
          <w:b w:val="0"/>
          <w:bCs w:val="0"/>
        </w:rPr>
        <w:t>.</w:t>
      </w:r>
    </w:p>
    <w:p w14:paraId="5E0858AA" w14:textId="1661CA31" w:rsidR="00FE5CD0" w:rsidRPr="00CC0B87" w:rsidRDefault="008B2FEB" w:rsidP="00CC0B87">
      <w:pPr>
        <w:pStyle w:val="Heading4"/>
        <w:spacing w:line="360" w:lineRule="auto"/>
        <w:rPr>
          <w:rFonts w:asciiTheme="minorHAnsi" w:hAnsiTheme="minorHAnsi" w:cstheme="minorHAnsi"/>
          <w:b w:val="0"/>
          <w:bCs w:val="0"/>
        </w:rPr>
      </w:pPr>
      <w:r w:rsidRPr="00CC0B87">
        <w:rPr>
          <w:rFonts w:asciiTheme="minorHAnsi" w:hAnsiTheme="minorHAnsi" w:cstheme="minorHAnsi"/>
          <w:b w:val="0"/>
          <w:bCs w:val="0"/>
        </w:rPr>
        <w:tab/>
        <w:t xml:space="preserve">Jennifer Webb </w:t>
      </w:r>
      <w:r w:rsidR="00BC66DC" w:rsidRPr="00CC0B87">
        <w:rPr>
          <w:rFonts w:asciiTheme="minorHAnsi" w:hAnsiTheme="minorHAnsi" w:cstheme="minorHAnsi"/>
          <w:b w:val="0"/>
          <w:bCs w:val="0"/>
        </w:rPr>
        <w:t>has interpreted, from grave goods</w:t>
      </w:r>
      <w:r w:rsidR="00B207C1" w:rsidRPr="00CC0B87">
        <w:rPr>
          <w:rFonts w:asciiTheme="minorHAnsi" w:hAnsiTheme="minorHAnsi" w:cstheme="minorHAnsi"/>
          <w:b w:val="0"/>
          <w:bCs w:val="0"/>
        </w:rPr>
        <w:t xml:space="preserve"> from BA Cyprus,</w:t>
      </w:r>
      <w:r w:rsidR="00BC66DC" w:rsidRPr="00CC0B87">
        <w:rPr>
          <w:rFonts w:asciiTheme="minorHAnsi" w:hAnsiTheme="minorHAnsi" w:cstheme="minorHAnsi"/>
          <w:b w:val="0"/>
          <w:bCs w:val="0"/>
        </w:rPr>
        <w:t xml:space="preserve"> that </w:t>
      </w:r>
      <w:r w:rsidR="00B207C1" w:rsidRPr="00CC0B87">
        <w:rPr>
          <w:rFonts w:asciiTheme="minorHAnsi" w:hAnsiTheme="minorHAnsi" w:cstheme="minorHAnsi"/>
          <w:b w:val="0"/>
          <w:bCs w:val="0"/>
        </w:rPr>
        <w:t xml:space="preserve">there is a suggestion of </w:t>
      </w:r>
      <w:r w:rsidR="00F5164B" w:rsidRPr="00CC0B87">
        <w:rPr>
          <w:rFonts w:asciiTheme="minorHAnsi" w:hAnsiTheme="minorHAnsi" w:cstheme="minorHAnsi"/>
          <w:b w:val="0"/>
          <w:bCs w:val="0"/>
        </w:rPr>
        <w:t>‘highly structured relationship</w:t>
      </w:r>
      <w:r w:rsidR="00B207C1" w:rsidRPr="00CC0B87">
        <w:rPr>
          <w:rFonts w:asciiTheme="minorHAnsi" w:hAnsiTheme="minorHAnsi" w:cstheme="minorHAnsi"/>
          <w:b w:val="0"/>
          <w:bCs w:val="0"/>
        </w:rPr>
        <w:t>[s]</w:t>
      </w:r>
      <w:r w:rsidR="00F5164B" w:rsidRPr="00CC0B87">
        <w:rPr>
          <w:rFonts w:asciiTheme="minorHAnsi" w:hAnsiTheme="minorHAnsi" w:cstheme="minorHAnsi"/>
          <w:b w:val="0"/>
          <w:bCs w:val="0"/>
        </w:rPr>
        <w:t xml:space="preserve"> between people and object types’</w:t>
      </w:r>
      <w:r w:rsidR="00DD607F" w:rsidRPr="00CC0B87">
        <w:rPr>
          <w:rStyle w:val="FootnoteReference"/>
          <w:rFonts w:asciiTheme="minorHAnsi" w:hAnsiTheme="minorHAnsi" w:cstheme="minorHAnsi"/>
          <w:b w:val="0"/>
          <w:bCs w:val="0"/>
        </w:rPr>
        <w:footnoteReference w:id="35"/>
      </w:r>
      <w:r w:rsidR="00DD607F" w:rsidRPr="00CC0B87">
        <w:rPr>
          <w:rFonts w:asciiTheme="minorHAnsi" w:hAnsiTheme="minorHAnsi" w:cstheme="minorHAnsi"/>
          <w:b w:val="0"/>
          <w:bCs w:val="0"/>
        </w:rPr>
        <w:t xml:space="preserve">. She observed a pattern in gender and grave goods, </w:t>
      </w:r>
      <w:r w:rsidR="006A78FF" w:rsidRPr="00CC0B87">
        <w:rPr>
          <w:rFonts w:asciiTheme="minorHAnsi" w:hAnsiTheme="minorHAnsi" w:cstheme="minorHAnsi"/>
          <w:b w:val="0"/>
          <w:bCs w:val="0"/>
        </w:rPr>
        <w:t xml:space="preserve">claiming that </w:t>
      </w:r>
      <w:r w:rsidR="00F5164B" w:rsidRPr="00CC0B87">
        <w:rPr>
          <w:rFonts w:asciiTheme="minorHAnsi" w:hAnsiTheme="minorHAnsi" w:cstheme="minorHAnsi"/>
          <w:b w:val="0"/>
          <w:bCs w:val="0"/>
        </w:rPr>
        <w:t>weapons such as daggers and axes and razors are found largely with men, while ‘needles and spindle whorls with women’</w:t>
      </w:r>
      <w:r w:rsidR="008D577B" w:rsidRPr="00CC0B87">
        <w:rPr>
          <w:rFonts w:asciiTheme="minorHAnsi" w:hAnsiTheme="minorHAnsi" w:cstheme="minorHAnsi"/>
          <w:b w:val="0"/>
          <w:bCs w:val="0"/>
        </w:rPr>
        <w:t xml:space="preserve">, or which the seamstress’s grave is a good example – we know she carried out these tasks, </w:t>
      </w:r>
      <w:r w:rsidR="008D577B" w:rsidRPr="00CC0B87">
        <w:rPr>
          <w:rFonts w:asciiTheme="minorHAnsi" w:hAnsiTheme="minorHAnsi" w:cstheme="minorHAnsi"/>
          <w:b w:val="0"/>
          <w:bCs w:val="0"/>
        </w:rPr>
        <w:lastRenderedPageBreak/>
        <w:t xml:space="preserve">and so, </w:t>
      </w:r>
      <w:r w:rsidR="001961C2" w:rsidRPr="00CC0B87">
        <w:rPr>
          <w:rFonts w:asciiTheme="minorHAnsi" w:hAnsiTheme="minorHAnsi" w:cstheme="minorHAnsi"/>
          <w:b w:val="0"/>
          <w:bCs w:val="0"/>
        </w:rPr>
        <w:t>likely, did many other women.</w:t>
      </w:r>
      <w:r w:rsidR="00603112" w:rsidRPr="00CC0B87">
        <w:rPr>
          <w:rFonts w:asciiTheme="minorHAnsi" w:hAnsiTheme="minorHAnsi" w:cstheme="minorHAnsi"/>
          <w:b w:val="0"/>
          <w:bCs w:val="0"/>
        </w:rPr>
        <w:t xml:space="preserve"> Steel </w:t>
      </w:r>
      <w:r w:rsidR="00AE75A3" w:rsidRPr="00CC0B87">
        <w:rPr>
          <w:rFonts w:asciiTheme="minorHAnsi" w:hAnsiTheme="minorHAnsi" w:cstheme="minorHAnsi"/>
          <w:b w:val="0"/>
          <w:bCs w:val="0"/>
        </w:rPr>
        <w:t xml:space="preserve">discusses how </w:t>
      </w:r>
      <w:r w:rsidR="00687EED" w:rsidRPr="00CC0B87">
        <w:rPr>
          <w:rFonts w:asciiTheme="minorHAnsi" w:hAnsiTheme="minorHAnsi" w:cstheme="minorHAnsi"/>
          <w:b w:val="0"/>
          <w:bCs w:val="0"/>
        </w:rPr>
        <w:t xml:space="preserve">other writers, for instance, </w:t>
      </w:r>
      <w:r w:rsidR="00603112" w:rsidRPr="00CC0B87">
        <w:rPr>
          <w:rFonts w:asciiTheme="minorHAnsi" w:hAnsiTheme="minorHAnsi" w:cstheme="minorHAnsi"/>
          <w:b w:val="0"/>
          <w:bCs w:val="0"/>
        </w:rPr>
        <w:t xml:space="preserve">Bolger </w:t>
      </w:r>
      <w:r w:rsidR="00687EED" w:rsidRPr="00CC0B87">
        <w:rPr>
          <w:rFonts w:asciiTheme="minorHAnsi" w:hAnsiTheme="minorHAnsi" w:cstheme="minorHAnsi"/>
          <w:b w:val="0"/>
          <w:bCs w:val="0"/>
        </w:rPr>
        <w:t>‘</w:t>
      </w:r>
      <w:r w:rsidR="00603112" w:rsidRPr="00CC0B87">
        <w:rPr>
          <w:rFonts w:asciiTheme="minorHAnsi" w:hAnsiTheme="minorHAnsi" w:cstheme="minorHAnsi"/>
          <w:b w:val="0"/>
          <w:bCs w:val="0"/>
        </w:rPr>
        <w:t>attribute</w:t>
      </w:r>
      <w:r w:rsidR="00687EED" w:rsidRPr="00CC0B87">
        <w:rPr>
          <w:rFonts w:asciiTheme="minorHAnsi" w:hAnsiTheme="minorHAnsi" w:cstheme="minorHAnsi"/>
          <w:b w:val="0"/>
          <w:bCs w:val="0"/>
        </w:rPr>
        <w:t>[s]</w:t>
      </w:r>
      <w:r w:rsidR="00603112" w:rsidRPr="00CC0B87">
        <w:rPr>
          <w:rFonts w:asciiTheme="minorHAnsi" w:hAnsiTheme="minorHAnsi" w:cstheme="minorHAnsi"/>
          <w:b w:val="0"/>
          <w:bCs w:val="0"/>
        </w:rPr>
        <w:t xml:space="preserve"> this gendered division of labour to agricultural intensification and the emergence of a nuclear household</w:t>
      </w:r>
      <w:r w:rsidR="00687EED" w:rsidRPr="00CC0B87">
        <w:rPr>
          <w:rFonts w:asciiTheme="minorHAnsi" w:hAnsiTheme="minorHAnsi" w:cstheme="minorHAnsi"/>
          <w:b w:val="0"/>
          <w:bCs w:val="0"/>
        </w:rPr>
        <w:t>’</w:t>
      </w:r>
      <w:r w:rsidR="002971A9" w:rsidRPr="00CC0B87">
        <w:rPr>
          <w:rStyle w:val="FootnoteReference"/>
          <w:rFonts w:asciiTheme="minorHAnsi" w:hAnsiTheme="minorHAnsi" w:cstheme="minorHAnsi"/>
          <w:b w:val="0"/>
          <w:bCs w:val="0"/>
        </w:rPr>
        <w:footnoteReference w:id="36"/>
      </w:r>
      <w:r w:rsidR="00687EED" w:rsidRPr="00CC0B87">
        <w:rPr>
          <w:rFonts w:asciiTheme="minorHAnsi" w:hAnsiTheme="minorHAnsi" w:cstheme="minorHAnsi"/>
          <w:b w:val="0"/>
          <w:bCs w:val="0"/>
        </w:rPr>
        <w:t xml:space="preserve">, </w:t>
      </w:r>
      <w:r w:rsidR="00A93A59" w:rsidRPr="00CC0B87">
        <w:rPr>
          <w:rFonts w:asciiTheme="minorHAnsi" w:hAnsiTheme="minorHAnsi" w:cstheme="minorHAnsi"/>
          <w:b w:val="0"/>
          <w:bCs w:val="0"/>
        </w:rPr>
        <w:t>and that, as time progresses, this division becomes more fixed.</w:t>
      </w:r>
    </w:p>
    <w:p w14:paraId="522B619A" w14:textId="1ADDB14E" w:rsidR="00A93A59" w:rsidRPr="00CC0B87" w:rsidRDefault="00442E5F" w:rsidP="00CC0B87">
      <w:pPr>
        <w:pStyle w:val="Heading4"/>
        <w:spacing w:line="360" w:lineRule="auto"/>
        <w:ind w:firstLine="720"/>
        <w:rPr>
          <w:rFonts w:asciiTheme="minorHAnsi" w:hAnsiTheme="minorHAnsi" w:cstheme="minorHAnsi"/>
          <w:b w:val="0"/>
          <w:bCs w:val="0"/>
        </w:rPr>
      </w:pPr>
      <w:r w:rsidRPr="00CC0B87">
        <w:rPr>
          <w:rFonts w:asciiTheme="minorHAnsi" w:hAnsiTheme="minorHAnsi" w:cstheme="minorHAnsi"/>
          <w:b w:val="0"/>
          <w:bCs w:val="0"/>
        </w:rPr>
        <w:t xml:space="preserve">The </w:t>
      </w:r>
      <w:proofErr w:type="spellStart"/>
      <w:r w:rsidRPr="00CC0B87">
        <w:rPr>
          <w:rFonts w:asciiTheme="minorHAnsi" w:hAnsiTheme="minorHAnsi" w:cstheme="minorHAnsi"/>
          <w:b w:val="0"/>
          <w:bCs w:val="0"/>
        </w:rPr>
        <w:t>Vounous</w:t>
      </w:r>
      <w:proofErr w:type="spellEnd"/>
      <w:r w:rsidRPr="00CC0B87">
        <w:rPr>
          <w:rFonts w:asciiTheme="minorHAnsi" w:hAnsiTheme="minorHAnsi" w:cstheme="minorHAnsi"/>
          <w:b w:val="0"/>
          <w:bCs w:val="0"/>
        </w:rPr>
        <w:t xml:space="preserve"> Model is explored by Webb as a window into women’s place in what she refers to as ‘a man’s world’, </w:t>
      </w:r>
      <w:r w:rsidR="00830705" w:rsidRPr="00CC0B87">
        <w:rPr>
          <w:rFonts w:asciiTheme="minorHAnsi" w:hAnsiTheme="minorHAnsi" w:cstheme="minorHAnsi"/>
          <w:b w:val="0"/>
          <w:bCs w:val="0"/>
        </w:rPr>
        <w:t xml:space="preserve">both in wider society, and in this </w:t>
      </w:r>
      <w:proofErr w:type="gramStart"/>
      <w:r w:rsidR="00830705" w:rsidRPr="00CC0B87">
        <w:rPr>
          <w:rFonts w:asciiTheme="minorHAnsi" w:hAnsiTheme="minorHAnsi" w:cstheme="minorHAnsi"/>
          <w:b w:val="0"/>
          <w:bCs w:val="0"/>
        </w:rPr>
        <w:t>particular scene</w:t>
      </w:r>
      <w:proofErr w:type="gramEnd"/>
      <w:r w:rsidR="00830705" w:rsidRPr="00CC0B87">
        <w:rPr>
          <w:rFonts w:asciiTheme="minorHAnsi" w:hAnsiTheme="minorHAnsi" w:cstheme="minorHAnsi"/>
          <w:b w:val="0"/>
          <w:bCs w:val="0"/>
        </w:rPr>
        <w:t>.</w:t>
      </w:r>
      <w:r w:rsidR="00506FC0" w:rsidRPr="00CC0B87">
        <w:rPr>
          <w:rFonts w:asciiTheme="minorHAnsi" w:hAnsiTheme="minorHAnsi" w:cstheme="minorHAnsi"/>
          <w:b w:val="0"/>
          <w:bCs w:val="0"/>
        </w:rPr>
        <w:t xml:space="preserve"> </w:t>
      </w:r>
      <w:r w:rsidR="00C66AEA" w:rsidRPr="00CC0B87">
        <w:rPr>
          <w:rFonts w:asciiTheme="minorHAnsi" w:hAnsiTheme="minorHAnsi" w:cstheme="minorHAnsi"/>
          <w:b w:val="0"/>
          <w:bCs w:val="0"/>
        </w:rPr>
        <w:t>‘An extraordinary terracotta model</w:t>
      </w:r>
      <w:r w:rsidR="00C95030" w:rsidRPr="00CC0B87">
        <w:rPr>
          <w:rFonts w:asciiTheme="minorHAnsi" w:hAnsiTheme="minorHAnsi" w:cstheme="minorHAnsi"/>
          <w:b w:val="0"/>
          <w:bCs w:val="0"/>
        </w:rPr>
        <w:t xml:space="preserve"> found in a tomb on the north coast of Cyprus’</w:t>
      </w:r>
      <w:r w:rsidR="00592AC3" w:rsidRPr="00CC0B87">
        <w:rPr>
          <w:rStyle w:val="FootnoteReference"/>
          <w:rFonts w:asciiTheme="minorHAnsi" w:hAnsiTheme="minorHAnsi" w:cstheme="minorHAnsi"/>
          <w:b w:val="0"/>
          <w:bCs w:val="0"/>
        </w:rPr>
        <w:footnoteReference w:id="37"/>
      </w:r>
      <w:r w:rsidR="00506FC0" w:rsidRPr="00CC0B87">
        <w:rPr>
          <w:rFonts w:asciiTheme="minorHAnsi" w:hAnsiTheme="minorHAnsi" w:cstheme="minorHAnsi"/>
          <w:b w:val="0"/>
          <w:bCs w:val="0"/>
        </w:rPr>
        <w:t xml:space="preserve">, the </w:t>
      </w:r>
      <w:proofErr w:type="spellStart"/>
      <w:r w:rsidR="00506FC0" w:rsidRPr="00CC0B87">
        <w:rPr>
          <w:rFonts w:asciiTheme="minorHAnsi" w:hAnsiTheme="minorHAnsi" w:cstheme="minorHAnsi"/>
          <w:b w:val="0"/>
          <w:bCs w:val="0"/>
        </w:rPr>
        <w:t>Vounous</w:t>
      </w:r>
      <w:proofErr w:type="spellEnd"/>
      <w:r w:rsidR="00506FC0" w:rsidRPr="00CC0B87">
        <w:rPr>
          <w:rFonts w:asciiTheme="minorHAnsi" w:hAnsiTheme="minorHAnsi" w:cstheme="minorHAnsi"/>
          <w:b w:val="0"/>
          <w:bCs w:val="0"/>
        </w:rPr>
        <w:t xml:space="preserve"> Model </w:t>
      </w:r>
      <w:r w:rsidR="00BD1454" w:rsidRPr="00CC0B87">
        <w:rPr>
          <w:rFonts w:asciiTheme="minorHAnsi" w:hAnsiTheme="minorHAnsi" w:cstheme="minorHAnsi"/>
          <w:b w:val="0"/>
          <w:bCs w:val="0"/>
        </w:rPr>
        <w:t xml:space="preserve">features only one woman, amongst its eighteen figures, </w:t>
      </w:r>
      <w:r w:rsidR="00C3211A" w:rsidRPr="00CC0B87">
        <w:rPr>
          <w:rFonts w:asciiTheme="minorHAnsi" w:hAnsiTheme="minorHAnsi" w:cstheme="minorHAnsi"/>
          <w:b w:val="0"/>
          <w:bCs w:val="0"/>
        </w:rPr>
        <w:t>‘</w:t>
      </w:r>
      <w:r w:rsidR="007119AD" w:rsidRPr="00CC0B87">
        <w:rPr>
          <w:rFonts w:asciiTheme="minorHAnsi" w:hAnsiTheme="minorHAnsi" w:cstheme="minorHAnsi"/>
          <w:b w:val="0"/>
          <w:bCs w:val="0"/>
        </w:rPr>
        <w:t>who holds a baby and stands beside on of the animal pens</w:t>
      </w:r>
      <w:r w:rsidR="00BD1454" w:rsidRPr="00CC0B87">
        <w:rPr>
          <w:rFonts w:asciiTheme="minorHAnsi" w:hAnsiTheme="minorHAnsi" w:cstheme="minorHAnsi"/>
          <w:b w:val="0"/>
          <w:bCs w:val="0"/>
        </w:rPr>
        <w:t>’</w:t>
      </w:r>
      <w:r w:rsidR="00592AC3" w:rsidRPr="00CC0B87">
        <w:rPr>
          <w:rStyle w:val="FootnoteReference"/>
          <w:rFonts w:asciiTheme="minorHAnsi" w:hAnsiTheme="minorHAnsi" w:cstheme="minorHAnsi"/>
          <w:b w:val="0"/>
          <w:bCs w:val="0"/>
        </w:rPr>
        <w:footnoteReference w:id="38"/>
      </w:r>
      <w:r w:rsidR="00BD1454" w:rsidRPr="00CC0B87">
        <w:rPr>
          <w:rFonts w:asciiTheme="minorHAnsi" w:hAnsiTheme="minorHAnsi" w:cstheme="minorHAnsi"/>
          <w:b w:val="0"/>
          <w:bCs w:val="0"/>
        </w:rPr>
        <w:t>. The nature of this model is highly speculated, but</w:t>
      </w:r>
      <w:r w:rsidR="00AF500F" w:rsidRPr="00CC0B87">
        <w:rPr>
          <w:rFonts w:asciiTheme="minorHAnsi" w:hAnsiTheme="minorHAnsi" w:cstheme="minorHAnsi"/>
          <w:b w:val="0"/>
          <w:bCs w:val="0"/>
        </w:rPr>
        <w:t xml:space="preserve">, according to Lorentz, what is evident is that the woman </w:t>
      </w:r>
      <w:r w:rsidR="00265B66" w:rsidRPr="00CC0B87">
        <w:rPr>
          <w:rFonts w:asciiTheme="minorHAnsi" w:hAnsiTheme="minorHAnsi" w:cstheme="minorHAnsi"/>
          <w:b w:val="0"/>
          <w:bCs w:val="0"/>
        </w:rPr>
        <w:t xml:space="preserve">and child, though present, are not engaging in the </w:t>
      </w:r>
      <w:r w:rsidR="00265B66" w:rsidRPr="00CC0B87">
        <w:rPr>
          <w:rFonts w:asciiTheme="minorHAnsi" w:hAnsiTheme="minorHAnsi" w:cstheme="minorHAnsi"/>
          <w:b w:val="0"/>
          <w:bCs w:val="0"/>
        </w:rPr>
        <w:t>‘adult world of decision-making males’</w:t>
      </w:r>
      <w:r w:rsidR="00303859" w:rsidRPr="00CC0B87">
        <w:rPr>
          <w:rStyle w:val="FootnoteReference"/>
          <w:rFonts w:asciiTheme="minorHAnsi" w:hAnsiTheme="minorHAnsi" w:cstheme="minorHAnsi"/>
          <w:b w:val="0"/>
          <w:bCs w:val="0"/>
        </w:rPr>
        <w:footnoteReference w:id="39"/>
      </w:r>
      <w:r w:rsidR="00303859" w:rsidRPr="00CC0B87">
        <w:rPr>
          <w:rFonts w:asciiTheme="minorHAnsi" w:hAnsiTheme="minorHAnsi" w:cstheme="minorHAnsi"/>
          <w:b w:val="0"/>
          <w:bCs w:val="0"/>
        </w:rPr>
        <w:t>, and are positioned as if in their own social category together, and separate.</w:t>
      </w:r>
      <w:r w:rsidR="005E6AA4" w:rsidRPr="00CC0B87">
        <w:rPr>
          <w:rFonts w:asciiTheme="minorHAnsi" w:hAnsiTheme="minorHAnsi" w:cstheme="minorHAnsi"/>
          <w:b w:val="0"/>
          <w:bCs w:val="0"/>
        </w:rPr>
        <w:t xml:space="preserve"> </w:t>
      </w:r>
      <w:r w:rsidR="00A93A59" w:rsidRPr="00CC0B87">
        <w:rPr>
          <w:rFonts w:asciiTheme="minorHAnsi" w:hAnsiTheme="minorHAnsi" w:cstheme="minorHAnsi"/>
          <w:b w:val="0"/>
          <w:bCs w:val="0"/>
        </w:rPr>
        <w:t xml:space="preserve">Lorentz </w:t>
      </w:r>
      <w:r w:rsidR="00773747" w:rsidRPr="00CC0B87">
        <w:rPr>
          <w:rFonts w:asciiTheme="minorHAnsi" w:hAnsiTheme="minorHAnsi" w:cstheme="minorHAnsi"/>
          <w:b w:val="0"/>
          <w:bCs w:val="0"/>
        </w:rPr>
        <w:t>summarises</w:t>
      </w:r>
      <w:r w:rsidR="00A244F9" w:rsidRPr="00CC0B87">
        <w:rPr>
          <w:rFonts w:asciiTheme="minorHAnsi" w:hAnsiTheme="minorHAnsi" w:cstheme="minorHAnsi"/>
          <w:b w:val="0"/>
          <w:bCs w:val="0"/>
        </w:rPr>
        <w:t xml:space="preserve"> </w:t>
      </w:r>
      <w:r w:rsidR="00A93A59" w:rsidRPr="00CC0B87">
        <w:rPr>
          <w:rFonts w:asciiTheme="minorHAnsi" w:hAnsiTheme="minorHAnsi" w:cstheme="minorHAnsi"/>
          <w:b w:val="0"/>
          <w:bCs w:val="0"/>
        </w:rPr>
        <w:t>‘</w:t>
      </w:r>
      <w:r w:rsidR="00A244F9" w:rsidRPr="00CC0B87">
        <w:rPr>
          <w:rFonts w:asciiTheme="minorHAnsi" w:hAnsiTheme="minorHAnsi" w:cstheme="minorHAnsi"/>
          <w:b w:val="0"/>
          <w:bCs w:val="0"/>
        </w:rPr>
        <w:t>t</w:t>
      </w:r>
      <w:r w:rsidR="00A93A59" w:rsidRPr="00CC0B87">
        <w:rPr>
          <w:rFonts w:asciiTheme="minorHAnsi" w:hAnsiTheme="minorHAnsi" w:cstheme="minorHAnsi"/>
          <w:b w:val="0"/>
          <w:bCs w:val="0"/>
        </w:rPr>
        <w:t>he variety of roles and spheres in which women in ancient Cyprus</w:t>
      </w:r>
      <w:r w:rsidR="00A244F9" w:rsidRPr="00CC0B87">
        <w:rPr>
          <w:rFonts w:asciiTheme="minorHAnsi" w:hAnsiTheme="minorHAnsi" w:cstheme="minorHAnsi"/>
          <w:b w:val="0"/>
          <w:bCs w:val="0"/>
        </w:rPr>
        <w:t>’ held and played, were a combination of aspects in which they</w:t>
      </w:r>
      <w:r w:rsidR="00A93A59" w:rsidRPr="00CC0B87">
        <w:rPr>
          <w:rFonts w:asciiTheme="minorHAnsi" w:hAnsiTheme="minorHAnsi" w:cstheme="minorHAnsi"/>
          <w:b w:val="0"/>
          <w:bCs w:val="0"/>
        </w:rPr>
        <w:t xml:space="preserve"> were </w:t>
      </w:r>
      <w:r w:rsidR="00A244F9" w:rsidRPr="00CC0B87">
        <w:rPr>
          <w:rFonts w:asciiTheme="minorHAnsi" w:hAnsiTheme="minorHAnsi" w:cstheme="minorHAnsi"/>
          <w:b w:val="0"/>
          <w:bCs w:val="0"/>
        </w:rPr>
        <w:t>‘</w:t>
      </w:r>
      <w:r w:rsidR="00A93A59" w:rsidRPr="00CC0B87">
        <w:rPr>
          <w:rFonts w:asciiTheme="minorHAnsi" w:hAnsiTheme="minorHAnsi" w:cstheme="minorHAnsi"/>
          <w:b w:val="0"/>
          <w:bCs w:val="0"/>
        </w:rPr>
        <w:t>active (birth giver, worker, high- and low-status women), as well as the various aspects and stages of life it would have been necessary for them to negotiate (birth, disease, debility, death)’</w:t>
      </w:r>
      <w:r w:rsidR="00BE6822" w:rsidRPr="00CC0B87">
        <w:rPr>
          <w:rStyle w:val="FootnoteReference"/>
          <w:rFonts w:asciiTheme="minorHAnsi" w:hAnsiTheme="minorHAnsi" w:cstheme="minorHAnsi"/>
          <w:b w:val="0"/>
          <w:bCs w:val="0"/>
        </w:rPr>
        <w:footnoteReference w:id="40"/>
      </w:r>
      <w:r w:rsidR="005E6AA4" w:rsidRPr="00CC0B87">
        <w:rPr>
          <w:rFonts w:asciiTheme="minorHAnsi" w:hAnsiTheme="minorHAnsi" w:cstheme="minorHAnsi"/>
          <w:b w:val="0"/>
          <w:bCs w:val="0"/>
        </w:rPr>
        <w:t>.</w:t>
      </w:r>
      <w:r w:rsidR="00BE6822" w:rsidRPr="00CC0B87">
        <w:rPr>
          <w:rFonts w:asciiTheme="minorHAnsi" w:hAnsiTheme="minorHAnsi" w:cstheme="minorHAnsi"/>
          <w:b w:val="0"/>
          <w:bCs w:val="0"/>
        </w:rPr>
        <w:t xml:space="preserve"> Of all of these mingled together</w:t>
      </w:r>
      <w:r w:rsidR="00CC0B87" w:rsidRPr="00CC0B87">
        <w:rPr>
          <w:rFonts w:asciiTheme="minorHAnsi" w:hAnsiTheme="minorHAnsi" w:cstheme="minorHAnsi"/>
          <w:b w:val="0"/>
          <w:bCs w:val="0"/>
        </w:rPr>
        <w:t xml:space="preserve"> into the human experience</w:t>
      </w:r>
      <w:r w:rsidR="00BE6822" w:rsidRPr="00CC0B87">
        <w:rPr>
          <w:rFonts w:asciiTheme="minorHAnsi" w:hAnsiTheme="minorHAnsi" w:cstheme="minorHAnsi"/>
          <w:b w:val="0"/>
          <w:bCs w:val="0"/>
        </w:rPr>
        <w:t xml:space="preserve">, and all the ranging pieces of evidence for attitudes towards women and infants, </w:t>
      </w:r>
      <w:r w:rsidR="00A5611F" w:rsidRPr="00CC0B87">
        <w:rPr>
          <w:rFonts w:asciiTheme="minorHAnsi" w:hAnsiTheme="minorHAnsi" w:cstheme="minorHAnsi"/>
          <w:b w:val="0"/>
          <w:bCs w:val="0"/>
        </w:rPr>
        <w:t>Webb concludes that, u</w:t>
      </w:r>
      <w:r w:rsidR="008A02AC" w:rsidRPr="00CC0B87">
        <w:rPr>
          <w:rFonts w:asciiTheme="minorHAnsi" w:hAnsiTheme="minorHAnsi" w:cstheme="minorHAnsi"/>
          <w:b w:val="0"/>
          <w:bCs w:val="0"/>
        </w:rPr>
        <w:t xml:space="preserve">ltimately </w:t>
      </w:r>
      <w:r w:rsidR="00A93A59" w:rsidRPr="00CC0B87">
        <w:rPr>
          <w:rFonts w:asciiTheme="minorHAnsi" w:hAnsiTheme="minorHAnsi" w:cstheme="minorHAnsi"/>
          <w:b w:val="0"/>
          <w:bCs w:val="0"/>
        </w:rPr>
        <w:t>‘women are represented as lovers or partners; as mothers (or child-minders); and as a source of productive labour</w:t>
      </w:r>
      <w:r w:rsidR="008A02AC" w:rsidRPr="00CC0B87">
        <w:rPr>
          <w:rStyle w:val="FootnoteReference"/>
          <w:rFonts w:asciiTheme="minorHAnsi" w:hAnsiTheme="minorHAnsi" w:cstheme="minorHAnsi"/>
          <w:b w:val="0"/>
          <w:bCs w:val="0"/>
        </w:rPr>
        <w:footnoteReference w:id="41"/>
      </w:r>
      <w:r w:rsidR="008A02AC" w:rsidRPr="00CC0B87">
        <w:rPr>
          <w:rFonts w:asciiTheme="minorHAnsi" w:hAnsiTheme="minorHAnsi" w:cstheme="minorHAnsi"/>
          <w:b w:val="0"/>
          <w:bCs w:val="0"/>
        </w:rPr>
        <w:t>’</w:t>
      </w:r>
      <w:r w:rsidR="00A5611F" w:rsidRPr="00CC0B87">
        <w:rPr>
          <w:rFonts w:asciiTheme="minorHAnsi" w:hAnsiTheme="minorHAnsi" w:cstheme="minorHAnsi"/>
          <w:b w:val="0"/>
          <w:bCs w:val="0"/>
        </w:rPr>
        <w:t>,</w:t>
      </w:r>
      <w:r w:rsidR="0006253E" w:rsidRPr="00CC0B87">
        <w:rPr>
          <w:rFonts w:asciiTheme="minorHAnsi" w:hAnsiTheme="minorHAnsi" w:cstheme="minorHAnsi"/>
          <w:b w:val="0"/>
          <w:bCs w:val="0"/>
        </w:rPr>
        <w:t xml:space="preserve"> therefore, it could be argued, as valued when placed in a correct and functional context, likely as </w:t>
      </w:r>
      <w:r w:rsidR="001F6C53" w:rsidRPr="00CC0B87">
        <w:rPr>
          <w:rFonts w:asciiTheme="minorHAnsi" w:hAnsiTheme="minorHAnsi" w:cstheme="minorHAnsi"/>
          <w:b w:val="0"/>
          <w:bCs w:val="0"/>
        </w:rPr>
        <w:t xml:space="preserve">other members of BA Cypriot society, as they all </w:t>
      </w:r>
      <w:r w:rsidR="00370FEC" w:rsidRPr="00CC0B87">
        <w:rPr>
          <w:rFonts w:asciiTheme="minorHAnsi" w:hAnsiTheme="minorHAnsi" w:cstheme="minorHAnsi"/>
          <w:b w:val="0"/>
          <w:bCs w:val="0"/>
        </w:rPr>
        <w:t>served their individual part in contributing to their households and wider communities.</w:t>
      </w:r>
    </w:p>
    <w:p w14:paraId="0F6F9331" w14:textId="02F2EAAF" w:rsidR="001B5B40" w:rsidRDefault="001B5B40" w:rsidP="00CC0B87">
      <w:pPr>
        <w:pStyle w:val="Heading4"/>
        <w:spacing w:line="360" w:lineRule="auto"/>
        <w:rPr>
          <w:rFonts w:asciiTheme="minorHAnsi" w:hAnsiTheme="minorHAnsi" w:cstheme="minorHAnsi"/>
        </w:rPr>
      </w:pPr>
    </w:p>
    <w:p w14:paraId="568FA833" w14:textId="33F28251" w:rsidR="00F703D7" w:rsidRDefault="00F703D7" w:rsidP="00CC0B87">
      <w:pPr>
        <w:pStyle w:val="Heading4"/>
        <w:spacing w:line="360" w:lineRule="auto"/>
        <w:rPr>
          <w:rFonts w:asciiTheme="minorHAnsi" w:hAnsiTheme="minorHAnsi" w:cstheme="minorHAnsi"/>
        </w:rPr>
      </w:pPr>
    </w:p>
    <w:p w14:paraId="6FAAC216" w14:textId="5351E025" w:rsidR="003D5051" w:rsidRPr="000B2BED" w:rsidRDefault="007046CE" w:rsidP="00CC0B87">
      <w:pPr>
        <w:spacing w:line="360" w:lineRule="auto"/>
        <w:rPr>
          <w:rFonts w:cstheme="minorHAnsi"/>
          <w:sz w:val="24"/>
          <w:szCs w:val="24"/>
          <w:u w:val="single"/>
        </w:rPr>
      </w:pPr>
      <w:r w:rsidRPr="000B2BED">
        <w:rPr>
          <w:rFonts w:cstheme="minorHAnsi"/>
          <w:sz w:val="24"/>
          <w:szCs w:val="24"/>
          <w:u w:val="single"/>
        </w:rPr>
        <w:lastRenderedPageBreak/>
        <w:t>Bibliography:</w:t>
      </w:r>
    </w:p>
    <w:p w14:paraId="280D1FF5" w14:textId="6A1960CA" w:rsidR="00C017E7" w:rsidRPr="000B2BED" w:rsidRDefault="001E7364" w:rsidP="00CC0B87">
      <w:pPr>
        <w:pStyle w:val="Heading4"/>
        <w:spacing w:line="360" w:lineRule="auto"/>
        <w:ind w:firstLine="720"/>
        <w:rPr>
          <w:rFonts w:asciiTheme="minorHAnsi" w:hAnsiTheme="minorHAnsi" w:cstheme="minorHAnsi"/>
          <w:b w:val="0"/>
          <w:bCs w:val="0"/>
          <w:i/>
          <w:iCs/>
        </w:rPr>
      </w:pPr>
      <w:proofErr w:type="spellStart"/>
      <w:r w:rsidRPr="000B2BED">
        <w:rPr>
          <w:rFonts w:asciiTheme="minorHAnsi" w:hAnsiTheme="minorHAnsi" w:cstheme="minorHAnsi"/>
          <w:b w:val="0"/>
          <w:bCs w:val="0"/>
        </w:rPr>
        <w:t>Budin</w:t>
      </w:r>
      <w:proofErr w:type="spellEnd"/>
      <w:r w:rsidRPr="000B2BED">
        <w:rPr>
          <w:rFonts w:asciiTheme="minorHAnsi" w:hAnsiTheme="minorHAnsi" w:cstheme="minorHAnsi"/>
          <w:b w:val="0"/>
          <w:bCs w:val="0"/>
        </w:rPr>
        <w:t>, S. L., 2016, ‘Ch 25 Maternity in Ancient Cyprus’</w:t>
      </w:r>
      <w:r w:rsidR="003D5051" w:rsidRPr="000B2BED">
        <w:rPr>
          <w:rFonts w:asciiTheme="minorHAnsi" w:hAnsiTheme="minorHAnsi" w:cstheme="minorHAnsi"/>
          <w:b w:val="0"/>
          <w:bCs w:val="0"/>
        </w:rPr>
        <w:t xml:space="preserve">, </w:t>
      </w:r>
      <w:r w:rsidR="00C017E7" w:rsidRPr="000B2BED">
        <w:rPr>
          <w:rFonts w:asciiTheme="minorHAnsi" w:hAnsiTheme="minorHAnsi" w:cstheme="minorHAnsi"/>
          <w:b w:val="0"/>
          <w:bCs w:val="0"/>
          <w:i/>
          <w:iCs/>
          <w:color w:val="000000"/>
        </w:rPr>
        <w:t>Women in Antiquity : Real Women Across the Ancient World</w:t>
      </w:r>
      <w:r w:rsidR="003D5051" w:rsidRPr="000B2BED">
        <w:rPr>
          <w:rFonts w:asciiTheme="minorHAnsi" w:hAnsiTheme="minorHAnsi" w:cstheme="minorHAnsi"/>
          <w:b w:val="0"/>
          <w:bCs w:val="0"/>
          <w:i/>
          <w:iCs/>
          <w:color w:val="000000"/>
        </w:rPr>
        <w:t xml:space="preserve">, </w:t>
      </w:r>
      <w:r w:rsidR="003D5051" w:rsidRPr="000B2BED">
        <w:rPr>
          <w:rFonts w:asciiTheme="minorHAnsi" w:hAnsiTheme="minorHAnsi" w:cstheme="minorHAnsi"/>
          <w:b w:val="0"/>
          <w:bCs w:val="0"/>
        </w:rPr>
        <w:t xml:space="preserve">Available at: </w:t>
      </w:r>
      <w:hyperlink r:id="rId10" w:history="1">
        <w:r w:rsidR="00860B38" w:rsidRPr="000B2BED">
          <w:rPr>
            <w:rStyle w:val="Hyperlink"/>
            <w:rFonts w:asciiTheme="minorHAnsi" w:hAnsiTheme="minorHAnsi" w:cstheme="minorHAnsi"/>
            <w:b w:val="0"/>
            <w:bCs w:val="0"/>
          </w:rPr>
          <w:t>https://www.perlego.com/book/1567467/women-in-antiquity-real-women-across-the-ancient-world</w:t>
        </w:r>
      </w:hyperlink>
      <w:r w:rsidR="00860B38" w:rsidRPr="000B2BED">
        <w:rPr>
          <w:rFonts w:asciiTheme="minorHAnsi" w:hAnsiTheme="minorHAnsi" w:cstheme="minorHAnsi"/>
          <w:b w:val="0"/>
          <w:bCs w:val="0"/>
        </w:rPr>
        <w:t xml:space="preserve"> </w:t>
      </w:r>
      <w:r w:rsidR="003D5051" w:rsidRPr="000B2BED">
        <w:rPr>
          <w:rFonts w:asciiTheme="minorHAnsi" w:hAnsiTheme="minorHAnsi" w:cstheme="minorHAnsi"/>
          <w:b w:val="0"/>
          <w:bCs w:val="0"/>
        </w:rPr>
        <w:t>[accessed: 14/01/24]</w:t>
      </w:r>
    </w:p>
    <w:p w14:paraId="2CBA46CF" w14:textId="445CD112" w:rsidR="00E703A5" w:rsidRPr="000B2BED" w:rsidRDefault="00E703A5" w:rsidP="00CC0B87">
      <w:pPr>
        <w:spacing w:line="360" w:lineRule="auto"/>
        <w:ind w:firstLine="720"/>
        <w:rPr>
          <w:rFonts w:cstheme="minorHAnsi"/>
          <w:sz w:val="24"/>
          <w:szCs w:val="24"/>
        </w:rPr>
      </w:pPr>
      <w:proofErr w:type="spellStart"/>
      <w:r w:rsidRPr="000B2BED">
        <w:rPr>
          <w:rFonts w:cstheme="minorHAnsi"/>
          <w:sz w:val="24"/>
          <w:szCs w:val="24"/>
        </w:rPr>
        <w:t>Budin</w:t>
      </w:r>
      <w:proofErr w:type="spellEnd"/>
      <w:r w:rsidRPr="000B2BED">
        <w:rPr>
          <w:rFonts w:cstheme="minorHAnsi"/>
          <w:sz w:val="24"/>
          <w:szCs w:val="24"/>
        </w:rPr>
        <w:t xml:space="preserve">, S. L. and </w:t>
      </w:r>
      <w:proofErr w:type="spellStart"/>
      <w:r w:rsidRPr="000B2BED">
        <w:rPr>
          <w:rFonts w:cstheme="minorHAnsi"/>
          <w:sz w:val="24"/>
          <w:szCs w:val="24"/>
        </w:rPr>
        <w:t>T</w:t>
      </w:r>
      <w:r w:rsidR="00860B38" w:rsidRPr="000B2BED">
        <w:rPr>
          <w:rFonts w:cstheme="minorHAnsi"/>
          <w:sz w:val="24"/>
          <w:szCs w:val="24"/>
        </w:rPr>
        <w:t>urfa</w:t>
      </w:r>
      <w:proofErr w:type="spellEnd"/>
      <w:r w:rsidR="00860B38" w:rsidRPr="000B2BED">
        <w:rPr>
          <w:rFonts w:cstheme="minorHAnsi"/>
          <w:sz w:val="24"/>
          <w:szCs w:val="24"/>
        </w:rPr>
        <w:t>, J.M.</w:t>
      </w:r>
      <w:r w:rsidR="00C14B3C" w:rsidRPr="000B2BED">
        <w:rPr>
          <w:rFonts w:cstheme="minorHAnsi"/>
          <w:sz w:val="24"/>
          <w:szCs w:val="24"/>
        </w:rPr>
        <w:t>, 2016,</w:t>
      </w:r>
      <w:r w:rsidR="00DC270E" w:rsidRPr="000B2BED">
        <w:rPr>
          <w:rFonts w:cstheme="minorHAnsi"/>
          <w:sz w:val="24"/>
          <w:szCs w:val="24"/>
        </w:rPr>
        <w:t xml:space="preserve"> Introduction,</w:t>
      </w:r>
      <w:r w:rsidR="00C14B3C" w:rsidRPr="000B2BED">
        <w:rPr>
          <w:rFonts w:cstheme="minorHAnsi"/>
          <w:sz w:val="24"/>
          <w:szCs w:val="24"/>
        </w:rPr>
        <w:t xml:space="preserve"> </w:t>
      </w:r>
      <w:r w:rsidR="00C14B3C" w:rsidRPr="000B2BED">
        <w:rPr>
          <w:rFonts w:cstheme="minorHAnsi"/>
          <w:i/>
          <w:iCs/>
          <w:sz w:val="24"/>
          <w:szCs w:val="24"/>
        </w:rPr>
        <w:t>Women in Antiquity: Real Women Across the Ancient World</w:t>
      </w:r>
      <w:r w:rsidR="00C14B3C" w:rsidRPr="000B2BED">
        <w:rPr>
          <w:rFonts w:cstheme="minorHAnsi"/>
          <w:sz w:val="24"/>
          <w:szCs w:val="24"/>
        </w:rPr>
        <w:t xml:space="preserve">, Available at: </w:t>
      </w:r>
      <w:hyperlink r:id="rId11" w:history="1">
        <w:r w:rsidR="00DC270E" w:rsidRPr="000B2BED">
          <w:rPr>
            <w:rStyle w:val="Hyperlink"/>
            <w:rFonts w:cstheme="minorHAnsi"/>
            <w:sz w:val="24"/>
            <w:szCs w:val="24"/>
          </w:rPr>
          <w:t>https://www.perlego.com/book/1567467/women-in-antiquity-real-women-across-the-ancient-world</w:t>
        </w:r>
      </w:hyperlink>
      <w:r w:rsidR="00DC270E" w:rsidRPr="000B2BED">
        <w:rPr>
          <w:rFonts w:cstheme="minorHAnsi"/>
          <w:sz w:val="24"/>
          <w:szCs w:val="24"/>
        </w:rPr>
        <w:t xml:space="preserve"> [accessed:14/01/24]</w:t>
      </w:r>
    </w:p>
    <w:p w14:paraId="182F0108" w14:textId="584CC224" w:rsidR="000B2BED" w:rsidRPr="000B2BED" w:rsidRDefault="000B2BED" w:rsidP="00CC0B87">
      <w:pPr>
        <w:pStyle w:val="Heading4"/>
        <w:spacing w:line="360" w:lineRule="auto"/>
        <w:ind w:firstLine="720"/>
        <w:rPr>
          <w:rFonts w:asciiTheme="minorHAnsi" w:hAnsiTheme="minorHAnsi" w:cstheme="minorHAnsi"/>
          <w:b w:val="0"/>
          <w:bCs w:val="0"/>
        </w:rPr>
      </w:pPr>
      <w:r w:rsidRPr="000B2BED">
        <w:rPr>
          <w:rFonts w:asciiTheme="minorHAnsi" w:hAnsiTheme="minorHAnsi" w:cstheme="minorHAnsi"/>
          <w:b w:val="0"/>
          <w:bCs w:val="0"/>
        </w:rPr>
        <w:t xml:space="preserve">Douglas, S. 2019, </w:t>
      </w:r>
      <w:r w:rsidRPr="000B2BED">
        <w:rPr>
          <w:rFonts w:asciiTheme="minorHAnsi" w:hAnsiTheme="minorHAnsi" w:cstheme="minorHAnsi"/>
          <w:b w:val="0"/>
          <w:bCs w:val="0"/>
          <w:i/>
          <w:iCs/>
        </w:rPr>
        <w:t>Beyond Gender and Status: Rethinking the Burial Record of Bronze Age Cyprus (2500-1340BC)</w:t>
      </w:r>
      <w:r w:rsidRPr="000B2BED">
        <w:rPr>
          <w:rFonts w:asciiTheme="minorHAnsi" w:hAnsiTheme="minorHAnsi" w:cstheme="minorHAnsi"/>
          <w:b w:val="0"/>
          <w:bCs w:val="0"/>
          <w:i/>
          <w:iCs/>
        </w:rPr>
        <w:t>,</w:t>
      </w:r>
      <w:r w:rsidRPr="000B2BED">
        <w:rPr>
          <w:rFonts w:asciiTheme="minorHAnsi" w:hAnsiTheme="minorHAnsi" w:cstheme="minorHAnsi"/>
          <w:b w:val="0"/>
          <w:bCs w:val="0"/>
        </w:rPr>
        <w:t xml:space="preserve"> University of Manchester</w:t>
      </w:r>
      <w:r w:rsidRPr="000B2BED">
        <w:rPr>
          <w:rFonts w:asciiTheme="minorHAnsi" w:hAnsiTheme="minorHAnsi" w:cstheme="minorHAnsi"/>
          <w:b w:val="0"/>
          <w:bCs w:val="0"/>
        </w:rPr>
        <w:t xml:space="preserve">. Available at: </w:t>
      </w:r>
      <w:hyperlink r:id="rId12" w:history="1">
        <w:r w:rsidRPr="000B2BED">
          <w:rPr>
            <w:rStyle w:val="Hyperlink"/>
            <w:rFonts w:asciiTheme="minorHAnsi" w:hAnsiTheme="minorHAnsi" w:cstheme="minorHAnsi"/>
            <w:b w:val="0"/>
            <w:bCs w:val="0"/>
          </w:rPr>
          <w:t>https://pure.manchester.ac.uk/ws/portalfiles/portal/194688461/FULL_TEXT.PDF</w:t>
        </w:r>
      </w:hyperlink>
      <w:r w:rsidRPr="000B2BED">
        <w:rPr>
          <w:rFonts w:asciiTheme="minorHAnsi" w:hAnsiTheme="minorHAnsi" w:cstheme="minorHAnsi"/>
          <w:b w:val="0"/>
          <w:bCs w:val="0"/>
        </w:rPr>
        <w:t xml:space="preserve"> [accessed: 14/01/24]</w:t>
      </w:r>
    </w:p>
    <w:p w14:paraId="2BEF37A7" w14:textId="0C01D6C4" w:rsidR="00BB196B" w:rsidRPr="000B2BED" w:rsidRDefault="00BB196B" w:rsidP="00CC0B87">
      <w:pPr>
        <w:spacing w:line="360" w:lineRule="auto"/>
        <w:ind w:firstLine="720"/>
        <w:rPr>
          <w:rFonts w:cstheme="minorHAnsi"/>
          <w:color w:val="000000"/>
          <w:spacing w:val="-5"/>
          <w:sz w:val="24"/>
          <w:szCs w:val="24"/>
        </w:rPr>
      </w:pPr>
      <w:r w:rsidRPr="000B2BED">
        <w:rPr>
          <w:rFonts w:cstheme="minorHAnsi"/>
          <w:color w:val="000000"/>
          <w:spacing w:val="-5"/>
          <w:sz w:val="24"/>
          <w:szCs w:val="24"/>
        </w:rPr>
        <w:t>Falconer</w:t>
      </w:r>
      <w:r w:rsidRPr="000B2BED">
        <w:rPr>
          <w:rFonts w:cstheme="minorHAnsi"/>
          <w:color w:val="000000"/>
          <w:spacing w:val="-5"/>
          <w:sz w:val="24"/>
          <w:szCs w:val="24"/>
        </w:rPr>
        <w:t xml:space="preserve">, S. E. </w:t>
      </w:r>
      <w:r w:rsidRPr="000B2BED">
        <w:rPr>
          <w:rFonts w:cstheme="minorHAnsi"/>
          <w:color w:val="000000"/>
          <w:spacing w:val="-5"/>
          <w:sz w:val="24"/>
          <w:szCs w:val="24"/>
        </w:rPr>
        <w:t>and Fall</w:t>
      </w:r>
      <w:r w:rsidRPr="000B2BED">
        <w:rPr>
          <w:rFonts w:cstheme="minorHAnsi"/>
          <w:color w:val="000000"/>
          <w:spacing w:val="-5"/>
          <w:sz w:val="24"/>
          <w:szCs w:val="24"/>
        </w:rPr>
        <w:t>, P. L., 2013, ‘</w:t>
      </w:r>
      <w:r w:rsidRPr="000B2BED">
        <w:rPr>
          <w:rFonts w:cstheme="minorHAnsi"/>
          <w:color w:val="000000"/>
          <w:spacing w:val="-5"/>
          <w:sz w:val="24"/>
          <w:szCs w:val="24"/>
        </w:rPr>
        <w:t>Household and community behavio</w:t>
      </w:r>
      <w:r w:rsidRPr="000B2BED">
        <w:rPr>
          <w:rFonts w:cstheme="minorHAnsi"/>
          <w:color w:val="000000"/>
          <w:spacing w:val="-5"/>
          <w:sz w:val="24"/>
          <w:szCs w:val="24"/>
        </w:rPr>
        <w:t>u</w:t>
      </w:r>
      <w:r w:rsidRPr="000B2BED">
        <w:rPr>
          <w:rFonts w:cstheme="minorHAnsi"/>
          <w:color w:val="000000"/>
          <w:spacing w:val="-5"/>
          <w:sz w:val="24"/>
          <w:szCs w:val="24"/>
        </w:rPr>
        <w:t xml:space="preserve">r at Bronze Age </w:t>
      </w:r>
      <w:proofErr w:type="spellStart"/>
      <w:r w:rsidRPr="000B2BED">
        <w:rPr>
          <w:rFonts w:cstheme="minorHAnsi"/>
          <w:color w:val="000000"/>
          <w:spacing w:val="-5"/>
          <w:sz w:val="24"/>
          <w:szCs w:val="24"/>
        </w:rPr>
        <w:t>Politiko-Troullia</w:t>
      </w:r>
      <w:proofErr w:type="spellEnd"/>
      <w:r w:rsidRPr="000B2BED">
        <w:rPr>
          <w:rFonts w:cstheme="minorHAnsi"/>
          <w:color w:val="000000"/>
          <w:spacing w:val="-5"/>
          <w:sz w:val="24"/>
          <w:szCs w:val="24"/>
        </w:rPr>
        <w:t>, Cyprus</w:t>
      </w:r>
      <w:r w:rsidRPr="000B2BED">
        <w:rPr>
          <w:rFonts w:cstheme="minorHAnsi"/>
          <w:color w:val="000000"/>
          <w:spacing w:val="-5"/>
          <w:sz w:val="24"/>
          <w:szCs w:val="24"/>
        </w:rPr>
        <w:t xml:space="preserve">’, </w:t>
      </w:r>
      <w:r w:rsidRPr="000B2BED">
        <w:rPr>
          <w:rFonts w:cstheme="minorHAnsi"/>
          <w:color w:val="000000"/>
          <w:spacing w:val="-5"/>
          <w:sz w:val="24"/>
          <w:szCs w:val="24"/>
        </w:rPr>
        <w:t>Journal of Field Archaeology</w:t>
      </w:r>
      <w:r w:rsidRPr="000B2BED">
        <w:rPr>
          <w:rFonts w:cstheme="minorHAnsi"/>
          <w:spacing w:val="-5"/>
          <w:sz w:val="24"/>
          <w:szCs w:val="24"/>
        </w:rPr>
        <w:t xml:space="preserve">, </w:t>
      </w:r>
      <w:r w:rsidRPr="000B2BED">
        <w:rPr>
          <w:rFonts w:cstheme="minorHAnsi"/>
          <w:spacing w:val="-5"/>
          <w:sz w:val="24"/>
          <w:szCs w:val="24"/>
        </w:rPr>
        <w:t>38</w:t>
      </w:r>
      <w:r w:rsidRPr="000B2BED">
        <w:rPr>
          <w:rFonts w:cstheme="minorHAnsi"/>
          <w:spacing w:val="-5"/>
          <w:sz w:val="24"/>
          <w:szCs w:val="24"/>
        </w:rPr>
        <w:t>(2)</w:t>
      </w:r>
      <w:r w:rsidR="002500C7" w:rsidRPr="000B2BED">
        <w:rPr>
          <w:rFonts w:cstheme="minorHAnsi"/>
          <w:spacing w:val="-5"/>
          <w:sz w:val="24"/>
          <w:szCs w:val="24"/>
        </w:rPr>
        <w:t>,</w:t>
      </w:r>
      <w:r w:rsidRPr="000B2BED">
        <w:rPr>
          <w:rFonts w:cstheme="minorHAnsi"/>
          <w:color w:val="000000"/>
          <w:spacing w:val="-5"/>
          <w:sz w:val="24"/>
          <w:szCs w:val="24"/>
        </w:rPr>
        <w:t xml:space="preserve"> pp. 101-119</w:t>
      </w:r>
      <w:r w:rsidR="002500C7" w:rsidRPr="000B2BED">
        <w:rPr>
          <w:rFonts w:cstheme="minorHAnsi"/>
          <w:color w:val="000000"/>
          <w:spacing w:val="-5"/>
          <w:sz w:val="24"/>
          <w:szCs w:val="24"/>
        </w:rPr>
        <w:t xml:space="preserve">. </w:t>
      </w:r>
      <w:r w:rsidRPr="000B2BED">
        <w:rPr>
          <w:rFonts w:cstheme="minorHAnsi"/>
          <w:spacing w:val="-5"/>
          <w:sz w:val="24"/>
          <w:szCs w:val="24"/>
        </w:rPr>
        <w:t xml:space="preserve">Available at: </w:t>
      </w:r>
      <w:hyperlink r:id="rId13" w:history="1">
        <w:r w:rsidRPr="000B2BED">
          <w:rPr>
            <w:rStyle w:val="Hyperlink"/>
            <w:rFonts w:cstheme="minorHAnsi"/>
            <w:sz w:val="24"/>
            <w:szCs w:val="24"/>
          </w:rPr>
          <w:t>https://www.jstor.org/stable/24408684</w:t>
        </w:r>
      </w:hyperlink>
      <w:r w:rsidR="002500C7" w:rsidRPr="000B2BED">
        <w:rPr>
          <w:rFonts w:cstheme="minorHAnsi"/>
          <w:sz w:val="24"/>
          <w:szCs w:val="24"/>
        </w:rPr>
        <w:t xml:space="preserve"> [accessed 14/01/24]</w:t>
      </w:r>
    </w:p>
    <w:p w14:paraId="31BC3EAB" w14:textId="148CD31C" w:rsidR="00EB423D" w:rsidRPr="000B2BED" w:rsidRDefault="00EB423D" w:rsidP="00CC0B87">
      <w:pPr>
        <w:spacing w:line="360" w:lineRule="auto"/>
        <w:ind w:firstLine="720"/>
        <w:rPr>
          <w:rFonts w:cstheme="minorHAnsi"/>
          <w:sz w:val="24"/>
          <w:szCs w:val="24"/>
        </w:rPr>
      </w:pPr>
      <w:r w:rsidRPr="000B2BED">
        <w:rPr>
          <w:rFonts w:cstheme="minorHAnsi"/>
          <w:sz w:val="24"/>
          <w:szCs w:val="24"/>
        </w:rPr>
        <w:t xml:space="preserve">Lorentz, K., 2005, ‘Late Bronze Age Burial Practices – Age as a Form of Social Difference’, </w:t>
      </w:r>
      <w:r w:rsidRPr="000B2BED">
        <w:rPr>
          <w:rFonts w:cstheme="minorHAnsi"/>
          <w:i/>
          <w:iCs/>
          <w:sz w:val="24"/>
          <w:szCs w:val="24"/>
        </w:rPr>
        <w:t xml:space="preserve">Cyprus: Religion and Society </w:t>
      </w:r>
      <w:proofErr w:type="gramStart"/>
      <w:r w:rsidRPr="000B2BED">
        <w:rPr>
          <w:rFonts w:cstheme="minorHAnsi"/>
          <w:i/>
          <w:iCs/>
          <w:sz w:val="24"/>
          <w:szCs w:val="24"/>
        </w:rPr>
        <w:t>From</w:t>
      </w:r>
      <w:proofErr w:type="gramEnd"/>
      <w:r w:rsidRPr="000B2BED">
        <w:rPr>
          <w:rFonts w:cstheme="minorHAnsi"/>
          <w:i/>
          <w:iCs/>
          <w:sz w:val="24"/>
          <w:szCs w:val="24"/>
        </w:rPr>
        <w:t xml:space="preserve"> the Late Bronze Age To The End of The Archaic Period</w:t>
      </w:r>
      <w:r w:rsidR="00B8215C" w:rsidRPr="000B2BED">
        <w:rPr>
          <w:rFonts w:cstheme="minorHAnsi"/>
          <w:i/>
          <w:iCs/>
          <w:sz w:val="24"/>
          <w:szCs w:val="24"/>
        </w:rPr>
        <w:t xml:space="preserve">. </w:t>
      </w:r>
      <w:r w:rsidR="00B8215C" w:rsidRPr="000B2BED">
        <w:rPr>
          <w:rFonts w:cstheme="minorHAnsi"/>
          <w:sz w:val="24"/>
          <w:szCs w:val="24"/>
        </w:rPr>
        <w:t xml:space="preserve">Available at: </w:t>
      </w:r>
      <w:hyperlink r:id="rId14" w:history="1">
        <w:r w:rsidR="00BB196B" w:rsidRPr="000B2BED">
          <w:rPr>
            <w:rStyle w:val="Hyperlink"/>
            <w:rFonts w:cstheme="minorHAnsi"/>
            <w:sz w:val="24"/>
            <w:szCs w:val="24"/>
          </w:rPr>
          <w:t>https://www.uni-muenster.de/ZypernInstitut/en/publikationen/publikation.html</w:t>
        </w:r>
      </w:hyperlink>
      <w:r w:rsidR="00B8215C" w:rsidRPr="000B2BED">
        <w:rPr>
          <w:rFonts w:cstheme="minorHAnsi"/>
          <w:sz w:val="24"/>
          <w:szCs w:val="24"/>
        </w:rPr>
        <w:t xml:space="preserve"> [accessed: 14/01/24]</w:t>
      </w:r>
    </w:p>
    <w:p w14:paraId="1B3177E9" w14:textId="4A56B8A9" w:rsidR="0020697A" w:rsidRPr="000B2BED" w:rsidRDefault="0020697A" w:rsidP="00CC0B87">
      <w:pPr>
        <w:pStyle w:val="Heading4"/>
        <w:spacing w:line="360" w:lineRule="auto"/>
        <w:ind w:firstLine="720"/>
        <w:rPr>
          <w:rFonts w:asciiTheme="minorHAnsi" w:hAnsiTheme="minorHAnsi" w:cstheme="minorHAnsi"/>
          <w:b w:val="0"/>
          <w:bCs w:val="0"/>
          <w:i/>
          <w:iCs/>
          <w:color w:val="000000"/>
        </w:rPr>
      </w:pPr>
      <w:r w:rsidRPr="000B2BED">
        <w:rPr>
          <w:rFonts w:asciiTheme="minorHAnsi" w:hAnsiTheme="minorHAnsi" w:cstheme="minorHAnsi"/>
          <w:b w:val="0"/>
          <w:bCs w:val="0"/>
        </w:rPr>
        <w:t xml:space="preserve">Lorentz, K. O., 2016, ‘Real Bones, Real Women, Real Lives Bioarchaeology and Osteobiographies of Women in Ancient Cyprus’, </w:t>
      </w:r>
      <w:r w:rsidRPr="000B2BED">
        <w:rPr>
          <w:rFonts w:asciiTheme="minorHAnsi" w:hAnsiTheme="minorHAnsi" w:cstheme="minorHAnsi"/>
          <w:b w:val="0"/>
          <w:bCs w:val="0"/>
          <w:i/>
          <w:iCs/>
          <w:color w:val="000000"/>
        </w:rPr>
        <w:t xml:space="preserve">Women in Antiquity: Real Women Across the Ancient World, </w:t>
      </w:r>
      <w:r w:rsidRPr="000B2BED">
        <w:rPr>
          <w:rFonts w:asciiTheme="minorHAnsi" w:hAnsiTheme="minorHAnsi" w:cstheme="minorHAnsi"/>
          <w:b w:val="0"/>
          <w:bCs w:val="0"/>
        </w:rPr>
        <w:t xml:space="preserve">Available at: </w:t>
      </w:r>
      <w:hyperlink r:id="rId15" w:history="1">
        <w:r w:rsidR="00860B38" w:rsidRPr="000B2BED">
          <w:rPr>
            <w:rStyle w:val="Hyperlink"/>
            <w:rFonts w:asciiTheme="minorHAnsi" w:hAnsiTheme="minorHAnsi" w:cstheme="minorHAnsi"/>
            <w:b w:val="0"/>
            <w:bCs w:val="0"/>
          </w:rPr>
          <w:t>https://www.perlego.com/book/1567467/women-in-antiquity-real-women-across-the-ancient-world</w:t>
        </w:r>
      </w:hyperlink>
      <w:r w:rsidR="00860B38" w:rsidRPr="000B2BED">
        <w:rPr>
          <w:rFonts w:asciiTheme="minorHAnsi" w:hAnsiTheme="minorHAnsi" w:cstheme="minorHAnsi"/>
          <w:b w:val="0"/>
          <w:bCs w:val="0"/>
        </w:rPr>
        <w:t xml:space="preserve"> </w:t>
      </w:r>
      <w:r w:rsidRPr="000B2BED">
        <w:rPr>
          <w:rFonts w:asciiTheme="minorHAnsi" w:hAnsiTheme="minorHAnsi" w:cstheme="minorHAnsi"/>
          <w:b w:val="0"/>
          <w:bCs w:val="0"/>
        </w:rPr>
        <w:t>[accessed: 14/01/24]</w:t>
      </w:r>
    </w:p>
    <w:p w14:paraId="6A7A8673" w14:textId="77777777" w:rsidR="00287BC9" w:rsidRPr="000B2BED" w:rsidRDefault="00287BC9" w:rsidP="00CC0B87">
      <w:pPr>
        <w:pStyle w:val="Heading4"/>
        <w:spacing w:line="360" w:lineRule="auto"/>
        <w:ind w:firstLine="720"/>
        <w:rPr>
          <w:rFonts w:asciiTheme="minorHAnsi" w:hAnsiTheme="minorHAnsi" w:cstheme="minorHAnsi"/>
          <w:b w:val="0"/>
          <w:bCs w:val="0"/>
        </w:rPr>
      </w:pPr>
      <w:r w:rsidRPr="000B2BED">
        <w:rPr>
          <w:rFonts w:asciiTheme="minorHAnsi" w:hAnsiTheme="minorHAnsi" w:cstheme="minorHAnsi"/>
          <w:b w:val="0"/>
          <w:bCs w:val="0"/>
        </w:rPr>
        <w:t xml:space="preserve">Steel, L, 2013, </w:t>
      </w:r>
      <w:r w:rsidRPr="000B2BED">
        <w:rPr>
          <w:rFonts w:asciiTheme="minorHAnsi" w:hAnsiTheme="minorHAnsi" w:cstheme="minorHAnsi"/>
          <w:b w:val="0"/>
          <w:bCs w:val="0"/>
          <w:i/>
          <w:iCs/>
        </w:rPr>
        <w:t xml:space="preserve">The Social World of Early-Middle Bronze Age Cyprus: Rethinking the </w:t>
      </w:r>
      <w:proofErr w:type="spellStart"/>
      <w:r w:rsidRPr="000B2BED">
        <w:rPr>
          <w:rFonts w:asciiTheme="minorHAnsi" w:hAnsiTheme="minorHAnsi" w:cstheme="minorHAnsi"/>
          <w:b w:val="0"/>
          <w:bCs w:val="0"/>
          <w:i/>
          <w:iCs/>
        </w:rPr>
        <w:t>Vounous</w:t>
      </w:r>
      <w:proofErr w:type="spellEnd"/>
      <w:r w:rsidRPr="000B2BED">
        <w:rPr>
          <w:rFonts w:asciiTheme="minorHAnsi" w:hAnsiTheme="minorHAnsi" w:cstheme="minorHAnsi"/>
          <w:b w:val="0"/>
          <w:bCs w:val="0"/>
          <w:i/>
          <w:iCs/>
        </w:rPr>
        <w:t xml:space="preserve"> Bowl</w:t>
      </w:r>
    </w:p>
    <w:p w14:paraId="37D2BFB8" w14:textId="49D56932" w:rsidR="007046CE" w:rsidRPr="000B2BED" w:rsidRDefault="007046CE" w:rsidP="00CC0B87">
      <w:pPr>
        <w:spacing w:line="360" w:lineRule="auto"/>
        <w:ind w:firstLine="720"/>
        <w:rPr>
          <w:rFonts w:cstheme="minorHAnsi"/>
          <w:color w:val="111111"/>
          <w:sz w:val="24"/>
          <w:szCs w:val="24"/>
        </w:rPr>
      </w:pPr>
      <w:r w:rsidRPr="000B2BED">
        <w:rPr>
          <w:rFonts w:cstheme="minorHAnsi"/>
          <w:sz w:val="24"/>
          <w:szCs w:val="24"/>
        </w:rPr>
        <w:t>Tringham, R. E.</w:t>
      </w:r>
      <w:r w:rsidR="005C585E" w:rsidRPr="000B2BED">
        <w:rPr>
          <w:rFonts w:cstheme="minorHAnsi"/>
          <w:sz w:val="24"/>
          <w:szCs w:val="24"/>
        </w:rPr>
        <w:t xml:space="preserve">, </w:t>
      </w:r>
      <w:r w:rsidRPr="000B2BED">
        <w:rPr>
          <w:rFonts w:cstheme="minorHAnsi"/>
          <w:color w:val="111111"/>
          <w:sz w:val="24"/>
          <w:szCs w:val="24"/>
        </w:rPr>
        <w:t xml:space="preserve">1991, ‘Households with Faces: the challenge of gender in prehistoric architectural remains’, </w:t>
      </w:r>
      <w:r w:rsidRPr="000B2BED">
        <w:rPr>
          <w:rFonts w:cstheme="minorHAnsi"/>
          <w:i/>
          <w:iCs/>
          <w:color w:val="111111"/>
          <w:sz w:val="24"/>
          <w:szCs w:val="24"/>
        </w:rPr>
        <w:t xml:space="preserve">Engendering Archaeology: Women and Prehistory: Women and </w:t>
      </w:r>
      <w:r w:rsidRPr="000B2BED">
        <w:rPr>
          <w:rFonts w:cstheme="minorHAnsi"/>
          <w:i/>
          <w:iCs/>
          <w:color w:val="111111"/>
          <w:sz w:val="24"/>
          <w:szCs w:val="24"/>
        </w:rPr>
        <w:lastRenderedPageBreak/>
        <w:t>Prehistory</w:t>
      </w:r>
      <w:r w:rsidRPr="000B2BED">
        <w:rPr>
          <w:rFonts w:cstheme="minorHAnsi"/>
          <w:color w:val="111111"/>
          <w:sz w:val="24"/>
          <w:szCs w:val="24"/>
        </w:rPr>
        <w:t xml:space="preserve"> (pp.93-131) Basil Blackwell, Oxford. Available at: </w:t>
      </w:r>
      <w:hyperlink r:id="rId16" w:history="1">
        <w:r w:rsidRPr="000B2BED">
          <w:rPr>
            <w:rStyle w:val="Hyperlink"/>
            <w:rFonts w:cstheme="minorHAnsi"/>
            <w:sz w:val="24"/>
            <w:szCs w:val="24"/>
          </w:rPr>
          <w:t>https://www.researchgate.net/publication/308961870_Households_with_Faces_the_challenge_of_gender_in_prehistoric_architectural_remains_1991</w:t>
        </w:r>
      </w:hyperlink>
      <w:r w:rsidRPr="000B2BED">
        <w:rPr>
          <w:rFonts w:cstheme="minorHAnsi"/>
          <w:color w:val="111111"/>
          <w:sz w:val="24"/>
          <w:szCs w:val="24"/>
        </w:rPr>
        <w:t xml:space="preserve"> [accessed: 13/01/24]</w:t>
      </w:r>
    </w:p>
    <w:p w14:paraId="0F0C0E97" w14:textId="57F2D0C9" w:rsidR="0016467D" w:rsidRPr="000B2BED" w:rsidRDefault="00540751" w:rsidP="00CC0B87">
      <w:pPr>
        <w:spacing w:line="360" w:lineRule="auto"/>
        <w:ind w:firstLine="720"/>
        <w:rPr>
          <w:rFonts w:eastAsia="Times New Roman" w:cstheme="minorHAnsi"/>
          <w:sz w:val="24"/>
          <w:szCs w:val="24"/>
        </w:rPr>
      </w:pPr>
      <w:r w:rsidRPr="000B2BED">
        <w:rPr>
          <w:rFonts w:cstheme="minorHAnsi"/>
          <w:sz w:val="24"/>
          <w:szCs w:val="24"/>
        </w:rPr>
        <w:t xml:space="preserve">Tringham, R., 2012, </w:t>
      </w:r>
      <w:r w:rsidR="0016467D" w:rsidRPr="000B2BED">
        <w:rPr>
          <w:rFonts w:cstheme="minorHAnsi"/>
          <w:sz w:val="24"/>
          <w:szCs w:val="24"/>
        </w:rPr>
        <w:t xml:space="preserve">‘Households through a Digital Lens’, </w:t>
      </w:r>
      <w:r w:rsidR="0016467D" w:rsidRPr="000B2BED">
        <w:rPr>
          <w:rFonts w:cstheme="minorHAnsi"/>
          <w:i/>
          <w:iCs/>
          <w:sz w:val="24"/>
          <w:szCs w:val="24"/>
        </w:rPr>
        <w:t xml:space="preserve">New </w:t>
      </w:r>
      <w:r w:rsidR="0016467D" w:rsidRPr="000B2BED">
        <w:rPr>
          <w:rFonts w:eastAsia="Times New Roman" w:cstheme="minorHAnsi"/>
          <w:i/>
          <w:iCs/>
          <w:sz w:val="24"/>
          <w:szCs w:val="24"/>
        </w:rPr>
        <w:t>Perspectives on Household Archaeology</w:t>
      </w:r>
      <w:r w:rsidR="0016467D" w:rsidRPr="000B2BED">
        <w:rPr>
          <w:rFonts w:eastAsia="Times New Roman" w:cstheme="minorHAnsi"/>
          <w:sz w:val="24"/>
          <w:szCs w:val="24"/>
        </w:rPr>
        <w:t xml:space="preserve">, </w:t>
      </w:r>
      <w:proofErr w:type="spellStart"/>
      <w:r w:rsidR="0016467D" w:rsidRPr="000B2BED">
        <w:rPr>
          <w:rFonts w:eastAsia="Times New Roman" w:cstheme="minorHAnsi"/>
          <w:sz w:val="24"/>
          <w:szCs w:val="24"/>
        </w:rPr>
        <w:t>Eisenbrauns</w:t>
      </w:r>
      <w:proofErr w:type="spellEnd"/>
      <w:r w:rsidR="0016467D" w:rsidRPr="000B2BED">
        <w:rPr>
          <w:rFonts w:eastAsia="Times New Roman" w:cstheme="minorHAnsi"/>
          <w:sz w:val="24"/>
          <w:szCs w:val="24"/>
        </w:rPr>
        <w:t xml:space="preserve"> Publishing, Winona Lake, IL. Available at: </w:t>
      </w:r>
      <w:hyperlink r:id="rId17" w:history="1">
        <w:r w:rsidR="0016467D" w:rsidRPr="000B2BED">
          <w:rPr>
            <w:rStyle w:val="Hyperlink"/>
            <w:rFonts w:cstheme="minorHAnsi"/>
            <w:sz w:val="24"/>
            <w:szCs w:val="24"/>
          </w:rPr>
          <w:t>https://www.academia.edu/2054310/Households_through_a_Digital_Lens</w:t>
        </w:r>
      </w:hyperlink>
      <w:r w:rsidRPr="000B2BED">
        <w:rPr>
          <w:rFonts w:cstheme="minorHAnsi"/>
          <w:sz w:val="24"/>
          <w:szCs w:val="24"/>
        </w:rPr>
        <w:t xml:space="preserve"> </w:t>
      </w:r>
      <w:r w:rsidR="0016467D" w:rsidRPr="000B2BED">
        <w:rPr>
          <w:rFonts w:cstheme="minorHAnsi"/>
          <w:sz w:val="24"/>
          <w:szCs w:val="24"/>
        </w:rPr>
        <w:t>[accessed: 14/01/24]</w:t>
      </w:r>
    </w:p>
    <w:p w14:paraId="65A08316" w14:textId="782F6945" w:rsidR="00BB6181" w:rsidRPr="000B2BED" w:rsidRDefault="00287BC9" w:rsidP="00CC0B87">
      <w:pPr>
        <w:pStyle w:val="Heading4"/>
        <w:spacing w:line="360" w:lineRule="auto"/>
        <w:ind w:firstLine="720"/>
        <w:rPr>
          <w:rFonts w:asciiTheme="minorHAnsi" w:hAnsiTheme="minorHAnsi" w:cstheme="minorHAnsi"/>
          <w:b w:val="0"/>
          <w:bCs w:val="0"/>
          <w:i/>
          <w:iCs/>
        </w:rPr>
      </w:pPr>
      <w:r w:rsidRPr="000B2BED">
        <w:rPr>
          <w:rFonts w:asciiTheme="minorHAnsi" w:hAnsiTheme="minorHAnsi" w:cstheme="minorHAnsi"/>
          <w:b w:val="0"/>
          <w:bCs w:val="0"/>
        </w:rPr>
        <w:t xml:space="preserve">Webb, J. M., 2016, </w:t>
      </w:r>
      <w:r w:rsidR="00BB6181" w:rsidRPr="000B2BED">
        <w:rPr>
          <w:rFonts w:asciiTheme="minorHAnsi" w:hAnsiTheme="minorHAnsi" w:cstheme="minorHAnsi"/>
          <w:b w:val="0"/>
          <w:bCs w:val="0"/>
        </w:rPr>
        <w:t>‘Ch.</w:t>
      </w:r>
      <w:r w:rsidRPr="000B2BED">
        <w:rPr>
          <w:rFonts w:asciiTheme="minorHAnsi" w:hAnsiTheme="minorHAnsi" w:cstheme="minorHAnsi"/>
          <w:b w:val="0"/>
          <w:bCs w:val="0"/>
        </w:rPr>
        <w:t>26</w:t>
      </w:r>
      <w:r w:rsidR="007D32B9" w:rsidRPr="000B2BED">
        <w:rPr>
          <w:rFonts w:asciiTheme="minorHAnsi" w:hAnsiTheme="minorHAnsi" w:cstheme="minorHAnsi"/>
          <w:b w:val="0"/>
          <w:bCs w:val="0"/>
        </w:rPr>
        <w:t xml:space="preserve">. </w:t>
      </w:r>
      <w:r w:rsidRPr="000B2BED">
        <w:rPr>
          <w:rFonts w:asciiTheme="minorHAnsi" w:hAnsiTheme="minorHAnsi" w:cstheme="minorHAnsi"/>
          <w:b w:val="0"/>
          <w:bCs w:val="0"/>
        </w:rPr>
        <w:t>Women at home and in the community in prehistoric Bronze Age Cyprus</w:t>
      </w:r>
      <w:r w:rsidR="007D32B9" w:rsidRPr="000B2BED">
        <w:rPr>
          <w:rFonts w:asciiTheme="minorHAnsi" w:hAnsiTheme="minorHAnsi" w:cstheme="minorHAnsi"/>
          <w:b w:val="0"/>
          <w:bCs w:val="0"/>
        </w:rPr>
        <w:t>’</w:t>
      </w:r>
      <w:r w:rsidR="00BB6181" w:rsidRPr="000B2BED">
        <w:rPr>
          <w:rFonts w:asciiTheme="minorHAnsi" w:hAnsiTheme="minorHAnsi" w:cstheme="minorHAnsi"/>
          <w:b w:val="0"/>
          <w:bCs w:val="0"/>
        </w:rPr>
        <w:t>,</w:t>
      </w:r>
      <w:r w:rsidR="00BB6181" w:rsidRPr="000B2BED">
        <w:rPr>
          <w:rFonts w:asciiTheme="minorHAnsi" w:hAnsiTheme="minorHAnsi" w:cstheme="minorHAnsi"/>
          <w:b w:val="0"/>
          <w:bCs w:val="0"/>
          <w:i/>
          <w:iCs/>
          <w:color w:val="000000"/>
        </w:rPr>
        <w:t xml:space="preserve"> Women in Antiquity : Real Women Across the Ancient World, </w:t>
      </w:r>
      <w:r w:rsidR="00BB6181" w:rsidRPr="000B2BED">
        <w:rPr>
          <w:rFonts w:asciiTheme="minorHAnsi" w:hAnsiTheme="minorHAnsi" w:cstheme="minorHAnsi"/>
          <w:b w:val="0"/>
          <w:bCs w:val="0"/>
        </w:rPr>
        <w:t xml:space="preserve">Available at: </w:t>
      </w:r>
      <w:hyperlink r:id="rId18" w:history="1">
        <w:r w:rsidR="00BB6181" w:rsidRPr="000B2BED">
          <w:rPr>
            <w:rStyle w:val="Hyperlink"/>
            <w:rFonts w:asciiTheme="minorHAnsi" w:hAnsiTheme="minorHAnsi" w:cstheme="minorHAnsi"/>
            <w:b w:val="0"/>
            <w:bCs w:val="0"/>
          </w:rPr>
          <w:t>https://www.perlego.com/book/1567467/women-in-antiquity-real-women-across-the-ancient-world</w:t>
        </w:r>
      </w:hyperlink>
      <w:r w:rsidR="00BB6181" w:rsidRPr="000B2BED">
        <w:rPr>
          <w:rFonts w:asciiTheme="minorHAnsi" w:hAnsiTheme="minorHAnsi" w:cstheme="minorHAnsi"/>
          <w:b w:val="0"/>
          <w:bCs w:val="0"/>
        </w:rPr>
        <w:t xml:space="preserve"> [accessed: 14/01/24]</w:t>
      </w:r>
    </w:p>
    <w:p w14:paraId="773FBFD3" w14:textId="59D1D09C" w:rsidR="00287BC9" w:rsidRPr="000B2BED" w:rsidRDefault="00287BC9" w:rsidP="00CC0B87">
      <w:pPr>
        <w:pStyle w:val="Heading4"/>
        <w:spacing w:line="360" w:lineRule="auto"/>
        <w:ind w:firstLine="720"/>
        <w:rPr>
          <w:rFonts w:asciiTheme="minorHAnsi" w:hAnsiTheme="minorHAnsi" w:cstheme="minorHAnsi"/>
          <w:b w:val="0"/>
          <w:bCs w:val="0"/>
        </w:rPr>
      </w:pPr>
    </w:p>
    <w:p w14:paraId="2B79C60C" w14:textId="77777777" w:rsidR="00540751" w:rsidRDefault="00540751" w:rsidP="00CC0B87">
      <w:pPr>
        <w:spacing w:line="360" w:lineRule="auto"/>
        <w:ind w:firstLine="720"/>
        <w:rPr>
          <w:rFonts w:cstheme="minorHAnsi"/>
          <w:sz w:val="24"/>
          <w:szCs w:val="24"/>
        </w:rPr>
      </w:pPr>
    </w:p>
    <w:p w14:paraId="4DA5D5B3" w14:textId="77777777" w:rsidR="004028BF" w:rsidRDefault="004028BF" w:rsidP="00CC0B87">
      <w:pPr>
        <w:spacing w:line="360" w:lineRule="auto"/>
        <w:ind w:firstLine="720"/>
        <w:rPr>
          <w:rFonts w:cstheme="minorHAnsi"/>
          <w:sz w:val="24"/>
          <w:szCs w:val="24"/>
        </w:rPr>
      </w:pPr>
    </w:p>
    <w:p w14:paraId="454E0D13" w14:textId="77777777" w:rsidR="00D45810" w:rsidRDefault="00D45810" w:rsidP="00CC0B87">
      <w:pPr>
        <w:spacing w:line="360" w:lineRule="auto"/>
        <w:ind w:firstLine="720"/>
        <w:rPr>
          <w:rFonts w:cstheme="minorHAnsi"/>
          <w:sz w:val="24"/>
          <w:szCs w:val="24"/>
        </w:rPr>
      </w:pPr>
    </w:p>
    <w:p w14:paraId="015DE75F" w14:textId="77777777" w:rsidR="00D45810" w:rsidRDefault="00D45810" w:rsidP="00CC0B87">
      <w:pPr>
        <w:spacing w:line="360" w:lineRule="auto"/>
        <w:ind w:firstLine="720"/>
        <w:rPr>
          <w:rFonts w:cstheme="minorHAnsi"/>
          <w:sz w:val="24"/>
          <w:szCs w:val="24"/>
        </w:rPr>
      </w:pPr>
    </w:p>
    <w:p w14:paraId="330B69F7" w14:textId="77777777" w:rsidR="00D45810" w:rsidRDefault="00D45810" w:rsidP="00CC0B87">
      <w:pPr>
        <w:spacing w:line="360" w:lineRule="auto"/>
        <w:ind w:firstLine="720"/>
        <w:rPr>
          <w:rFonts w:cstheme="minorHAnsi"/>
          <w:sz w:val="24"/>
          <w:szCs w:val="24"/>
        </w:rPr>
      </w:pPr>
    </w:p>
    <w:p w14:paraId="36652C5E" w14:textId="77777777" w:rsidR="00D45810" w:rsidRDefault="00D45810" w:rsidP="00CC0B87">
      <w:pPr>
        <w:spacing w:line="360" w:lineRule="auto"/>
        <w:ind w:firstLine="720"/>
        <w:rPr>
          <w:rFonts w:cstheme="minorHAnsi"/>
          <w:sz w:val="24"/>
          <w:szCs w:val="24"/>
        </w:rPr>
      </w:pPr>
    </w:p>
    <w:p w14:paraId="2ECB75CC" w14:textId="77777777" w:rsidR="00D45810" w:rsidRDefault="00D45810" w:rsidP="00CC0B87">
      <w:pPr>
        <w:spacing w:line="360" w:lineRule="auto"/>
        <w:ind w:firstLine="720"/>
        <w:rPr>
          <w:rFonts w:cstheme="minorHAnsi"/>
          <w:sz w:val="24"/>
          <w:szCs w:val="24"/>
        </w:rPr>
      </w:pPr>
    </w:p>
    <w:p w14:paraId="2A0D170C" w14:textId="77777777" w:rsidR="00D45810" w:rsidRDefault="00D45810" w:rsidP="00CC0B87">
      <w:pPr>
        <w:spacing w:line="360" w:lineRule="auto"/>
        <w:ind w:firstLine="720"/>
        <w:rPr>
          <w:rFonts w:cstheme="minorHAnsi"/>
          <w:sz w:val="24"/>
          <w:szCs w:val="24"/>
        </w:rPr>
      </w:pPr>
    </w:p>
    <w:p w14:paraId="6EE8E5C3" w14:textId="77777777" w:rsidR="00D45810" w:rsidRDefault="00D45810" w:rsidP="00CC0B87">
      <w:pPr>
        <w:spacing w:line="360" w:lineRule="auto"/>
        <w:ind w:firstLine="720"/>
        <w:rPr>
          <w:rFonts w:cstheme="minorHAnsi"/>
          <w:sz w:val="24"/>
          <w:szCs w:val="24"/>
        </w:rPr>
      </w:pPr>
    </w:p>
    <w:p w14:paraId="1EB99A77" w14:textId="77777777" w:rsidR="00D45810" w:rsidRDefault="00D45810" w:rsidP="00CC0B87">
      <w:pPr>
        <w:spacing w:line="360" w:lineRule="auto"/>
        <w:ind w:firstLine="720"/>
        <w:rPr>
          <w:rFonts w:cstheme="minorHAnsi"/>
          <w:sz w:val="24"/>
          <w:szCs w:val="24"/>
        </w:rPr>
      </w:pPr>
    </w:p>
    <w:p w14:paraId="0EFA0875" w14:textId="77777777" w:rsidR="00D45810" w:rsidRDefault="00D45810" w:rsidP="00CC0B87">
      <w:pPr>
        <w:spacing w:line="360" w:lineRule="auto"/>
        <w:ind w:firstLine="720"/>
        <w:rPr>
          <w:rFonts w:cstheme="minorHAnsi"/>
          <w:sz w:val="24"/>
          <w:szCs w:val="24"/>
        </w:rPr>
      </w:pPr>
    </w:p>
    <w:p w14:paraId="442DE599" w14:textId="77777777" w:rsidR="00D45810" w:rsidRPr="000B2BED" w:rsidRDefault="00D45810" w:rsidP="00CC0B87">
      <w:pPr>
        <w:spacing w:line="360" w:lineRule="auto"/>
        <w:ind w:firstLine="720"/>
        <w:rPr>
          <w:rFonts w:cstheme="minorHAnsi"/>
          <w:sz w:val="24"/>
          <w:szCs w:val="24"/>
        </w:rPr>
      </w:pPr>
    </w:p>
    <w:p w14:paraId="1DF3523E" w14:textId="77777777" w:rsidR="00724F3E" w:rsidRPr="000B2BED" w:rsidRDefault="00724F3E" w:rsidP="00CC0B87">
      <w:pPr>
        <w:spacing w:line="360" w:lineRule="auto"/>
        <w:ind w:firstLine="720"/>
        <w:rPr>
          <w:rFonts w:cstheme="minorHAnsi"/>
          <w:sz w:val="24"/>
          <w:szCs w:val="24"/>
        </w:rPr>
      </w:pPr>
    </w:p>
    <w:p w14:paraId="0DC61D7B" w14:textId="7022C39F" w:rsidR="00724F3E" w:rsidRPr="000B2BED" w:rsidRDefault="00724F3E" w:rsidP="00CC0B87">
      <w:pPr>
        <w:spacing w:line="360" w:lineRule="auto"/>
        <w:ind w:firstLine="720"/>
        <w:rPr>
          <w:rFonts w:cstheme="minorHAnsi"/>
          <w:sz w:val="24"/>
          <w:szCs w:val="24"/>
          <w:u w:val="single"/>
        </w:rPr>
      </w:pPr>
      <w:r w:rsidRPr="000B2BED">
        <w:rPr>
          <w:rFonts w:cstheme="minorHAnsi"/>
          <w:sz w:val="24"/>
          <w:szCs w:val="24"/>
          <w:u w:val="single"/>
        </w:rPr>
        <w:lastRenderedPageBreak/>
        <w:t>List of Figures</w:t>
      </w:r>
    </w:p>
    <w:p w14:paraId="673B98B9" w14:textId="4F4E7367" w:rsidR="00724F3E" w:rsidRPr="000B2BED" w:rsidRDefault="00724F3E" w:rsidP="00CC0B87">
      <w:pPr>
        <w:spacing w:line="360" w:lineRule="auto"/>
        <w:ind w:firstLine="720"/>
        <w:rPr>
          <w:rFonts w:cstheme="minorHAnsi"/>
          <w:sz w:val="24"/>
          <w:szCs w:val="24"/>
        </w:rPr>
      </w:pPr>
      <w:proofErr w:type="spellStart"/>
      <w:r w:rsidRPr="000B2BED">
        <w:rPr>
          <w:rFonts w:cstheme="minorHAnsi"/>
          <w:sz w:val="24"/>
          <w:szCs w:val="24"/>
        </w:rPr>
        <w:t>Averett</w:t>
      </w:r>
      <w:proofErr w:type="spellEnd"/>
      <w:r w:rsidRPr="000B2BED">
        <w:rPr>
          <w:rFonts w:cstheme="minorHAnsi"/>
          <w:sz w:val="24"/>
          <w:szCs w:val="24"/>
        </w:rPr>
        <w:t>,</w:t>
      </w:r>
      <w:r w:rsidR="00BA307C" w:rsidRPr="000B2BED">
        <w:rPr>
          <w:rFonts w:cstheme="minorHAnsi"/>
          <w:sz w:val="24"/>
          <w:szCs w:val="24"/>
        </w:rPr>
        <w:t xml:space="preserve"> E.</w:t>
      </w:r>
      <w:r w:rsidRPr="000B2BED">
        <w:rPr>
          <w:rFonts w:cstheme="minorHAnsi"/>
          <w:sz w:val="24"/>
          <w:szCs w:val="24"/>
        </w:rPr>
        <w:t xml:space="preserve"> 2007, </w:t>
      </w:r>
      <w:r w:rsidR="00EC14CB" w:rsidRPr="000B2BED">
        <w:rPr>
          <w:rFonts w:cstheme="minorHAnsi"/>
          <w:sz w:val="24"/>
          <w:szCs w:val="24"/>
        </w:rPr>
        <w:t xml:space="preserve">Figure 28, </w:t>
      </w:r>
      <w:r w:rsidRPr="000B2BED">
        <w:rPr>
          <w:rFonts w:cstheme="minorHAnsi"/>
          <w:i/>
          <w:iCs/>
          <w:sz w:val="24"/>
          <w:szCs w:val="24"/>
        </w:rPr>
        <w:t xml:space="preserve">Dedications in clay: terracotta figurines in early Iron Age Greece (c.1100-700 BCE), </w:t>
      </w:r>
      <w:r w:rsidRPr="000B2BED">
        <w:rPr>
          <w:rFonts w:cstheme="minorHAnsi"/>
          <w:sz w:val="24"/>
          <w:szCs w:val="24"/>
        </w:rPr>
        <w:t xml:space="preserve">Available at: </w:t>
      </w:r>
      <w:hyperlink r:id="rId19" w:history="1">
        <w:r w:rsidRPr="000B2BED">
          <w:rPr>
            <w:rStyle w:val="Hyperlink"/>
            <w:rFonts w:cstheme="minorHAnsi"/>
            <w:sz w:val="24"/>
            <w:szCs w:val="24"/>
          </w:rPr>
          <w:t>https://www.semanticscholar.org/paper/Dedications-in-clay-%3A-terracotta-figurines-in-early-Averett/143385c21714b08f70d68bdc0d45c5c34ee43074</w:t>
        </w:r>
      </w:hyperlink>
      <w:r w:rsidRPr="000B2BED">
        <w:rPr>
          <w:rFonts w:cstheme="minorHAnsi"/>
          <w:sz w:val="24"/>
          <w:szCs w:val="24"/>
        </w:rPr>
        <w:t xml:space="preserve"> [accessed: 14/01/24]</w:t>
      </w:r>
    </w:p>
    <w:p w14:paraId="1C864CC3" w14:textId="2420494B" w:rsidR="00724F3E" w:rsidRPr="000B2BED" w:rsidRDefault="00BA307C" w:rsidP="00CC0B87">
      <w:pPr>
        <w:spacing w:line="360" w:lineRule="auto"/>
        <w:ind w:firstLine="720"/>
        <w:rPr>
          <w:rFonts w:cstheme="minorHAnsi"/>
          <w:sz w:val="24"/>
          <w:szCs w:val="24"/>
        </w:rPr>
      </w:pPr>
      <w:r w:rsidRPr="000B2BED">
        <w:rPr>
          <w:rFonts w:cstheme="minorHAnsi"/>
          <w:sz w:val="24"/>
          <w:szCs w:val="24"/>
        </w:rPr>
        <w:t xml:space="preserve">Lorentz, K., 2005, Plate 6, ‘Late Bronze Age Burial Practices – Age as a Form of Social Difference’, </w:t>
      </w:r>
      <w:r w:rsidRPr="000B2BED">
        <w:rPr>
          <w:rFonts w:cstheme="minorHAnsi"/>
          <w:i/>
          <w:iCs/>
          <w:sz w:val="24"/>
          <w:szCs w:val="24"/>
        </w:rPr>
        <w:t xml:space="preserve">Cyprus: Religion and Society </w:t>
      </w:r>
      <w:proofErr w:type="gramStart"/>
      <w:r w:rsidRPr="000B2BED">
        <w:rPr>
          <w:rFonts w:cstheme="minorHAnsi"/>
          <w:i/>
          <w:iCs/>
          <w:sz w:val="24"/>
          <w:szCs w:val="24"/>
        </w:rPr>
        <w:t>From</w:t>
      </w:r>
      <w:proofErr w:type="gramEnd"/>
      <w:r w:rsidRPr="000B2BED">
        <w:rPr>
          <w:rFonts w:cstheme="minorHAnsi"/>
          <w:i/>
          <w:iCs/>
          <w:sz w:val="24"/>
          <w:szCs w:val="24"/>
        </w:rPr>
        <w:t xml:space="preserve"> the Late Bronze Age To The End of The Archaic Period. </w:t>
      </w:r>
      <w:r w:rsidRPr="000B2BED">
        <w:rPr>
          <w:rFonts w:cstheme="minorHAnsi"/>
          <w:sz w:val="24"/>
          <w:szCs w:val="24"/>
        </w:rPr>
        <w:t xml:space="preserve">Available at: </w:t>
      </w:r>
      <w:hyperlink r:id="rId20" w:history="1">
        <w:r w:rsidRPr="000B2BED">
          <w:rPr>
            <w:rStyle w:val="Hyperlink"/>
            <w:rFonts w:cstheme="minorHAnsi"/>
            <w:sz w:val="24"/>
            <w:szCs w:val="24"/>
          </w:rPr>
          <w:t>https://www.uni-muenster.de/ZypernInstitut/en/publikationen/publikation.html</w:t>
        </w:r>
      </w:hyperlink>
      <w:r w:rsidRPr="000B2BED">
        <w:rPr>
          <w:rFonts w:cstheme="minorHAnsi"/>
          <w:sz w:val="24"/>
          <w:szCs w:val="24"/>
        </w:rPr>
        <w:t xml:space="preserve"> [accessed: 14/01/24]</w:t>
      </w:r>
    </w:p>
    <w:sectPr w:rsidR="00724F3E" w:rsidRPr="000B2BED">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DDF1F" w14:textId="77777777" w:rsidR="00E221A2" w:rsidRDefault="00E221A2" w:rsidP="002B34C7">
      <w:pPr>
        <w:spacing w:after="0" w:line="240" w:lineRule="auto"/>
      </w:pPr>
      <w:r>
        <w:separator/>
      </w:r>
    </w:p>
  </w:endnote>
  <w:endnote w:type="continuationSeparator" w:id="0">
    <w:p w14:paraId="2F07D331" w14:textId="77777777" w:rsidR="00E221A2" w:rsidRDefault="00E221A2" w:rsidP="002B3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6D00FC" w14:textId="77777777" w:rsidR="00E221A2" w:rsidRDefault="00E221A2" w:rsidP="002B34C7">
      <w:pPr>
        <w:spacing w:after="0" w:line="240" w:lineRule="auto"/>
      </w:pPr>
      <w:r>
        <w:separator/>
      </w:r>
    </w:p>
  </w:footnote>
  <w:footnote w:type="continuationSeparator" w:id="0">
    <w:p w14:paraId="35A7B298" w14:textId="77777777" w:rsidR="00E221A2" w:rsidRDefault="00E221A2" w:rsidP="002B34C7">
      <w:pPr>
        <w:spacing w:after="0" w:line="240" w:lineRule="auto"/>
      </w:pPr>
      <w:r>
        <w:continuationSeparator/>
      </w:r>
    </w:p>
  </w:footnote>
  <w:footnote w:id="1">
    <w:p w14:paraId="46EA70BF" w14:textId="77777777" w:rsidR="00814A40" w:rsidRDefault="00814A40" w:rsidP="00814A40">
      <w:pPr>
        <w:pStyle w:val="FootnoteText"/>
      </w:pPr>
      <w:r>
        <w:rPr>
          <w:rStyle w:val="FootnoteReference"/>
        </w:rPr>
        <w:footnoteRef/>
      </w:r>
      <w:r>
        <w:t xml:space="preserve"> </w:t>
      </w:r>
      <w:proofErr w:type="spellStart"/>
      <w:r>
        <w:t>Tringham</w:t>
      </w:r>
      <w:proofErr w:type="spellEnd"/>
      <w:r>
        <w:t>, 2012, p.81</w:t>
      </w:r>
    </w:p>
  </w:footnote>
  <w:footnote w:id="2">
    <w:p w14:paraId="0DC42864" w14:textId="77777777" w:rsidR="00CD3276" w:rsidRDefault="00CD3276" w:rsidP="00CD3276">
      <w:pPr>
        <w:pStyle w:val="FootnoteText"/>
      </w:pPr>
      <w:r>
        <w:rPr>
          <w:rStyle w:val="FootnoteReference"/>
        </w:rPr>
        <w:footnoteRef/>
      </w:r>
      <w:r>
        <w:t xml:space="preserve"> Falconer and Fall, 2013, p.103</w:t>
      </w:r>
    </w:p>
  </w:footnote>
  <w:footnote w:id="3">
    <w:p w14:paraId="2379FD8E" w14:textId="12D783C1" w:rsidR="008B203E" w:rsidRDefault="008B203E">
      <w:pPr>
        <w:pStyle w:val="FootnoteText"/>
      </w:pPr>
      <w:r>
        <w:rPr>
          <w:rStyle w:val="FootnoteReference"/>
        </w:rPr>
        <w:footnoteRef/>
      </w:r>
      <w:r>
        <w:t xml:space="preserve"> Falconer and Fall, 2013, p.103</w:t>
      </w:r>
    </w:p>
  </w:footnote>
  <w:footnote w:id="4">
    <w:p w14:paraId="2DCD6E9D" w14:textId="77777777" w:rsidR="00A172DF" w:rsidRDefault="00A172DF" w:rsidP="00A172DF">
      <w:pPr>
        <w:pStyle w:val="FootnoteText"/>
      </w:pPr>
      <w:r>
        <w:rPr>
          <w:rStyle w:val="FootnoteReference"/>
        </w:rPr>
        <w:footnoteRef/>
      </w:r>
      <w:r>
        <w:t xml:space="preserve"> </w:t>
      </w:r>
      <w:r>
        <w:rPr>
          <w:noProof/>
        </w:rPr>
        <w:t>Lorentz, 2016</w:t>
      </w:r>
    </w:p>
  </w:footnote>
  <w:footnote w:id="5">
    <w:p w14:paraId="469BFBFE" w14:textId="77777777" w:rsidR="00CE4DEA" w:rsidRDefault="00CE4DEA" w:rsidP="00CE4DEA">
      <w:pPr>
        <w:pStyle w:val="FootnoteText"/>
      </w:pPr>
      <w:r>
        <w:rPr>
          <w:rStyle w:val="FootnoteReference"/>
        </w:rPr>
        <w:footnoteRef/>
      </w:r>
      <w:r>
        <w:t xml:space="preserve"> Steel, 2013, p.57</w:t>
      </w:r>
    </w:p>
  </w:footnote>
  <w:footnote w:id="6">
    <w:p w14:paraId="523605CF" w14:textId="1C65AE12" w:rsidR="001A27D2" w:rsidRDefault="001A27D2">
      <w:pPr>
        <w:pStyle w:val="FootnoteText"/>
      </w:pPr>
      <w:r>
        <w:rPr>
          <w:rStyle w:val="FootnoteReference"/>
        </w:rPr>
        <w:footnoteRef/>
      </w:r>
      <w:r>
        <w:t xml:space="preserve"> Lorentz, 2016</w:t>
      </w:r>
    </w:p>
  </w:footnote>
  <w:footnote w:id="7">
    <w:p w14:paraId="7E366FCD" w14:textId="77777777" w:rsidR="007B2E2B" w:rsidRDefault="007B2E2B" w:rsidP="007B2E2B">
      <w:pPr>
        <w:pStyle w:val="FootnoteText"/>
      </w:pPr>
      <w:r>
        <w:rPr>
          <w:rStyle w:val="FootnoteReference"/>
        </w:rPr>
        <w:footnoteRef/>
      </w:r>
      <w:r>
        <w:t xml:space="preserve"> </w:t>
      </w:r>
      <w:proofErr w:type="spellStart"/>
      <w:r>
        <w:t>Budin</w:t>
      </w:r>
      <w:proofErr w:type="spellEnd"/>
      <w:r>
        <w:t>, 2016</w:t>
      </w:r>
    </w:p>
  </w:footnote>
  <w:footnote w:id="8">
    <w:p w14:paraId="7608CB6A" w14:textId="111729B6" w:rsidR="00FE5F05" w:rsidRDefault="00FE5F05">
      <w:pPr>
        <w:pStyle w:val="FootnoteText"/>
      </w:pPr>
      <w:r>
        <w:rPr>
          <w:rStyle w:val="FootnoteReference"/>
        </w:rPr>
        <w:footnoteRef/>
      </w:r>
      <w:r>
        <w:t xml:space="preserve"> Douglas, 2019, p.21</w:t>
      </w:r>
    </w:p>
  </w:footnote>
  <w:footnote w:id="9">
    <w:p w14:paraId="2DBC984F" w14:textId="77777777" w:rsidR="00B57785" w:rsidRDefault="00B57785" w:rsidP="00B57785">
      <w:pPr>
        <w:pStyle w:val="FootnoteText"/>
      </w:pPr>
      <w:r>
        <w:rPr>
          <w:rStyle w:val="FootnoteReference"/>
        </w:rPr>
        <w:footnoteRef/>
      </w:r>
      <w:r>
        <w:t xml:space="preserve"> Douglas, 2019, p.22</w:t>
      </w:r>
    </w:p>
  </w:footnote>
  <w:footnote w:id="10">
    <w:p w14:paraId="14BEDA82" w14:textId="525328C8" w:rsidR="002B34C7" w:rsidRDefault="002B34C7">
      <w:pPr>
        <w:pStyle w:val="FootnoteText"/>
      </w:pPr>
      <w:r>
        <w:rPr>
          <w:rStyle w:val="FootnoteReference"/>
        </w:rPr>
        <w:footnoteRef/>
      </w:r>
      <w:r>
        <w:t xml:space="preserve"> </w:t>
      </w:r>
      <w:proofErr w:type="spellStart"/>
      <w:r>
        <w:t>Tringham</w:t>
      </w:r>
      <w:proofErr w:type="spellEnd"/>
      <w:r>
        <w:t>, 1991</w:t>
      </w:r>
      <w:r w:rsidR="00392778">
        <w:t>, p.94</w:t>
      </w:r>
    </w:p>
  </w:footnote>
  <w:footnote w:id="11">
    <w:p w14:paraId="32A93CE1" w14:textId="3C04B4E7" w:rsidR="00541AF3" w:rsidRDefault="00541AF3">
      <w:pPr>
        <w:pStyle w:val="FootnoteText"/>
      </w:pPr>
      <w:r>
        <w:rPr>
          <w:rStyle w:val="FootnoteReference"/>
        </w:rPr>
        <w:footnoteRef/>
      </w:r>
      <w:r>
        <w:t xml:space="preserve"> Tringham, 1991, p.101</w:t>
      </w:r>
    </w:p>
  </w:footnote>
  <w:footnote w:id="12">
    <w:p w14:paraId="57C398B3" w14:textId="5D22EAA7" w:rsidR="0025596E" w:rsidRDefault="0025596E">
      <w:pPr>
        <w:pStyle w:val="FootnoteText"/>
      </w:pPr>
      <w:r>
        <w:rPr>
          <w:rStyle w:val="FootnoteReference"/>
        </w:rPr>
        <w:footnoteRef/>
      </w:r>
      <w:r>
        <w:t xml:space="preserve"> Lorentz, 2005, p.</w:t>
      </w:r>
      <w:r w:rsidR="00FE42A3">
        <w:t>42</w:t>
      </w:r>
    </w:p>
  </w:footnote>
  <w:footnote w:id="13">
    <w:p w14:paraId="5BC26E9D" w14:textId="568042D9" w:rsidR="0011431E" w:rsidRDefault="0011431E">
      <w:pPr>
        <w:pStyle w:val="FootnoteText"/>
      </w:pPr>
      <w:r>
        <w:rPr>
          <w:rStyle w:val="FootnoteReference"/>
        </w:rPr>
        <w:footnoteRef/>
      </w:r>
      <w:r>
        <w:t xml:space="preserve"> Lorentz, 2005, p.45-46</w:t>
      </w:r>
    </w:p>
  </w:footnote>
  <w:footnote w:id="14">
    <w:p w14:paraId="427AC50E" w14:textId="2CC40036" w:rsidR="0005429B" w:rsidRDefault="0005429B">
      <w:pPr>
        <w:pStyle w:val="FootnoteText"/>
      </w:pPr>
      <w:r>
        <w:rPr>
          <w:rStyle w:val="FootnoteReference"/>
        </w:rPr>
        <w:footnoteRef/>
      </w:r>
      <w:r>
        <w:t xml:space="preserve"> </w:t>
      </w:r>
      <w:proofErr w:type="spellStart"/>
      <w:r>
        <w:t>Budin</w:t>
      </w:r>
      <w:proofErr w:type="spellEnd"/>
      <w:r>
        <w:t>, 2016</w:t>
      </w:r>
    </w:p>
  </w:footnote>
  <w:footnote w:id="15">
    <w:p w14:paraId="3CF3FEE6" w14:textId="156E60A6" w:rsidR="00413D5C" w:rsidRDefault="00413D5C">
      <w:pPr>
        <w:pStyle w:val="FootnoteText"/>
      </w:pPr>
      <w:r>
        <w:rPr>
          <w:rStyle w:val="FootnoteReference"/>
        </w:rPr>
        <w:footnoteRef/>
      </w:r>
      <w:r>
        <w:t xml:space="preserve"> Lorentz, 2005, p.45-46</w:t>
      </w:r>
    </w:p>
  </w:footnote>
  <w:footnote w:id="16">
    <w:p w14:paraId="3CE12B6B" w14:textId="38E8A16F" w:rsidR="00937C17" w:rsidRDefault="00937C17">
      <w:pPr>
        <w:pStyle w:val="FootnoteText"/>
      </w:pPr>
      <w:r>
        <w:rPr>
          <w:rStyle w:val="FootnoteReference"/>
        </w:rPr>
        <w:footnoteRef/>
      </w:r>
      <w:r>
        <w:t xml:space="preserve"> Lorentz, 2005, p.48</w:t>
      </w:r>
    </w:p>
  </w:footnote>
  <w:footnote w:id="17">
    <w:p w14:paraId="28761247" w14:textId="77777777" w:rsidR="00234134" w:rsidRDefault="00234134" w:rsidP="00234134">
      <w:pPr>
        <w:pStyle w:val="FootnoteText"/>
      </w:pPr>
      <w:r>
        <w:rPr>
          <w:rStyle w:val="FootnoteReference"/>
        </w:rPr>
        <w:footnoteRef/>
      </w:r>
      <w:r>
        <w:t xml:space="preserve"> </w:t>
      </w:r>
      <w:proofErr w:type="spellStart"/>
      <w:r>
        <w:t>Budin</w:t>
      </w:r>
      <w:proofErr w:type="spellEnd"/>
      <w:r>
        <w:t>, 2016</w:t>
      </w:r>
    </w:p>
  </w:footnote>
  <w:footnote w:id="18">
    <w:p w14:paraId="6A61BC0B" w14:textId="77777777" w:rsidR="005E5B94" w:rsidRDefault="005E5B94" w:rsidP="005E5B94">
      <w:pPr>
        <w:pStyle w:val="FootnoteText"/>
      </w:pPr>
      <w:r>
        <w:rPr>
          <w:rStyle w:val="FootnoteReference"/>
        </w:rPr>
        <w:footnoteRef/>
      </w:r>
      <w:r>
        <w:t xml:space="preserve"> </w:t>
      </w:r>
      <w:proofErr w:type="spellStart"/>
      <w:r>
        <w:t>Budin</w:t>
      </w:r>
      <w:proofErr w:type="spellEnd"/>
      <w:r>
        <w:t>, 2016</w:t>
      </w:r>
    </w:p>
  </w:footnote>
  <w:footnote w:id="19">
    <w:p w14:paraId="01457215" w14:textId="3791621A" w:rsidR="00A9078B" w:rsidRDefault="00A9078B">
      <w:pPr>
        <w:pStyle w:val="FootnoteText"/>
      </w:pPr>
      <w:r>
        <w:rPr>
          <w:rStyle w:val="FootnoteReference"/>
        </w:rPr>
        <w:footnoteRef/>
      </w:r>
      <w:r>
        <w:t xml:space="preserve"> </w:t>
      </w:r>
      <w:proofErr w:type="spellStart"/>
      <w:r>
        <w:t>Budin</w:t>
      </w:r>
      <w:proofErr w:type="spellEnd"/>
      <w:r>
        <w:t>, 2016</w:t>
      </w:r>
    </w:p>
  </w:footnote>
  <w:footnote w:id="20">
    <w:p w14:paraId="70651145" w14:textId="72F7A7F8" w:rsidR="00543AE2" w:rsidRDefault="00543AE2">
      <w:pPr>
        <w:pStyle w:val="FootnoteText"/>
      </w:pPr>
      <w:r>
        <w:rPr>
          <w:rStyle w:val="FootnoteReference"/>
        </w:rPr>
        <w:footnoteRef/>
      </w:r>
      <w:r>
        <w:t xml:space="preserve"> </w:t>
      </w:r>
      <w:proofErr w:type="spellStart"/>
      <w:r>
        <w:t>Budin</w:t>
      </w:r>
      <w:proofErr w:type="spellEnd"/>
      <w:r>
        <w:t>, 2016</w:t>
      </w:r>
    </w:p>
  </w:footnote>
  <w:footnote w:id="21">
    <w:p w14:paraId="6DEC88BC" w14:textId="60C1D9E4" w:rsidR="00B52F5A" w:rsidRDefault="00B52F5A">
      <w:pPr>
        <w:pStyle w:val="FootnoteText"/>
      </w:pPr>
      <w:r>
        <w:rPr>
          <w:rStyle w:val="FootnoteReference"/>
        </w:rPr>
        <w:footnoteRef/>
      </w:r>
      <w:r>
        <w:t xml:space="preserve"> </w:t>
      </w:r>
      <w:proofErr w:type="spellStart"/>
      <w:r>
        <w:t>Budin</w:t>
      </w:r>
      <w:proofErr w:type="spellEnd"/>
      <w:r>
        <w:t>, 2016</w:t>
      </w:r>
    </w:p>
  </w:footnote>
  <w:footnote w:id="22">
    <w:p w14:paraId="1E003568" w14:textId="7D46887F" w:rsidR="00502FC2" w:rsidRDefault="00502FC2">
      <w:pPr>
        <w:pStyle w:val="FootnoteText"/>
      </w:pPr>
      <w:r>
        <w:rPr>
          <w:rStyle w:val="FootnoteReference"/>
        </w:rPr>
        <w:footnoteRef/>
      </w:r>
      <w:r>
        <w:t xml:space="preserve"> Lorentz, 2005, p.42</w:t>
      </w:r>
    </w:p>
  </w:footnote>
  <w:footnote w:id="23">
    <w:p w14:paraId="7DF9B391" w14:textId="445397DC" w:rsidR="00820521" w:rsidRDefault="00820521">
      <w:pPr>
        <w:pStyle w:val="FootnoteText"/>
      </w:pPr>
      <w:r>
        <w:rPr>
          <w:rStyle w:val="FootnoteReference"/>
        </w:rPr>
        <w:footnoteRef/>
      </w:r>
      <w:r>
        <w:t xml:space="preserve"> Lorentz, 2005, p.46</w:t>
      </w:r>
    </w:p>
  </w:footnote>
  <w:footnote w:id="24">
    <w:p w14:paraId="204E64AA" w14:textId="7C8118F2" w:rsidR="003964DA" w:rsidRDefault="003964DA">
      <w:pPr>
        <w:pStyle w:val="FootnoteText"/>
      </w:pPr>
      <w:r>
        <w:rPr>
          <w:rStyle w:val="FootnoteReference"/>
        </w:rPr>
        <w:footnoteRef/>
      </w:r>
      <w:r>
        <w:t xml:space="preserve"> Lorentz, 2005, p.50</w:t>
      </w:r>
    </w:p>
  </w:footnote>
  <w:footnote w:id="25">
    <w:p w14:paraId="45DAC83D" w14:textId="234E2F97" w:rsidR="008A4764" w:rsidRDefault="008A4764">
      <w:pPr>
        <w:pStyle w:val="FootnoteText"/>
      </w:pPr>
      <w:r>
        <w:rPr>
          <w:rStyle w:val="FootnoteReference"/>
        </w:rPr>
        <w:footnoteRef/>
      </w:r>
      <w:r>
        <w:t xml:space="preserve"> Lorentz, 2005, p.46</w:t>
      </w:r>
    </w:p>
  </w:footnote>
  <w:footnote w:id="26">
    <w:p w14:paraId="11609CAE" w14:textId="1A22E6FB" w:rsidR="00AB3CC8" w:rsidRDefault="00AB3CC8">
      <w:pPr>
        <w:pStyle w:val="FootnoteText"/>
      </w:pPr>
      <w:r>
        <w:rPr>
          <w:rStyle w:val="FootnoteReference"/>
        </w:rPr>
        <w:footnoteRef/>
      </w:r>
      <w:r>
        <w:t xml:space="preserve"> Lorentz, 2016</w:t>
      </w:r>
    </w:p>
  </w:footnote>
  <w:footnote w:id="27">
    <w:p w14:paraId="19B83E68" w14:textId="7D4D4BFB" w:rsidR="00866B68" w:rsidRDefault="00866B68">
      <w:pPr>
        <w:pStyle w:val="FootnoteText"/>
      </w:pPr>
      <w:r>
        <w:rPr>
          <w:rStyle w:val="FootnoteReference"/>
        </w:rPr>
        <w:footnoteRef/>
      </w:r>
      <w:r>
        <w:t xml:space="preserve"> Lorentz, 2016</w:t>
      </w:r>
    </w:p>
  </w:footnote>
  <w:footnote w:id="28">
    <w:p w14:paraId="7DBC6D07" w14:textId="497CEBD7" w:rsidR="00233151" w:rsidRDefault="00233151">
      <w:pPr>
        <w:pStyle w:val="FootnoteText"/>
      </w:pPr>
      <w:r>
        <w:rPr>
          <w:rStyle w:val="FootnoteReference"/>
        </w:rPr>
        <w:footnoteRef/>
      </w:r>
      <w:r>
        <w:t xml:space="preserve"> Lorentz, 2016</w:t>
      </w:r>
    </w:p>
  </w:footnote>
  <w:footnote w:id="29">
    <w:p w14:paraId="54B54DE7" w14:textId="1507A13E" w:rsidR="005C52F3" w:rsidRDefault="005C52F3">
      <w:pPr>
        <w:pStyle w:val="FootnoteText"/>
      </w:pPr>
      <w:r>
        <w:rPr>
          <w:rStyle w:val="FootnoteReference"/>
        </w:rPr>
        <w:footnoteRef/>
      </w:r>
      <w:r>
        <w:t xml:space="preserve"> Lorentz, 2016</w:t>
      </w:r>
    </w:p>
  </w:footnote>
  <w:footnote w:id="30">
    <w:p w14:paraId="6862C1D7" w14:textId="05F6C2D0" w:rsidR="00F06EA4" w:rsidRDefault="00F06EA4" w:rsidP="00F06EA4">
      <w:pPr>
        <w:pStyle w:val="FootnoteText"/>
      </w:pPr>
      <w:r>
        <w:rPr>
          <w:rStyle w:val="FootnoteReference"/>
        </w:rPr>
        <w:footnoteRef/>
      </w:r>
      <w:r>
        <w:t xml:space="preserve"> Lorentz, 2005, p.43</w:t>
      </w:r>
    </w:p>
  </w:footnote>
  <w:footnote w:id="31">
    <w:p w14:paraId="04CEE09C" w14:textId="77777777" w:rsidR="00350BFE" w:rsidRDefault="00350BFE" w:rsidP="00350BFE">
      <w:pPr>
        <w:pStyle w:val="FootnoteText"/>
      </w:pPr>
      <w:r>
        <w:rPr>
          <w:rStyle w:val="FootnoteReference"/>
        </w:rPr>
        <w:footnoteRef/>
      </w:r>
      <w:r>
        <w:t xml:space="preserve"> </w:t>
      </w:r>
      <w:proofErr w:type="spellStart"/>
      <w:r>
        <w:t>Budin</w:t>
      </w:r>
      <w:proofErr w:type="spellEnd"/>
      <w:r>
        <w:t xml:space="preserve">, </w:t>
      </w:r>
      <w:proofErr w:type="spellStart"/>
      <w:r>
        <w:t>Turfa</w:t>
      </w:r>
      <w:proofErr w:type="spellEnd"/>
      <w:r>
        <w:t>, 2016, ch.36</w:t>
      </w:r>
    </w:p>
  </w:footnote>
  <w:footnote w:id="32">
    <w:p w14:paraId="6E28E1DD" w14:textId="4D4B8EB5" w:rsidR="008F1155" w:rsidRDefault="008F1155">
      <w:pPr>
        <w:pStyle w:val="FootnoteText"/>
      </w:pPr>
      <w:r>
        <w:rPr>
          <w:rStyle w:val="FootnoteReference"/>
        </w:rPr>
        <w:footnoteRef/>
      </w:r>
      <w:r>
        <w:t xml:space="preserve"> Lorentz, 2005, p.49</w:t>
      </w:r>
    </w:p>
  </w:footnote>
  <w:footnote w:id="33">
    <w:p w14:paraId="3DF26C74" w14:textId="6CA1B077" w:rsidR="00E503EC" w:rsidRDefault="00E503EC">
      <w:pPr>
        <w:pStyle w:val="FootnoteText"/>
      </w:pPr>
      <w:r>
        <w:rPr>
          <w:rStyle w:val="FootnoteReference"/>
        </w:rPr>
        <w:footnoteRef/>
      </w:r>
      <w:r>
        <w:t xml:space="preserve"> Lorentz, 2016</w:t>
      </w:r>
    </w:p>
  </w:footnote>
  <w:footnote w:id="34">
    <w:p w14:paraId="7F5F8CB2" w14:textId="416108AB" w:rsidR="00E503EC" w:rsidRDefault="00E503EC">
      <w:pPr>
        <w:pStyle w:val="FootnoteText"/>
      </w:pPr>
      <w:r>
        <w:rPr>
          <w:rStyle w:val="FootnoteReference"/>
        </w:rPr>
        <w:footnoteRef/>
      </w:r>
      <w:r>
        <w:t xml:space="preserve"> Lorentz, 2016</w:t>
      </w:r>
    </w:p>
  </w:footnote>
  <w:footnote w:id="35">
    <w:p w14:paraId="2A6D7746" w14:textId="77777777" w:rsidR="00DD607F" w:rsidRDefault="00DD607F" w:rsidP="00DD607F">
      <w:pPr>
        <w:pStyle w:val="FootnoteText"/>
      </w:pPr>
      <w:r>
        <w:rPr>
          <w:rStyle w:val="FootnoteReference"/>
        </w:rPr>
        <w:footnoteRef/>
      </w:r>
      <w:r>
        <w:t xml:space="preserve"> Webb, 2016</w:t>
      </w:r>
    </w:p>
  </w:footnote>
  <w:footnote w:id="36">
    <w:p w14:paraId="26B9C08C" w14:textId="4FE4F5D1" w:rsidR="002971A9" w:rsidRDefault="002971A9">
      <w:pPr>
        <w:pStyle w:val="FootnoteText"/>
      </w:pPr>
      <w:r>
        <w:rPr>
          <w:rStyle w:val="FootnoteReference"/>
        </w:rPr>
        <w:footnoteRef/>
      </w:r>
      <w:r>
        <w:t xml:space="preserve"> Steel, 2013, p.59</w:t>
      </w:r>
    </w:p>
  </w:footnote>
  <w:footnote w:id="37">
    <w:p w14:paraId="3258600F" w14:textId="106A8484" w:rsidR="00592AC3" w:rsidRDefault="00592AC3">
      <w:pPr>
        <w:pStyle w:val="FootnoteText"/>
      </w:pPr>
      <w:r>
        <w:rPr>
          <w:rStyle w:val="FootnoteReference"/>
        </w:rPr>
        <w:footnoteRef/>
      </w:r>
      <w:r>
        <w:t xml:space="preserve"> Webb, 2016</w:t>
      </w:r>
    </w:p>
  </w:footnote>
  <w:footnote w:id="38">
    <w:p w14:paraId="4F1B9446" w14:textId="0D889FE5" w:rsidR="00592AC3" w:rsidRDefault="00592AC3">
      <w:pPr>
        <w:pStyle w:val="FootnoteText"/>
      </w:pPr>
      <w:r>
        <w:rPr>
          <w:rStyle w:val="FootnoteReference"/>
        </w:rPr>
        <w:footnoteRef/>
      </w:r>
      <w:r>
        <w:t xml:space="preserve"> Webb, 2016</w:t>
      </w:r>
    </w:p>
  </w:footnote>
  <w:footnote w:id="39">
    <w:p w14:paraId="2AD102DD" w14:textId="277E5D54" w:rsidR="00303859" w:rsidRDefault="00303859">
      <w:pPr>
        <w:pStyle w:val="FootnoteText"/>
      </w:pPr>
      <w:r>
        <w:rPr>
          <w:rStyle w:val="FootnoteReference"/>
        </w:rPr>
        <w:footnoteRef/>
      </w:r>
      <w:r>
        <w:t xml:space="preserve"> Webb, 2016</w:t>
      </w:r>
    </w:p>
  </w:footnote>
  <w:footnote w:id="40">
    <w:p w14:paraId="19215CFA" w14:textId="57096E40" w:rsidR="00BE6822" w:rsidRDefault="00BE6822">
      <w:pPr>
        <w:pStyle w:val="FootnoteText"/>
      </w:pPr>
      <w:r>
        <w:rPr>
          <w:rStyle w:val="FootnoteReference"/>
        </w:rPr>
        <w:footnoteRef/>
      </w:r>
      <w:r>
        <w:t xml:space="preserve"> Lorentz, 2016</w:t>
      </w:r>
    </w:p>
  </w:footnote>
  <w:footnote w:id="41">
    <w:p w14:paraId="747C6AB9" w14:textId="4627CF65" w:rsidR="008A02AC" w:rsidRDefault="008A02AC">
      <w:pPr>
        <w:pStyle w:val="FootnoteText"/>
      </w:pPr>
      <w:r>
        <w:rPr>
          <w:rStyle w:val="FootnoteReference"/>
        </w:rPr>
        <w:footnoteRef/>
      </w:r>
      <w:r>
        <w:t xml:space="preserve"> Webb, 2016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EF424" w14:textId="5DC40B41" w:rsidR="00747694" w:rsidRDefault="00747694">
    <w:pPr>
      <w:pStyle w:val="Header"/>
    </w:pPr>
    <w:r>
      <w:t>Lucy Harding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1F7D00"/>
    <w:multiLevelType w:val="multilevel"/>
    <w:tmpl w:val="5A78F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175C7"/>
    <w:multiLevelType w:val="multilevel"/>
    <w:tmpl w:val="35488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FC53F2"/>
    <w:multiLevelType w:val="hybridMultilevel"/>
    <w:tmpl w:val="BF56B95E"/>
    <w:lvl w:ilvl="0" w:tplc="0D026F9A">
      <w:start w:val="1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3411942">
    <w:abstractNumId w:val="2"/>
  </w:num>
  <w:num w:numId="2" w16cid:durableId="354116358">
    <w:abstractNumId w:val="0"/>
  </w:num>
  <w:num w:numId="3" w16cid:durableId="42966236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492"/>
    <w:rsid w:val="00000D64"/>
    <w:rsid w:val="00002B0A"/>
    <w:rsid w:val="00003D2A"/>
    <w:rsid w:val="000211F6"/>
    <w:rsid w:val="000223A2"/>
    <w:rsid w:val="00026FD1"/>
    <w:rsid w:val="00030D8A"/>
    <w:rsid w:val="000323F3"/>
    <w:rsid w:val="00037DC1"/>
    <w:rsid w:val="000434B1"/>
    <w:rsid w:val="0004399D"/>
    <w:rsid w:val="0004611A"/>
    <w:rsid w:val="0004756F"/>
    <w:rsid w:val="00051107"/>
    <w:rsid w:val="000516FB"/>
    <w:rsid w:val="00053BC0"/>
    <w:rsid w:val="00053EA8"/>
    <w:rsid w:val="0005429B"/>
    <w:rsid w:val="00055B7B"/>
    <w:rsid w:val="00057DC6"/>
    <w:rsid w:val="0006253E"/>
    <w:rsid w:val="0006432B"/>
    <w:rsid w:val="0006448E"/>
    <w:rsid w:val="00067983"/>
    <w:rsid w:val="00067BA5"/>
    <w:rsid w:val="000721AF"/>
    <w:rsid w:val="0007226C"/>
    <w:rsid w:val="000735A0"/>
    <w:rsid w:val="000759F3"/>
    <w:rsid w:val="00080954"/>
    <w:rsid w:val="00081BF7"/>
    <w:rsid w:val="00096D02"/>
    <w:rsid w:val="000A0CF8"/>
    <w:rsid w:val="000A43E0"/>
    <w:rsid w:val="000A7871"/>
    <w:rsid w:val="000A7A50"/>
    <w:rsid w:val="000B2BED"/>
    <w:rsid w:val="000B4D15"/>
    <w:rsid w:val="000C7B2B"/>
    <w:rsid w:val="000C7E7F"/>
    <w:rsid w:val="000D6BC7"/>
    <w:rsid w:val="000D7B1F"/>
    <w:rsid w:val="000E0177"/>
    <w:rsid w:val="000E0C0E"/>
    <w:rsid w:val="000E0DBC"/>
    <w:rsid w:val="000E325B"/>
    <w:rsid w:val="000F251A"/>
    <w:rsid w:val="000F3AEB"/>
    <w:rsid w:val="000F5174"/>
    <w:rsid w:val="000F551A"/>
    <w:rsid w:val="00101F08"/>
    <w:rsid w:val="001025F9"/>
    <w:rsid w:val="0010778D"/>
    <w:rsid w:val="0011431E"/>
    <w:rsid w:val="0011449F"/>
    <w:rsid w:val="001146B4"/>
    <w:rsid w:val="00116757"/>
    <w:rsid w:val="001225AB"/>
    <w:rsid w:val="00123373"/>
    <w:rsid w:val="00126F00"/>
    <w:rsid w:val="00144E6F"/>
    <w:rsid w:val="00151A81"/>
    <w:rsid w:val="00160667"/>
    <w:rsid w:val="0016125E"/>
    <w:rsid w:val="001622E9"/>
    <w:rsid w:val="001623C9"/>
    <w:rsid w:val="0016467D"/>
    <w:rsid w:val="00172A52"/>
    <w:rsid w:val="0017495A"/>
    <w:rsid w:val="00177E00"/>
    <w:rsid w:val="00181BF4"/>
    <w:rsid w:val="00182D09"/>
    <w:rsid w:val="00187FB8"/>
    <w:rsid w:val="00190E3E"/>
    <w:rsid w:val="00193C13"/>
    <w:rsid w:val="001961C2"/>
    <w:rsid w:val="0019761E"/>
    <w:rsid w:val="001A27D2"/>
    <w:rsid w:val="001A3B0C"/>
    <w:rsid w:val="001A5020"/>
    <w:rsid w:val="001A7063"/>
    <w:rsid w:val="001B0C59"/>
    <w:rsid w:val="001B1EFA"/>
    <w:rsid w:val="001B2DA1"/>
    <w:rsid w:val="001B3C08"/>
    <w:rsid w:val="001B43C3"/>
    <w:rsid w:val="001B4C23"/>
    <w:rsid w:val="001B5B40"/>
    <w:rsid w:val="001B5CFD"/>
    <w:rsid w:val="001B624D"/>
    <w:rsid w:val="001C252C"/>
    <w:rsid w:val="001C5158"/>
    <w:rsid w:val="001E7364"/>
    <w:rsid w:val="001F6C53"/>
    <w:rsid w:val="00201AD3"/>
    <w:rsid w:val="0020697A"/>
    <w:rsid w:val="0020767A"/>
    <w:rsid w:val="0021102F"/>
    <w:rsid w:val="002114F6"/>
    <w:rsid w:val="00217196"/>
    <w:rsid w:val="00224920"/>
    <w:rsid w:val="00233151"/>
    <w:rsid w:val="00234134"/>
    <w:rsid w:val="0023628B"/>
    <w:rsid w:val="002500C7"/>
    <w:rsid w:val="0025286D"/>
    <w:rsid w:val="0025596E"/>
    <w:rsid w:val="00265B66"/>
    <w:rsid w:val="00271BF9"/>
    <w:rsid w:val="00271E67"/>
    <w:rsid w:val="002737A7"/>
    <w:rsid w:val="00274716"/>
    <w:rsid w:val="00277112"/>
    <w:rsid w:val="00280583"/>
    <w:rsid w:val="002830C4"/>
    <w:rsid w:val="00286EC6"/>
    <w:rsid w:val="00287985"/>
    <w:rsid w:val="00287BC9"/>
    <w:rsid w:val="002932C7"/>
    <w:rsid w:val="002936FD"/>
    <w:rsid w:val="00296492"/>
    <w:rsid w:val="002971A9"/>
    <w:rsid w:val="002A41B6"/>
    <w:rsid w:val="002A6502"/>
    <w:rsid w:val="002A7B5C"/>
    <w:rsid w:val="002B313D"/>
    <w:rsid w:val="002B34C7"/>
    <w:rsid w:val="002C3637"/>
    <w:rsid w:val="002D6CC0"/>
    <w:rsid w:val="002D6D61"/>
    <w:rsid w:val="002F2D0C"/>
    <w:rsid w:val="002F35C8"/>
    <w:rsid w:val="002F4361"/>
    <w:rsid w:val="002F69E2"/>
    <w:rsid w:val="002F6FC9"/>
    <w:rsid w:val="002F750F"/>
    <w:rsid w:val="00303859"/>
    <w:rsid w:val="00303892"/>
    <w:rsid w:val="003068B8"/>
    <w:rsid w:val="00307204"/>
    <w:rsid w:val="0031025B"/>
    <w:rsid w:val="00312084"/>
    <w:rsid w:val="00312493"/>
    <w:rsid w:val="00313109"/>
    <w:rsid w:val="00316A91"/>
    <w:rsid w:val="00320FF7"/>
    <w:rsid w:val="0032103F"/>
    <w:rsid w:val="00325201"/>
    <w:rsid w:val="00333ABE"/>
    <w:rsid w:val="00347873"/>
    <w:rsid w:val="0034794D"/>
    <w:rsid w:val="00350BFE"/>
    <w:rsid w:val="003540AA"/>
    <w:rsid w:val="00356CDA"/>
    <w:rsid w:val="003637A9"/>
    <w:rsid w:val="00370FEC"/>
    <w:rsid w:val="0037153E"/>
    <w:rsid w:val="00372DB5"/>
    <w:rsid w:val="00373CA9"/>
    <w:rsid w:val="0037431E"/>
    <w:rsid w:val="00380010"/>
    <w:rsid w:val="00383C8B"/>
    <w:rsid w:val="00392778"/>
    <w:rsid w:val="003964DA"/>
    <w:rsid w:val="003966F6"/>
    <w:rsid w:val="003970EC"/>
    <w:rsid w:val="003A0A42"/>
    <w:rsid w:val="003A26AF"/>
    <w:rsid w:val="003A48DD"/>
    <w:rsid w:val="003A6151"/>
    <w:rsid w:val="003A73FB"/>
    <w:rsid w:val="003B468A"/>
    <w:rsid w:val="003C0CA9"/>
    <w:rsid w:val="003C18BE"/>
    <w:rsid w:val="003C6862"/>
    <w:rsid w:val="003D2266"/>
    <w:rsid w:val="003D35CE"/>
    <w:rsid w:val="003D36E4"/>
    <w:rsid w:val="003D44B6"/>
    <w:rsid w:val="003D46CA"/>
    <w:rsid w:val="003D5051"/>
    <w:rsid w:val="003D599C"/>
    <w:rsid w:val="003D7674"/>
    <w:rsid w:val="003E2EB8"/>
    <w:rsid w:val="003E6729"/>
    <w:rsid w:val="003F4B6F"/>
    <w:rsid w:val="004028BF"/>
    <w:rsid w:val="00413D5C"/>
    <w:rsid w:val="004219F8"/>
    <w:rsid w:val="004224A8"/>
    <w:rsid w:val="0043295B"/>
    <w:rsid w:val="00433269"/>
    <w:rsid w:val="0044057D"/>
    <w:rsid w:val="00442E5F"/>
    <w:rsid w:val="004479FB"/>
    <w:rsid w:val="00450803"/>
    <w:rsid w:val="00450C98"/>
    <w:rsid w:val="00451937"/>
    <w:rsid w:val="00451ABA"/>
    <w:rsid w:val="00454484"/>
    <w:rsid w:val="00454FD4"/>
    <w:rsid w:val="00455578"/>
    <w:rsid w:val="00463E1F"/>
    <w:rsid w:val="00466B0F"/>
    <w:rsid w:val="00467497"/>
    <w:rsid w:val="00467860"/>
    <w:rsid w:val="00470D7B"/>
    <w:rsid w:val="00471E9A"/>
    <w:rsid w:val="0047560E"/>
    <w:rsid w:val="00475DA7"/>
    <w:rsid w:val="00484B39"/>
    <w:rsid w:val="00485717"/>
    <w:rsid w:val="00486D7D"/>
    <w:rsid w:val="0049091D"/>
    <w:rsid w:val="00492BE5"/>
    <w:rsid w:val="004930CB"/>
    <w:rsid w:val="004A1F7E"/>
    <w:rsid w:val="004A62C6"/>
    <w:rsid w:val="004A6A77"/>
    <w:rsid w:val="004B4AFC"/>
    <w:rsid w:val="004B6CF6"/>
    <w:rsid w:val="004C5215"/>
    <w:rsid w:val="004C7B4F"/>
    <w:rsid w:val="004D78B0"/>
    <w:rsid w:val="004D7D57"/>
    <w:rsid w:val="004E1952"/>
    <w:rsid w:val="004E1F4B"/>
    <w:rsid w:val="004E5028"/>
    <w:rsid w:val="004E789A"/>
    <w:rsid w:val="004F1BEC"/>
    <w:rsid w:val="004F58DB"/>
    <w:rsid w:val="004F7695"/>
    <w:rsid w:val="00502FC2"/>
    <w:rsid w:val="00506069"/>
    <w:rsid w:val="00506FC0"/>
    <w:rsid w:val="00511E0E"/>
    <w:rsid w:val="0051605E"/>
    <w:rsid w:val="00522646"/>
    <w:rsid w:val="005243C0"/>
    <w:rsid w:val="00531FC0"/>
    <w:rsid w:val="0053334A"/>
    <w:rsid w:val="00534A1F"/>
    <w:rsid w:val="00540751"/>
    <w:rsid w:val="00541AF3"/>
    <w:rsid w:val="00543AE2"/>
    <w:rsid w:val="005519C3"/>
    <w:rsid w:val="00551AF0"/>
    <w:rsid w:val="005552A9"/>
    <w:rsid w:val="0055712A"/>
    <w:rsid w:val="005575EE"/>
    <w:rsid w:val="00562384"/>
    <w:rsid w:val="005627C8"/>
    <w:rsid w:val="0056346C"/>
    <w:rsid w:val="005635A8"/>
    <w:rsid w:val="005659A0"/>
    <w:rsid w:val="00572E9B"/>
    <w:rsid w:val="00576A29"/>
    <w:rsid w:val="005809B5"/>
    <w:rsid w:val="005876E8"/>
    <w:rsid w:val="00591620"/>
    <w:rsid w:val="00592AC3"/>
    <w:rsid w:val="0059334F"/>
    <w:rsid w:val="00597AA9"/>
    <w:rsid w:val="005A0160"/>
    <w:rsid w:val="005A0AF2"/>
    <w:rsid w:val="005A3DD6"/>
    <w:rsid w:val="005B0F27"/>
    <w:rsid w:val="005B29B4"/>
    <w:rsid w:val="005B536A"/>
    <w:rsid w:val="005C3128"/>
    <w:rsid w:val="005C52F3"/>
    <w:rsid w:val="005C585E"/>
    <w:rsid w:val="005D2ABB"/>
    <w:rsid w:val="005D2BF7"/>
    <w:rsid w:val="005E04FA"/>
    <w:rsid w:val="005E41E6"/>
    <w:rsid w:val="005E4CDD"/>
    <w:rsid w:val="005E5179"/>
    <w:rsid w:val="005E5B94"/>
    <w:rsid w:val="005E6AA4"/>
    <w:rsid w:val="005F3405"/>
    <w:rsid w:val="00600498"/>
    <w:rsid w:val="00600980"/>
    <w:rsid w:val="00601B56"/>
    <w:rsid w:val="00603112"/>
    <w:rsid w:val="00605C72"/>
    <w:rsid w:val="00605F65"/>
    <w:rsid w:val="00610244"/>
    <w:rsid w:val="006130B3"/>
    <w:rsid w:val="006177A2"/>
    <w:rsid w:val="0062057D"/>
    <w:rsid w:val="00623E47"/>
    <w:rsid w:val="00626D5E"/>
    <w:rsid w:val="006339AC"/>
    <w:rsid w:val="00633BF2"/>
    <w:rsid w:val="00633F11"/>
    <w:rsid w:val="0063756D"/>
    <w:rsid w:val="00641782"/>
    <w:rsid w:val="00643CD2"/>
    <w:rsid w:val="006464E3"/>
    <w:rsid w:val="006525CA"/>
    <w:rsid w:val="0065276B"/>
    <w:rsid w:val="00654DBD"/>
    <w:rsid w:val="0065538B"/>
    <w:rsid w:val="0066671B"/>
    <w:rsid w:val="006678AF"/>
    <w:rsid w:val="00674CFE"/>
    <w:rsid w:val="00682993"/>
    <w:rsid w:val="0068484D"/>
    <w:rsid w:val="00686B39"/>
    <w:rsid w:val="00686EC1"/>
    <w:rsid w:val="00687EED"/>
    <w:rsid w:val="006A0C0F"/>
    <w:rsid w:val="006A1B24"/>
    <w:rsid w:val="006A20D0"/>
    <w:rsid w:val="006A2FE0"/>
    <w:rsid w:val="006A3F1C"/>
    <w:rsid w:val="006A74B1"/>
    <w:rsid w:val="006A78FF"/>
    <w:rsid w:val="006B1B47"/>
    <w:rsid w:val="006B442B"/>
    <w:rsid w:val="006B7249"/>
    <w:rsid w:val="006C24D0"/>
    <w:rsid w:val="006C44B4"/>
    <w:rsid w:val="006C6D38"/>
    <w:rsid w:val="006D012A"/>
    <w:rsid w:val="006D01F2"/>
    <w:rsid w:val="006D132D"/>
    <w:rsid w:val="006D4E1B"/>
    <w:rsid w:val="006D691C"/>
    <w:rsid w:val="006E4B02"/>
    <w:rsid w:val="006F207E"/>
    <w:rsid w:val="006F52A0"/>
    <w:rsid w:val="00700694"/>
    <w:rsid w:val="00701381"/>
    <w:rsid w:val="007046CE"/>
    <w:rsid w:val="00705A5C"/>
    <w:rsid w:val="00707FA4"/>
    <w:rsid w:val="007119AD"/>
    <w:rsid w:val="00714024"/>
    <w:rsid w:val="00714F8D"/>
    <w:rsid w:val="007161C9"/>
    <w:rsid w:val="00717A7B"/>
    <w:rsid w:val="00724F3E"/>
    <w:rsid w:val="00743778"/>
    <w:rsid w:val="00744662"/>
    <w:rsid w:val="00747694"/>
    <w:rsid w:val="00750FC6"/>
    <w:rsid w:val="00756C02"/>
    <w:rsid w:val="00756E06"/>
    <w:rsid w:val="00756EC6"/>
    <w:rsid w:val="00762146"/>
    <w:rsid w:val="0077153E"/>
    <w:rsid w:val="00773747"/>
    <w:rsid w:val="007749F2"/>
    <w:rsid w:val="007763BC"/>
    <w:rsid w:val="007847F4"/>
    <w:rsid w:val="00784AC5"/>
    <w:rsid w:val="0078645B"/>
    <w:rsid w:val="007864B4"/>
    <w:rsid w:val="007865A0"/>
    <w:rsid w:val="0079066C"/>
    <w:rsid w:val="007971CE"/>
    <w:rsid w:val="007A0635"/>
    <w:rsid w:val="007A3B69"/>
    <w:rsid w:val="007A63C2"/>
    <w:rsid w:val="007B2E2B"/>
    <w:rsid w:val="007B47AF"/>
    <w:rsid w:val="007B6CBA"/>
    <w:rsid w:val="007D0F00"/>
    <w:rsid w:val="007D1325"/>
    <w:rsid w:val="007D32B9"/>
    <w:rsid w:val="007E02ED"/>
    <w:rsid w:val="007E0B3A"/>
    <w:rsid w:val="007E4265"/>
    <w:rsid w:val="007E789F"/>
    <w:rsid w:val="00802700"/>
    <w:rsid w:val="00813049"/>
    <w:rsid w:val="00814A40"/>
    <w:rsid w:val="008152A9"/>
    <w:rsid w:val="00820521"/>
    <w:rsid w:val="008221A5"/>
    <w:rsid w:val="0083011D"/>
    <w:rsid w:val="00830347"/>
    <w:rsid w:val="00830705"/>
    <w:rsid w:val="00833B05"/>
    <w:rsid w:val="00833D1F"/>
    <w:rsid w:val="00835267"/>
    <w:rsid w:val="00841EEF"/>
    <w:rsid w:val="00844572"/>
    <w:rsid w:val="00845093"/>
    <w:rsid w:val="008550F4"/>
    <w:rsid w:val="00860B38"/>
    <w:rsid w:val="00863527"/>
    <w:rsid w:val="0086586B"/>
    <w:rsid w:val="0086670A"/>
    <w:rsid w:val="00866B68"/>
    <w:rsid w:val="008673F7"/>
    <w:rsid w:val="00867C7A"/>
    <w:rsid w:val="0087150D"/>
    <w:rsid w:val="0087750A"/>
    <w:rsid w:val="008903AC"/>
    <w:rsid w:val="00890AF1"/>
    <w:rsid w:val="008921A2"/>
    <w:rsid w:val="008959E4"/>
    <w:rsid w:val="008A02AC"/>
    <w:rsid w:val="008A2F9C"/>
    <w:rsid w:val="008A4764"/>
    <w:rsid w:val="008A5932"/>
    <w:rsid w:val="008A6B43"/>
    <w:rsid w:val="008A7679"/>
    <w:rsid w:val="008A785A"/>
    <w:rsid w:val="008B203E"/>
    <w:rsid w:val="008B2FEB"/>
    <w:rsid w:val="008C16AD"/>
    <w:rsid w:val="008C57A6"/>
    <w:rsid w:val="008C6664"/>
    <w:rsid w:val="008D1D50"/>
    <w:rsid w:val="008D2C50"/>
    <w:rsid w:val="008D4B3F"/>
    <w:rsid w:val="008D577B"/>
    <w:rsid w:val="008D7103"/>
    <w:rsid w:val="008E19F8"/>
    <w:rsid w:val="008E7C3B"/>
    <w:rsid w:val="008F1155"/>
    <w:rsid w:val="008F191C"/>
    <w:rsid w:val="008F1C1E"/>
    <w:rsid w:val="008F26AF"/>
    <w:rsid w:val="008F5883"/>
    <w:rsid w:val="00906F63"/>
    <w:rsid w:val="00910CEA"/>
    <w:rsid w:val="00912272"/>
    <w:rsid w:val="00920651"/>
    <w:rsid w:val="00921052"/>
    <w:rsid w:val="00937C17"/>
    <w:rsid w:val="00944059"/>
    <w:rsid w:val="009565AA"/>
    <w:rsid w:val="0095675F"/>
    <w:rsid w:val="00957C45"/>
    <w:rsid w:val="00957E05"/>
    <w:rsid w:val="009621A0"/>
    <w:rsid w:val="009647EA"/>
    <w:rsid w:val="009668DF"/>
    <w:rsid w:val="009715BE"/>
    <w:rsid w:val="0097513A"/>
    <w:rsid w:val="00975E4B"/>
    <w:rsid w:val="009769D9"/>
    <w:rsid w:val="00981600"/>
    <w:rsid w:val="0098455C"/>
    <w:rsid w:val="009858BC"/>
    <w:rsid w:val="00992520"/>
    <w:rsid w:val="00992CE0"/>
    <w:rsid w:val="00993BF2"/>
    <w:rsid w:val="009A142E"/>
    <w:rsid w:val="009A2E16"/>
    <w:rsid w:val="009B11D1"/>
    <w:rsid w:val="009B1C6B"/>
    <w:rsid w:val="009B26A7"/>
    <w:rsid w:val="009B445A"/>
    <w:rsid w:val="009C1A59"/>
    <w:rsid w:val="009C2E51"/>
    <w:rsid w:val="009C4037"/>
    <w:rsid w:val="009C5AC1"/>
    <w:rsid w:val="009E2898"/>
    <w:rsid w:val="009E3FDA"/>
    <w:rsid w:val="009E54B9"/>
    <w:rsid w:val="009E5CA8"/>
    <w:rsid w:val="009F0092"/>
    <w:rsid w:val="009F2F95"/>
    <w:rsid w:val="009F4D8F"/>
    <w:rsid w:val="009F56A5"/>
    <w:rsid w:val="009F56B7"/>
    <w:rsid w:val="00A010DF"/>
    <w:rsid w:val="00A029B2"/>
    <w:rsid w:val="00A12F38"/>
    <w:rsid w:val="00A172DF"/>
    <w:rsid w:val="00A23CD9"/>
    <w:rsid w:val="00A23E75"/>
    <w:rsid w:val="00A244F9"/>
    <w:rsid w:val="00A24598"/>
    <w:rsid w:val="00A30171"/>
    <w:rsid w:val="00A30FB3"/>
    <w:rsid w:val="00A35252"/>
    <w:rsid w:val="00A3688A"/>
    <w:rsid w:val="00A51754"/>
    <w:rsid w:val="00A5611F"/>
    <w:rsid w:val="00A56FF1"/>
    <w:rsid w:val="00A57F5E"/>
    <w:rsid w:val="00A608BA"/>
    <w:rsid w:val="00A61B49"/>
    <w:rsid w:val="00A67017"/>
    <w:rsid w:val="00A717FE"/>
    <w:rsid w:val="00A71FE8"/>
    <w:rsid w:val="00A81D2B"/>
    <w:rsid w:val="00A873DA"/>
    <w:rsid w:val="00A9078B"/>
    <w:rsid w:val="00A90FBD"/>
    <w:rsid w:val="00A933D0"/>
    <w:rsid w:val="00A93A59"/>
    <w:rsid w:val="00A94819"/>
    <w:rsid w:val="00A9730A"/>
    <w:rsid w:val="00AA0BE7"/>
    <w:rsid w:val="00AA0D0E"/>
    <w:rsid w:val="00AA36F6"/>
    <w:rsid w:val="00AA4618"/>
    <w:rsid w:val="00AA4C31"/>
    <w:rsid w:val="00AB0AC8"/>
    <w:rsid w:val="00AB23E6"/>
    <w:rsid w:val="00AB3CC8"/>
    <w:rsid w:val="00AB3D2F"/>
    <w:rsid w:val="00AB3F63"/>
    <w:rsid w:val="00AB4CE4"/>
    <w:rsid w:val="00AC069C"/>
    <w:rsid w:val="00AC0952"/>
    <w:rsid w:val="00AC10AA"/>
    <w:rsid w:val="00AC4386"/>
    <w:rsid w:val="00AC5521"/>
    <w:rsid w:val="00AC5639"/>
    <w:rsid w:val="00AD0B14"/>
    <w:rsid w:val="00AD251C"/>
    <w:rsid w:val="00AD26CF"/>
    <w:rsid w:val="00AD59E5"/>
    <w:rsid w:val="00AE0ED7"/>
    <w:rsid w:val="00AE25E9"/>
    <w:rsid w:val="00AE4354"/>
    <w:rsid w:val="00AE49E9"/>
    <w:rsid w:val="00AE50FE"/>
    <w:rsid w:val="00AE6740"/>
    <w:rsid w:val="00AE75A3"/>
    <w:rsid w:val="00AF500F"/>
    <w:rsid w:val="00AF5CC1"/>
    <w:rsid w:val="00B02AB8"/>
    <w:rsid w:val="00B03AE3"/>
    <w:rsid w:val="00B11CEB"/>
    <w:rsid w:val="00B207C1"/>
    <w:rsid w:val="00B23FAF"/>
    <w:rsid w:val="00B265A5"/>
    <w:rsid w:val="00B33662"/>
    <w:rsid w:val="00B370A4"/>
    <w:rsid w:val="00B37A81"/>
    <w:rsid w:val="00B422C2"/>
    <w:rsid w:val="00B457D3"/>
    <w:rsid w:val="00B45E8C"/>
    <w:rsid w:val="00B50F7E"/>
    <w:rsid w:val="00B517E7"/>
    <w:rsid w:val="00B52F5A"/>
    <w:rsid w:val="00B56984"/>
    <w:rsid w:val="00B57785"/>
    <w:rsid w:val="00B600DB"/>
    <w:rsid w:val="00B61B5E"/>
    <w:rsid w:val="00B63E89"/>
    <w:rsid w:val="00B65342"/>
    <w:rsid w:val="00B7026F"/>
    <w:rsid w:val="00B7652F"/>
    <w:rsid w:val="00B8215C"/>
    <w:rsid w:val="00B82253"/>
    <w:rsid w:val="00B8388E"/>
    <w:rsid w:val="00B83B6E"/>
    <w:rsid w:val="00B90D59"/>
    <w:rsid w:val="00B91C46"/>
    <w:rsid w:val="00B961F0"/>
    <w:rsid w:val="00BA3011"/>
    <w:rsid w:val="00BA307C"/>
    <w:rsid w:val="00BB196B"/>
    <w:rsid w:val="00BB6181"/>
    <w:rsid w:val="00BB6613"/>
    <w:rsid w:val="00BC584C"/>
    <w:rsid w:val="00BC66DC"/>
    <w:rsid w:val="00BC6FE5"/>
    <w:rsid w:val="00BD022E"/>
    <w:rsid w:val="00BD1454"/>
    <w:rsid w:val="00BD409C"/>
    <w:rsid w:val="00BD4144"/>
    <w:rsid w:val="00BD41C9"/>
    <w:rsid w:val="00BE37FB"/>
    <w:rsid w:val="00BE3E67"/>
    <w:rsid w:val="00BE6822"/>
    <w:rsid w:val="00BF1F8E"/>
    <w:rsid w:val="00BF2349"/>
    <w:rsid w:val="00C001C9"/>
    <w:rsid w:val="00C017E7"/>
    <w:rsid w:val="00C02DB0"/>
    <w:rsid w:val="00C03853"/>
    <w:rsid w:val="00C042B4"/>
    <w:rsid w:val="00C074DA"/>
    <w:rsid w:val="00C0758C"/>
    <w:rsid w:val="00C13ACE"/>
    <w:rsid w:val="00C14B3C"/>
    <w:rsid w:val="00C15839"/>
    <w:rsid w:val="00C21EC6"/>
    <w:rsid w:val="00C23E66"/>
    <w:rsid w:val="00C3211A"/>
    <w:rsid w:val="00C35C5C"/>
    <w:rsid w:val="00C42429"/>
    <w:rsid w:val="00C46C81"/>
    <w:rsid w:val="00C47093"/>
    <w:rsid w:val="00C47F79"/>
    <w:rsid w:val="00C505C7"/>
    <w:rsid w:val="00C524B5"/>
    <w:rsid w:val="00C52A35"/>
    <w:rsid w:val="00C55F15"/>
    <w:rsid w:val="00C66AEA"/>
    <w:rsid w:val="00C7445D"/>
    <w:rsid w:val="00C766E8"/>
    <w:rsid w:val="00C768F2"/>
    <w:rsid w:val="00C8066E"/>
    <w:rsid w:val="00C81CE9"/>
    <w:rsid w:val="00C92004"/>
    <w:rsid w:val="00C95030"/>
    <w:rsid w:val="00CA6A31"/>
    <w:rsid w:val="00CA6CAC"/>
    <w:rsid w:val="00CA6FD6"/>
    <w:rsid w:val="00CB2924"/>
    <w:rsid w:val="00CB6FC0"/>
    <w:rsid w:val="00CB7AC4"/>
    <w:rsid w:val="00CC0123"/>
    <w:rsid w:val="00CC0B87"/>
    <w:rsid w:val="00CC1039"/>
    <w:rsid w:val="00CC4B5A"/>
    <w:rsid w:val="00CD29B4"/>
    <w:rsid w:val="00CD3276"/>
    <w:rsid w:val="00CD4CBE"/>
    <w:rsid w:val="00CD67DD"/>
    <w:rsid w:val="00CD79F3"/>
    <w:rsid w:val="00CE2DFC"/>
    <w:rsid w:val="00CE4242"/>
    <w:rsid w:val="00CE4DEA"/>
    <w:rsid w:val="00CE5327"/>
    <w:rsid w:val="00CE6D69"/>
    <w:rsid w:val="00CF0405"/>
    <w:rsid w:val="00CF5265"/>
    <w:rsid w:val="00CF5473"/>
    <w:rsid w:val="00CF742E"/>
    <w:rsid w:val="00D0170E"/>
    <w:rsid w:val="00D01901"/>
    <w:rsid w:val="00D05E02"/>
    <w:rsid w:val="00D12AB2"/>
    <w:rsid w:val="00D15B73"/>
    <w:rsid w:val="00D203FA"/>
    <w:rsid w:val="00D2321A"/>
    <w:rsid w:val="00D24536"/>
    <w:rsid w:val="00D25E39"/>
    <w:rsid w:val="00D33158"/>
    <w:rsid w:val="00D34668"/>
    <w:rsid w:val="00D348F7"/>
    <w:rsid w:val="00D36F85"/>
    <w:rsid w:val="00D375E1"/>
    <w:rsid w:val="00D404F1"/>
    <w:rsid w:val="00D445C2"/>
    <w:rsid w:val="00D45810"/>
    <w:rsid w:val="00D46335"/>
    <w:rsid w:val="00D46549"/>
    <w:rsid w:val="00D50603"/>
    <w:rsid w:val="00D50824"/>
    <w:rsid w:val="00D53298"/>
    <w:rsid w:val="00D535E6"/>
    <w:rsid w:val="00D63EC6"/>
    <w:rsid w:val="00D67BD5"/>
    <w:rsid w:val="00D73272"/>
    <w:rsid w:val="00D74DFB"/>
    <w:rsid w:val="00D759B7"/>
    <w:rsid w:val="00D75B40"/>
    <w:rsid w:val="00D77033"/>
    <w:rsid w:val="00D840AB"/>
    <w:rsid w:val="00D84ADF"/>
    <w:rsid w:val="00D86520"/>
    <w:rsid w:val="00D90AE5"/>
    <w:rsid w:val="00D91D36"/>
    <w:rsid w:val="00D9481A"/>
    <w:rsid w:val="00DB0A69"/>
    <w:rsid w:val="00DC1806"/>
    <w:rsid w:val="00DC270E"/>
    <w:rsid w:val="00DC533D"/>
    <w:rsid w:val="00DC53CE"/>
    <w:rsid w:val="00DD607F"/>
    <w:rsid w:val="00DE0849"/>
    <w:rsid w:val="00DE36E3"/>
    <w:rsid w:val="00DF1EB3"/>
    <w:rsid w:val="00DF2A43"/>
    <w:rsid w:val="00DF7F65"/>
    <w:rsid w:val="00E0638D"/>
    <w:rsid w:val="00E06526"/>
    <w:rsid w:val="00E10B9D"/>
    <w:rsid w:val="00E16BD7"/>
    <w:rsid w:val="00E221A2"/>
    <w:rsid w:val="00E25D7D"/>
    <w:rsid w:val="00E367A8"/>
    <w:rsid w:val="00E3699D"/>
    <w:rsid w:val="00E37196"/>
    <w:rsid w:val="00E46989"/>
    <w:rsid w:val="00E47F03"/>
    <w:rsid w:val="00E503EC"/>
    <w:rsid w:val="00E50868"/>
    <w:rsid w:val="00E524F1"/>
    <w:rsid w:val="00E527D3"/>
    <w:rsid w:val="00E541E6"/>
    <w:rsid w:val="00E54C82"/>
    <w:rsid w:val="00E5554A"/>
    <w:rsid w:val="00E577AD"/>
    <w:rsid w:val="00E611D6"/>
    <w:rsid w:val="00E621C9"/>
    <w:rsid w:val="00E634CE"/>
    <w:rsid w:val="00E63B17"/>
    <w:rsid w:val="00E63E75"/>
    <w:rsid w:val="00E644A4"/>
    <w:rsid w:val="00E671C0"/>
    <w:rsid w:val="00E703A5"/>
    <w:rsid w:val="00E74675"/>
    <w:rsid w:val="00E90D8E"/>
    <w:rsid w:val="00E90E69"/>
    <w:rsid w:val="00EA6D4F"/>
    <w:rsid w:val="00EB198A"/>
    <w:rsid w:val="00EB3B94"/>
    <w:rsid w:val="00EB423D"/>
    <w:rsid w:val="00EC14CB"/>
    <w:rsid w:val="00ED214A"/>
    <w:rsid w:val="00ED40C0"/>
    <w:rsid w:val="00ED55EC"/>
    <w:rsid w:val="00ED6D39"/>
    <w:rsid w:val="00ED6EEE"/>
    <w:rsid w:val="00EE0391"/>
    <w:rsid w:val="00EE7973"/>
    <w:rsid w:val="00EE7D51"/>
    <w:rsid w:val="00EF100E"/>
    <w:rsid w:val="00EF2035"/>
    <w:rsid w:val="00F039CF"/>
    <w:rsid w:val="00F06EA4"/>
    <w:rsid w:val="00F1139F"/>
    <w:rsid w:val="00F156FB"/>
    <w:rsid w:val="00F158AA"/>
    <w:rsid w:val="00F256F9"/>
    <w:rsid w:val="00F32930"/>
    <w:rsid w:val="00F34CEA"/>
    <w:rsid w:val="00F35EC4"/>
    <w:rsid w:val="00F3743A"/>
    <w:rsid w:val="00F409F9"/>
    <w:rsid w:val="00F411F4"/>
    <w:rsid w:val="00F426B5"/>
    <w:rsid w:val="00F5164B"/>
    <w:rsid w:val="00F67605"/>
    <w:rsid w:val="00F703D7"/>
    <w:rsid w:val="00F7701C"/>
    <w:rsid w:val="00F77592"/>
    <w:rsid w:val="00F910A7"/>
    <w:rsid w:val="00F9169C"/>
    <w:rsid w:val="00F9192D"/>
    <w:rsid w:val="00F9537E"/>
    <w:rsid w:val="00F97ACF"/>
    <w:rsid w:val="00FA198E"/>
    <w:rsid w:val="00FA3404"/>
    <w:rsid w:val="00FB1CF9"/>
    <w:rsid w:val="00FB33B1"/>
    <w:rsid w:val="00FB7B75"/>
    <w:rsid w:val="00FC2261"/>
    <w:rsid w:val="00FC3633"/>
    <w:rsid w:val="00FD50AB"/>
    <w:rsid w:val="00FD6544"/>
    <w:rsid w:val="00FD66E8"/>
    <w:rsid w:val="00FD68D1"/>
    <w:rsid w:val="00FE06E0"/>
    <w:rsid w:val="00FE42A3"/>
    <w:rsid w:val="00FE5CD0"/>
    <w:rsid w:val="00FE5F05"/>
    <w:rsid w:val="00FE7373"/>
    <w:rsid w:val="00FE7F9F"/>
    <w:rsid w:val="00FF04C3"/>
    <w:rsid w:val="00FF3F6E"/>
    <w:rsid w:val="00FF5462"/>
    <w:rsid w:val="00FF7A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7955B"/>
  <w15:chartTrackingRefBased/>
  <w15:docId w15:val="{6D1AD997-4812-4AD7-B223-3C33B9601A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307C"/>
    <w:pPr>
      <w:spacing w:line="256" w:lineRule="auto"/>
    </w:pPr>
  </w:style>
  <w:style w:type="paragraph" w:styleId="Heading1">
    <w:name w:val="heading 1"/>
    <w:basedOn w:val="Normal"/>
    <w:next w:val="Normal"/>
    <w:link w:val="Heading1Char"/>
    <w:uiPriority w:val="9"/>
    <w:qFormat/>
    <w:rsid w:val="00B61B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296492"/>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296492"/>
    <w:rPr>
      <w:rFonts w:ascii="Times New Roman" w:eastAsia="Times New Roman" w:hAnsi="Times New Roman" w:cs="Times New Roman"/>
      <w:b/>
      <w:bCs/>
      <w:sz w:val="24"/>
      <w:szCs w:val="24"/>
    </w:rPr>
  </w:style>
  <w:style w:type="character" w:styleId="Hyperlink">
    <w:name w:val="Hyperlink"/>
    <w:basedOn w:val="DefaultParagraphFont"/>
    <w:uiPriority w:val="99"/>
    <w:unhideWhenUsed/>
    <w:rsid w:val="00296492"/>
    <w:rPr>
      <w:color w:val="0563C1" w:themeColor="hyperlink"/>
      <w:u w:val="single"/>
    </w:rPr>
  </w:style>
  <w:style w:type="character" w:styleId="FollowedHyperlink">
    <w:name w:val="FollowedHyperlink"/>
    <w:basedOn w:val="DefaultParagraphFont"/>
    <w:uiPriority w:val="99"/>
    <w:semiHidden/>
    <w:unhideWhenUsed/>
    <w:rsid w:val="00296492"/>
    <w:rPr>
      <w:color w:val="954F72" w:themeColor="followedHyperlink"/>
      <w:u w:val="single"/>
    </w:rPr>
  </w:style>
  <w:style w:type="paragraph" w:styleId="ListParagraph">
    <w:name w:val="List Paragraph"/>
    <w:basedOn w:val="Normal"/>
    <w:uiPriority w:val="34"/>
    <w:qFormat/>
    <w:rsid w:val="001A3B0C"/>
    <w:pPr>
      <w:spacing w:after="0" w:line="240" w:lineRule="auto"/>
      <w:ind w:left="720"/>
      <w:contextualSpacing/>
    </w:pPr>
    <w:rPr>
      <w:rFonts w:ascii="Times New Roman" w:eastAsia="Times New Roman" w:hAnsi="Times New Roman" w:cs="Times New Roman"/>
      <w:sz w:val="20"/>
      <w:szCs w:val="20"/>
      <w:lang w:eastAsia="en-GB"/>
    </w:rPr>
  </w:style>
  <w:style w:type="character" w:styleId="UnresolvedMention">
    <w:name w:val="Unresolved Mention"/>
    <w:basedOn w:val="DefaultParagraphFont"/>
    <w:uiPriority w:val="99"/>
    <w:semiHidden/>
    <w:unhideWhenUsed/>
    <w:rsid w:val="00051107"/>
    <w:rPr>
      <w:color w:val="605E5C"/>
      <w:shd w:val="clear" w:color="auto" w:fill="E1DFDD"/>
    </w:rPr>
  </w:style>
  <w:style w:type="paragraph" w:styleId="NormalWeb">
    <w:name w:val="Normal (Web)"/>
    <w:basedOn w:val="Normal"/>
    <w:uiPriority w:val="99"/>
    <w:unhideWhenUsed/>
    <w:rsid w:val="00151A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B61B5E"/>
    <w:rPr>
      <w:rFonts w:asciiTheme="majorHAnsi" w:eastAsiaTheme="majorEastAsia" w:hAnsiTheme="majorHAnsi" w:cstheme="majorBidi"/>
      <w:color w:val="2F5496" w:themeColor="accent1" w:themeShade="BF"/>
      <w:sz w:val="32"/>
      <w:szCs w:val="32"/>
    </w:rPr>
  </w:style>
  <w:style w:type="paragraph" w:customStyle="1" w:styleId="nova-legacy-e-listitem">
    <w:name w:val="nova-legacy-e-list__item"/>
    <w:basedOn w:val="Normal"/>
    <w:rsid w:val="00B61B5E"/>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2B34C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B34C7"/>
    <w:rPr>
      <w:sz w:val="20"/>
      <w:szCs w:val="20"/>
    </w:rPr>
  </w:style>
  <w:style w:type="character" w:styleId="FootnoteReference">
    <w:name w:val="footnote reference"/>
    <w:basedOn w:val="DefaultParagraphFont"/>
    <w:uiPriority w:val="99"/>
    <w:semiHidden/>
    <w:unhideWhenUsed/>
    <w:rsid w:val="002B34C7"/>
    <w:rPr>
      <w:vertAlign w:val="superscript"/>
    </w:rPr>
  </w:style>
  <w:style w:type="paragraph" w:styleId="Header">
    <w:name w:val="header"/>
    <w:basedOn w:val="Normal"/>
    <w:link w:val="HeaderChar"/>
    <w:uiPriority w:val="99"/>
    <w:unhideWhenUsed/>
    <w:rsid w:val="007476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694"/>
  </w:style>
  <w:style w:type="paragraph" w:styleId="Footer">
    <w:name w:val="footer"/>
    <w:basedOn w:val="Normal"/>
    <w:link w:val="FooterChar"/>
    <w:uiPriority w:val="99"/>
    <w:unhideWhenUsed/>
    <w:rsid w:val="007476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694"/>
  </w:style>
  <w:style w:type="paragraph" w:styleId="Caption">
    <w:name w:val="caption"/>
    <w:basedOn w:val="Normal"/>
    <w:next w:val="Normal"/>
    <w:uiPriority w:val="35"/>
    <w:unhideWhenUsed/>
    <w:qFormat/>
    <w:rsid w:val="00333ABE"/>
    <w:pPr>
      <w:spacing w:after="200" w:line="240" w:lineRule="auto"/>
    </w:pPr>
    <w:rPr>
      <w:i/>
      <w:iCs/>
      <w:color w:val="44546A" w:themeColor="text2"/>
      <w:sz w:val="18"/>
      <w:szCs w:val="18"/>
    </w:rPr>
  </w:style>
  <w:style w:type="paragraph" w:customStyle="1" w:styleId="content-meta-dataauthors">
    <w:name w:val="content-meta-data__authors"/>
    <w:basedOn w:val="Normal"/>
    <w:rsid w:val="0032103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377328">
      <w:bodyDiv w:val="1"/>
      <w:marLeft w:val="0"/>
      <w:marRight w:val="0"/>
      <w:marTop w:val="0"/>
      <w:marBottom w:val="0"/>
      <w:divBdr>
        <w:top w:val="none" w:sz="0" w:space="0" w:color="auto"/>
        <w:left w:val="none" w:sz="0" w:space="0" w:color="auto"/>
        <w:bottom w:val="none" w:sz="0" w:space="0" w:color="auto"/>
        <w:right w:val="none" w:sz="0" w:space="0" w:color="auto"/>
      </w:divBdr>
      <w:divsChild>
        <w:div w:id="1403404224">
          <w:marLeft w:val="0"/>
          <w:marRight w:val="0"/>
          <w:marTop w:val="0"/>
          <w:marBottom w:val="75"/>
          <w:divBdr>
            <w:top w:val="none" w:sz="0" w:space="0" w:color="auto"/>
            <w:left w:val="none" w:sz="0" w:space="0" w:color="auto"/>
            <w:bottom w:val="none" w:sz="0" w:space="0" w:color="auto"/>
            <w:right w:val="none" w:sz="0" w:space="0" w:color="auto"/>
          </w:divBdr>
        </w:div>
        <w:div w:id="1697735930">
          <w:marLeft w:val="0"/>
          <w:marRight w:val="0"/>
          <w:marTop w:val="0"/>
          <w:marBottom w:val="75"/>
          <w:divBdr>
            <w:top w:val="none" w:sz="0" w:space="0" w:color="auto"/>
            <w:left w:val="none" w:sz="0" w:space="0" w:color="auto"/>
            <w:bottom w:val="none" w:sz="0" w:space="0" w:color="auto"/>
            <w:right w:val="none" w:sz="0" w:space="0" w:color="auto"/>
          </w:divBdr>
        </w:div>
      </w:divsChild>
    </w:div>
    <w:div w:id="202333179">
      <w:bodyDiv w:val="1"/>
      <w:marLeft w:val="0"/>
      <w:marRight w:val="0"/>
      <w:marTop w:val="0"/>
      <w:marBottom w:val="0"/>
      <w:divBdr>
        <w:top w:val="none" w:sz="0" w:space="0" w:color="auto"/>
        <w:left w:val="none" w:sz="0" w:space="0" w:color="auto"/>
        <w:bottom w:val="none" w:sz="0" w:space="0" w:color="auto"/>
        <w:right w:val="none" w:sz="0" w:space="0" w:color="auto"/>
      </w:divBdr>
    </w:div>
    <w:div w:id="472335383">
      <w:bodyDiv w:val="1"/>
      <w:marLeft w:val="0"/>
      <w:marRight w:val="0"/>
      <w:marTop w:val="0"/>
      <w:marBottom w:val="0"/>
      <w:divBdr>
        <w:top w:val="none" w:sz="0" w:space="0" w:color="auto"/>
        <w:left w:val="none" w:sz="0" w:space="0" w:color="auto"/>
        <w:bottom w:val="none" w:sz="0" w:space="0" w:color="auto"/>
        <w:right w:val="none" w:sz="0" w:space="0" w:color="auto"/>
      </w:divBdr>
    </w:div>
    <w:div w:id="591476292">
      <w:bodyDiv w:val="1"/>
      <w:marLeft w:val="0"/>
      <w:marRight w:val="0"/>
      <w:marTop w:val="0"/>
      <w:marBottom w:val="0"/>
      <w:divBdr>
        <w:top w:val="none" w:sz="0" w:space="0" w:color="auto"/>
        <w:left w:val="none" w:sz="0" w:space="0" w:color="auto"/>
        <w:bottom w:val="none" w:sz="0" w:space="0" w:color="auto"/>
        <w:right w:val="none" w:sz="0" w:space="0" w:color="auto"/>
      </w:divBdr>
    </w:div>
    <w:div w:id="690037827">
      <w:bodyDiv w:val="1"/>
      <w:marLeft w:val="0"/>
      <w:marRight w:val="0"/>
      <w:marTop w:val="0"/>
      <w:marBottom w:val="0"/>
      <w:divBdr>
        <w:top w:val="none" w:sz="0" w:space="0" w:color="auto"/>
        <w:left w:val="none" w:sz="0" w:space="0" w:color="auto"/>
        <w:bottom w:val="none" w:sz="0" w:space="0" w:color="auto"/>
        <w:right w:val="none" w:sz="0" w:space="0" w:color="auto"/>
      </w:divBdr>
      <w:divsChild>
        <w:div w:id="1366515964">
          <w:marLeft w:val="0"/>
          <w:marRight w:val="0"/>
          <w:marTop w:val="0"/>
          <w:marBottom w:val="0"/>
          <w:divBdr>
            <w:top w:val="none" w:sz="0" w:space="0" w:color="auto"/>
            <w:left w:val="none" w:sz="0" w:space="0" w:color="auto"/>
            <w:bottom w:val="none" w:sz="0" w:space="0" w:color="auto"/>
            <w:right w:val="none" w:sz="0" w:space="0" w:color="auto"/>
          </w:divBdr>
        </w:div>
        <w:div w:id="1848641114">
          <w:marLeft w:val="0"/>
          <w:marRight w:val="0"/>
          <w:marTop w:val="0"/>
          <w:marBottom w:val="0"/>
          <w:divBdr>
            <w:top w:val="none" w:sz="0" w:space="0" w:color="auto"/>
            <w:left w:val="none" w:sz="0" w:space="0" w:color="auto"/>
            <w:bottom w:val="none" w:sz="0" w:space="0" w:color="auto"/>
            <w:right w:val="none" w:sz="0" w:space="0" w:color="auto"/>
          </w:divBdr>
          <w:divsChild>
            <w:div w:id="1885865834">
              <w:marLeft w:val="0"/>
              <w:marRight w:val="0"/>
              <w:marTop w:val="0"/>
              <w:marBottom w:val="0"/>
              <w:divBdr>
                <w:top w:val="none" w:sz="0" w:space="0" w:color="auto"/>
                <w:left w:val="none" w:sz="0" w:space="0" w:color="auto"/>
                <w:bottom w:val="none" w:sz="0" w:space="0" w:color="auto"/>
                <w:right w:val="none" w:sz="0" w:space="0" w:color="auto"/>
              </w:divBdr>
              <w:divsChild>
                <w:div w:id="1043870336">
                  <w:marLeft w:val="0"/>
                  <w:marRight w:val="0"/>
                  <w:marTop w:val="0"/>
                  <w:marBottom w:val="0"/>
                  <w:divBdr>
                    <w:top w:val="none" w:sz="0" w:space="0" w:color="auto"/>
                    <w:left w:val="none" w:sz="0" w:space="0" w:color="auto"/>
                    <w:bottom w:val="none" w:sz="0" w:space="0" w:color="auto"/>
                    <w:right w:val="none" w:sz="0" w:space="0" w:color="auto"/>
                  </w:divBdr>
                </w:div>
                <w:div w:id="162006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423005">
      <w:bodyDiv w:val="1"/>
      <w:marLeft w:val="0"/>
      <w:marRight w:val="0"/>
      <w:marTop w:val="0"/>
      <w:marBottom w:val="0"/>
      <w:divBdr>
        <w:top w:val="none" w:sz="0" w:space="0" w:color="auto"/>
        <w:left w:val="none" w:sz="0" w:space="0" w:color="auto"/>
        <w:bottom w:val="none" w:sz="0" w:space="0" w:color="auto"/>
        <w:right w:val="none" w:sz="0" w:space="0" w:color="auto"/>
      </w:divBdr>
    </w:div>
    <w:div w:id="1563523895">
      <w:bodyDiv w:val="1"/>
      <w:marLeft w:val="0"/>
      <w:marRight w:val="0"/>
      <w:marTop w:val="0"/>
      <w:marBottom w:val="0"/>
      <w:divBdr>
        <w:top w:val="none" w:sz="0" w:space="0" w:color="auto"/>
        <w:left w:val="none" w:sz="0" w:space="0" w:color="auto"/>
        <w:bottom w:val="none" w:sz="0" w:space="0" w:color="auto"/>
        <w:right w:val="none" w:sz="0" w:space="0" w:color="auto"/>
      </w:divBdr>
      <w:divsChild>
        <w:div w:id="433671610">
          <w:marLeft w:val="0"/>
          <w:marRight w:val="0"/>
          <w:marTop w:val="0"/>
          <w:marBottom w:val="60"/>
          <w:divBdr>
            <w:top w:val="none" w:sz="0" w:space="0" w:color="auto"/>
            <w:left w:val="none" w:sz="0" w:space="0" w:color="auto"/>
            <w:bottom w:val="none" w:sz="0" w:space="0" w:color="auto"/>
            <w:right w:val="none" w:sz="0" w:space="0" w:color="auto"/>
          </w:divBdr>
        </w:div>
      </w:divsChild>
    </w:div>
    <w:div w:id="1778715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stable/24408684" TargetMode="External"/><Relationship Id="rId18" Type="http://schemas.openxmlformats.org/officeDocument/2006/relationships/hyperlink" Target="https://www.perlego.com/book/1567467/women-in-antiquity-real-women-across-the-ancient-world"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pure.manchester.ac.uk/ws/portalfiles/portal/194688461/FULL_TEXT.PDF" TargetMode="External"/><Relationship Id="rId17" Type="http://schemas.openxmlformats.org/officeDocument/2006/relationships/hyperlink" Target="https://www.academia.edu/2054310/Households_through_a_Digital_Lens" TargetMode="External"/><Relationship Id="rId2" Type="http://schemas.openxmlformats.org/officeDocument/2006/relationships/numbering" Target="numbering.xml"/><Relationship Id="rId16" Type="http://schemas.openxmlformats.org/officeDocument/2006/relationships/hyperlink" Target="https://www.researchgate.net/publication/308961870_Households_with_Faces_the_challenge_of_gender_in_prehistoric_architectural_remains_1991" TargetMode="External"/><Relationship Id="rId20" Type="http://schemas.openxmlformats.org/officeDocument/2006/relationships/hyperlink" Target="https://www.uni-muenster.de/ZypernInstitut/en/publikationen/publikat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rlego.com/book/1567467/women-in-antiquity-real-women-across-the-ancient-world" TargetMode="External"/><Relationship Id="rId5" Type="http://schemas.openxmlformats.org/officeDocument/2006/relationships/webSettings" Target="webSettings.xml"/><Relationship Id="rId15" Type="http://schemas.openxmlformats.org/officeDocument/2006/relationships/hyperlink" Target="https://www.perlego.com/book/1567467/women-in-antiquity-real-women-across-the-ancient-world" TargetMode="External"/><Relationship Id="rId23" Type="http://schemas.openxmlformats.org/officeDocument/2006/relationships/theme" Target="theme/theme1.xml"/><Relationship Id="rId10" Type="http://schemas.openxmlformats.org/officeDocument/2006/relationships/hyperlink" Target="https://www.perlego.com/book/1567467/women-in-antiquity-real-women-across-the-ancient-world" TargetMode="External"/><Relationship Id="rId19" Type="http://schemas.openxmlformats.org/officeDocument/2006/relationships/hyperlink" Target="https://www.semanticscholar.org/paper/Dedications-in-clay-%3A-terracotta-figurines-in-early-Averett/143385c21714b08f70d68bdc0d45c5c34ee4307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uni-muenster.de/ZypernInstitut/en/publikationen/publikatio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A57FC-2D7E-4E8A-9769-42A7AEA62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2678</TotalTime>
  <Pages>11</Pages>
  <Words>3294</Words>
  <Characters>18780</Characters>
  <Application>Microsoft Office Word</Application>
  <DocSecurity>0</DocSecurity>
  <Lines>156</Lines>
  <Paragraphs>44</Paragraphs>
  <ScaleCrop>false</ScaleCrop>
  <Company/>
  <LinksUpToDate>false</LinksUpToDate>
  <CharactersWithSpaces>22030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Harding (2204345)</dc:creator>
  <cp:keywords/>
  <dc:description/>
  <cp:lastModifiedBy>Lucy Harding (2204345)</cp:lastModifiedBy>
  <cp:revision>834</cp:revision>
  <dcterms:created xsi:type="dcterms:W3CDTF">2023-12-27T18:00:00Z</dcterms:created>
  <dcterms:modified xsi:type="dcterms:W3CDTF">2024-01-16T00:09:00Z</dcterms:modified>
</cp:coreProperties>
</file>