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A694E" w14:textId="37131881" w:rsidR="00DA2019" w:rsidRPr="00DA2019" w:rsidRDefault="00DA2019" w:rsidP="00DA2019">
      <w:pPr>
        <w:pStyle w:val="NormalWeb"/>
        <w:jc w:val="center"/>
        <w:rPr>
          <w:sz w:val="36"/>
          <w:szCs w:val="36"/>
        </w:rPr>
      </w:pPr>
      <w:r w:rsidRPr="00DA2019">
        <w:rPr>
          <w:sz w:val="36"/>
          <w:szCs w:val="36"/>
        </w:rPr>
        <w:t xml:space="preserve">Lenuta Raducanu </w:t>
      </w:r>
    </w:p>
    <w:p w14:paraId="7920930E" w14:textId="6600DFF0" w:rsidR="00DA2019" w:rsidRPr="00DA2019" w:rsidRDefault="00DA2019" w:rsidP="00DA2019">
      <w:pPr>
        <w:pStyle w:val="NormalWeb"/>
        <w:jc w:val="center"/>
        <w:rPr>
          <w:sz w:val="36"/>
          <w:szCs w:val="36"/>
        </w:rPr>
      </w:pPr>
      <w:r w:rsidRPr="00DA2019">
        <w:rPr>
          <w:sz w:val="36"/>
          <w:szCs w:val="36"/>
        </w:rPr>
        <w:t xml:space="preserve">Module: HPRS </w:t>
      </w:r>
      <w:r w:rsidR="00496B57" w:rsidRPr="00DA2019">
        <w:rPr>
          <w:sz w:val="36"/>
          <w:szCs w:val="36"/>
        </w:rPr>
        <w:t>4905:</w:t>
      </w:r>
      <w:r w:rsidRPr="00DA2019">
        <w:rPr>
          <w:sz w:val="36"/>
          <w:szCs w:val="36"/>
        </w:rPr>
        <w:t xml:space="preserve"> Introduction to Hebrew Bible </w:t>
      </w:r>
    </w:p>
    <w:p w14:paraId="0604B3A4" w14:textId="6481B1C6" w:rsidR="00DA2019" w:rsidRPr="00DA2019" w:rsidRDefault="00DA2019" w:rsidP="00DA2019">
      <w:pPr>
        <w:pStyle w:val="NormalWeb"/>
        <w:jc w:val="center"/>
        <w:rPr>
          <w:sz w:val="36"/>
          <w:szCs w:val="36"/>
        </w:rPr>
      </w:pPr>
      <w:r w:rsidRPr="00DA2019">
        <w:rPr>
          <w:sz w:val="36"/>
          <w:szCs w:val="36"/>
        </w:rPr>
        <w:t xml:space="preserve">Essay -The importance of King David in the Hebrew Bible </w:t>
      </w:r>
    </w:p>
    <w:p w14:paraId="3262E094" w14:textId="77777777" w:rsidR="00DA2019" w:rsidRDefault="00DA2019" w:rsidP="00DA2019">
      <w:pPr>
        <w:pStyle w:val="NormalWeb"/>
        <w:jc w:val="center"/>
        <w:rPr>
          <w:sz w:val="28"/>
          <w:szCs w:val="28"/>
        </w:rPr>
      </w:pPr>
    </w:p>
    <w:p w14:paraId="599BAEF6" w14:textId="77777777" w:rsidR="00DA2019" w:rsidRDefault="00DA2019" w:rsidP="00DA2019">
      <w:pPr>
        <w:pStyle w:val="NormalWeb"/>
        <w:jc w:val="center"/>
        <w:rPr>
          <w:sz w:val="28"/>
          <w:szCs w:val="28"/>
        </w:rPr>
      </w:pPr>
    </w:p>
    <w:p w14:paraId="7BE2C632" w14:textId="77777777" w:rsidR="00DA2019" w:rsidRDefault="00DA2019" w:rsidP="00DA2019">
      <w:pPr>
        <w:pStyle w:val="NormalWeb"/>
        <w:jc w:val="center"/>
        <w:rPr>
          <w:sz w:val="28"/>
          <w:szCs w:val="28"/>
        </w:rPr>
      </w:pPr>
    </w:p>
    <w:p w14:paraId="4B35F598" w14:textId="4493F9CB" w:rsidR="00DA2019" w:rsidRPr="00DA2019" w:rsidRDefault="00480754" w:rsidP="00DA2019">
      <w:pPr>
        <w:pStyle w:val="NormalWeb"/>
        <w:jc w:val="center"/>
        <w:rPr>
          <w:b/>
          <w:bCs/>
          <w:sz w:val="28"/>
          <w:szCs w:val="28"/>
        </w:rPr>
      </w:pPr>
      <w:r w:rsidRPr="00DA2019">
        <w:rPr>
          <w:b/>
          <w:bCs/>
          <w:sz w:val="28"/>
          <w:szCs w:val="28"/>
        </w:rPr>
        <w:t xml:space="preserve">King David: </w:t>
      </w:r>
    </w:p>
    <w:p w14:paraId="1F104D2D" w14:textId="1B634AB6" w:rsidR="00480754" w:rsidRPr="00DA2019" w:rsidRDefault="00480754" w:rsidP="00DA2019">
      <w:pPr>
        <w:pStyle w:val="NormalWeb"/>
        <w:jc w:val="center"/>
        <w:rPr>
          <w:b/>
          <w:bCs/>
          <w:sz w:val="28"/>
          <w:szCs w:val="28"/>
        </w:rPr>
      </w:pPr>
      <w:r w:rsidRPr="00DA2019">
        <w:rPr>
          <w:b/>
          <w:bCs/>
          <w:sz w:val="28"/>
          <w:szCs w:val="28"/>
        </w:rPr>
        <w:t>The Real Life of the Man Who Ruled Israel</w:t>
      </w:r>
    </w:p>
    <w:p w14:paraId="4F6D7982" w14:textId="77777777" w:rsidR="00480754" w:rsidRPr="00496B57" w:rsidRDefault="00480754" w:rsidP="00480754">
      <w:pPr>
        <w:pStyle w:val="NormalWeb"/>
        <w:rPr>
          <w:sz w:val="28"/>
          <w:szCs w:val="28"/>
        </w:rPr>
      </w:pPr>
      <w:r w:rsidRPr="00496B57">
        <w:rPr>
          <w:sz w:val="28"/>
          <w:szCs w:val="28"/>
        </w:rPr>
        <w:t>King David looms in the Jewish Bible as a complex figure who in many ways defies the conventional historical narrative. David’s role as a political and religious leader, as well as a literary figure, offers such a rich tapestry through which to investigate leadership in a sacred setting. His transition from an obscure shepherd to the sovereign of Israel is a troubling movement associated with the vicissitudes of power, particularly when it is believed that divine favour and moral virtue should be found with the power. David’s tale is not merely crucial in the shaping of the Israelite kingship but also operates as a prism through which the interaction of power, duty and divine mandate is beamed. ¹</w:t>
      </w:r>
    </w:p>
    <w:p w14:paraId="35DB58FA" w14:textId="77777777" w:rsidR="00480754" w:rsidRPr="00496B57" w:rsidRDefault="00480754" w:rsidP="00480754">
      <w:pPr>
        <w:pStyle w:val="NormalWeb"/>
        <w:rPr>
          <w:sz w:val="28"/>
          <w:szCs w:val="28"/>
        </w:rPr>
      </w:pPr>
      <w:r w:rsidRPr="00496B57">
        <w:rPr>
          <w:sz w:val="28"/>
          <w:szCs w:val="28"/>
        </w:rPr>
        <w:t>Politically, David’s reign resulted in the contraction of Israel from an archipelago of tribes into a coherent political state. This metamorphosis was based on military power, alliances and political skill, which have enlarged its territory and enhanced its stature among the nations of that region. David’s diplomacy and insight into power dynamics within tribes are displayed in his dealings with figures such as Saul and Absalom, illustrating the conflict between personal ambition and the social good. A leader sometimes good, sometimes bad, he embodies in the extremes of rule the yoke of Jewish sovereignty. ²</w:t>
      </w:r>
    </w:p>
    <w:p w14:paraId="3AF1461D" w14:textId="77777777" w:rsidR="00480754" w:rsidRPr="00496B57" w:rsidRDefault="00480754" w:rsidP="00480754">
      <w:pPr>
        <w:pStyle w:val="NormalWeb"/>
        <w:rPr>
          <w:sz w:val="28"/>
          <w:szCs w:val="28"/>
        </w:rPr>
      </w:pPr>
      <w:r w:rsidRPr="00496B57">
        <w:rPr>
          <w:sz w:val="28"/>
          <w:szCs w:val="28"/>
        </w:rPr>
        <w:t xml:space="preserve">On the spiritual side, King David is seen by many Christians as the model of God’s chosen beloved who is intimately connected to God, with the Psalms (which are traditionally assigned to him) attesting to that special relationship. These texts express the full spectrum of human experience from joy to sadness, reflecting both communal liturgy and personal devotional experience. David’s repentance at the time of his sin, specifically the Bathsheba incident, is an </w:t>
      </w:r>
      <w:r w:rsidRPr="00496B57">
        <w:rPr>
          <w:sz w:val="28"/>
          <w:szCs w:val="28"/>
        </w:rPr>
        <w:lastRenderedPageBreak/>
        <w:t>example of what confession can do and how God can grant mercy. ³ His quest of faith—traditional Jewish apologists can really learn from Tolstoy—has raised fundamental theological questions about sin, divine forgiveness, and human frailty that still loom large over Jewish thought. ⁴</w:t>
      </w:r>
    </w:p>
    <w:p w14:paraId="1ECF234A" w14:textId="77777777" w:rsidR="00480754" w:rsidRPr="00480754" w:rsidRDefault="00480754" w:rsidP="00480754">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480754">
        <w:rPr>
          <w:rFonts w:ascii="Times New Roman" w:eastAsia="Times New Roman" w:hAnsi="Times New Roman" w:cs="Times New Roman"/>
          <w:b/>
          <w:bCs/>
          <w:kern w:val="0"/>
          <w:sz w:val="28"/>
          <w:szCs w:val="28"/>
          <w:lang w:eastAsia="en-GB"/>
          <w14:ligatures w14:val="none"/>
        </w:rPr>
        <w:t>Footnotes</w:t>
      </w:r>
    </w:p>
    <w:p w14:paraId="0B899ECF" w14:textId="77777777" w:rsidR="00480754" w:rsidRPr="00480754" w:rsidRDefault="00480754" w:rsidP="00480754">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John J. Collins, </w:t>
      </w:r>
      <w:r w:rsidRPr="00480754">
        <w:rPr>
          <w:rFonts w:ascii="Times New Roman" w:eastAsia="Times New Roman" w:hAnsi="Times New Roman" w:cs="Times New Roman"/>
          <w:i/>
          <w:iCs/>
          <w:kern w:val="0"/>
          <w:sz w:val="28"/>
          <w:szCs w:val="28"/>
          <w:lang w:eastAsia="en-GB"/>
          <w14:ligatures w14:val="none"/>
        </w:rPr>
        <w:t>Introduction to the Hebrew Bible</w:t>
      </w:r>
      <w:r w:rsidRPr="00480754">
        <w:rPr>
          <w:rFonts w:ascii="Times New Roman" w:eastAsia="Times New Roman" w:hAnsi="Times New Roman" w:cs="Times New Roman"/>
          <w:kern w:val="0"/>
          <w:sz w:val="28"/>
          <w:szCs w:val="28"/>
          <w:lang w:eastAsia="en-GB"/>
          <w14:ligatures w14:val="none"/>
        </w:rPr>
        <w:t xml:space="preserve"> (Augsburg Fortress Publishers, 2014), p. 235.</w:t>
      </w:r>
    </w:p>
    <w:p w14:paraId="399E2545" w14:textId="77777777" w:rsidR="00480754" w:rsidRPr="00480754" w:rsidRDefault="00480754" w:rsidP="00480754">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Steven L. McKenzie, </w:t>
      </w:r>
      <w:r w:rsidRPr="00480754">
        <w:rPr>
          <w:rFonts w:ascii="Times New Roman" w:eastAsia="Times New Roman" w:hAnsi="Times New Roman" w:cs="Times New Roman"/>
          <w:i/>
          <w:iCs/>
          <w:kern w:val="0"/>
          <w:sz w:val="28"/>
          <w:szCs w:val="28"/>
          <w:lang w:eastAsia="en-GB"/>
          <w14:ligatures w14:val="none"/>
        </w:rPr>
        <w:t>King David: A Biography</w:t>
      </w:r>
      <w:r w:rsidRPr="00480754">
        <w:rPr>
          <w:rFonts w:ascii="Times New Roman" w:eastAsia="Times New Roman" w:hAnsi="Times New Roman" w:cs="Times New Roman"/>
          <w:kern w:val="0"/>
          <w:sz w:val="28"/>
          <w:szCs w:val="28"/>
          <w:lang w:eastAsia="en-GB"/>
          <w14:ligatures w14:val="none"/>
        </w:rPr>
        <w:t xml:space="preserve"> (Oxford University Press, 2000), pp. 118–120.</w:t>
      </w:r>
    </w:p>
    <w:p w14:paraId="03089925" w14:textId="77777777" w:rsidR="00480754" w:rsidRPr="00480754" w:rsidRDefault="00480754" w:rsidP="00480754">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Adam Moore, </w:t>
      </w:r>
      <w:r w:rsidRPr="00480754">
        <w:rPr>
          <w:rFonts w:ascii="Times New Roman" w:eastAsia="Times New Roman" w:hAnsi="Times New Roman" w:cs="Times New Roman"/>
          <w:i/>
          <w:iCs/>
          <w:kern w:val="0"/>
          <w:sz w:val="28"/>
          <w:szCs w:val="28"/>
          <w:lang w:eastAsia="en-GB"/>
          <w14:ligatures w14:val="none"/>
        </w:rPr>
        <w:t>Moving Beyond Symbol and Myth: Understanding the Kingship of God of the Hebrew Bible through Metaphor</w:t>
      </w:r>
      <w:r w:rsidRPr="00480754">
        <w:rPr>
          <w:rFonts w:ascii="Times New Roman" w:eastAsia="Times New Roman" w:hAnsi="Times New Roman" w:cs="Times New Roman"/>
          <w:kern w:val="0"/>
          <w:sz w:val="28"/>
          <w:szCs w:val="28"/>
          <w:lang w:eastAsia="en-GB"/>
          <w14:ligatures w14:val="none"/>
        </w:rPr>
        <w:t xml:space="preserve"> (Peter Lang, 2009), pp. 87–88.</w:t>
      </w:r>
    </w:p>
    <w:p w14:paraId="7BE7C215" w14:textId="77777777" w:rsidR="00480754" w:rsidRPr="00480754" w:rsidRDefault="00480754" w:rsidP="00480754">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David L. Petersen, </w:t>
      </w:r>
      <w:r w:rsidRPr="00480754">
        <w:rPr>
          <w:rFonts w:ascii="Times New Roman" w:eastAsia="Times New Roman" w:hAnsi="Times New Roman" w:cs="Times New Roman"/>
          <w:i/>
          <w:iCs/>
          <w:kern w:val="0"/>
          <w:sz w:val="28"/>
          <w:szCs w:val="28"/>
          <w:lang w:eastAsia="en-GB"/>
          <w14:ligatures w14:val="none"/>
        </w:rPr>
        <w:t>Method Matters: Essays on the Interpretation of the Hebrew Bible in Honour of David L. Petersen</w:t>
      </w:r>
      <w:r w:rsidRPr="00480754">
        <w:rPr>
          <w:rFonts w:ascii="Times New Roman" w:eastAsia="Times New Roman" w:hAnsi="Times New Roman" w:cs="Times New Roman"/>
          <w:kern w:val="0"/>
          <w:sz w:val="28"/>
          <w:szCs w:val="28"/>
          <w:lang w:eastAsia="en-GB"/>
          <w14:ligatures w14:val="none"/>
        </w:rPr>
        <w:t xml:space="preserve"> (Society of Biblical Literature, 2009), p. 74.</w:t>
      </w:r>
    </w:p>
    <w:p w14:paraId="23F8F03B" w14:textId="77777777" w:rsidR="00480754" w:rsidRPr="00496B57" w:rsidRDefault="00480754" w:rsidP="00480754">
      <w:pPr>
        <w:pStyle w:val="NormalWeb"/>
        <w:rPr>
          <w:b/>
          <w:bCs/>
          <w:sz w:val="28"/>
          <w:szCs w:val="28"/>
        </w:rPr>
      </w:pPr>
      <w:r w:rsidRPr="00496B57">
        <w:rPr>
          <w:b/>
          <w:bCs/>
          <w:sz w:val="28"/>
          <w:szCs w:val="28"/>
        </w:rPr>
        <w:t>Political Leadership and National Identity</w:t>
      </w:r>
    </w:p>
    <w:p w14:paraId="2024D97B" w14:textId="77777777" w:rsidR="00480754" w:rsidRPr="00496B57" w:rsidRDefault="00480754" w:rsidP="00480754">
      <w:pPr>
        <w:pStyle w:val="NormalWeb"/>
        <w:rPr>
          <w:sz w:val="28"/>
          <w:szCs w:val="28"/>
        </w:rPr>
      </w:pPr>
      <w:r w:rsidRPr="00496B57">
        <w:rPr>
          <w:sz w:val="28"/>
          <w:szCs w:val="28"/>
        </w:rPr>
        <w:t>The election importance of King David in the Hebrew Bible is reflected in his role as the pivotal model for uniting the twelve tribes of Israel and founding the city of Jerusalem as their economic and political centre of administration. Although this was very necessary in the Bible, it also illustrates David’s shrewd leadership, which changed the political face of ancient Israel. Multifaceted Chieftain The king is drawn as a complex chieftain who has ascended and made his small political base strong and united, which is generally considered a laudable quality for kingship. ¹</w:t>
      </w:r>
    </w:p>
    <w:p w14:paraId="40B8198D" w14:textId="77777777" w:rsidR="00480754" w:rsidRPr="00496B57" w:rsidRDefault="00480754" w:rsidP="00480754">
      <w:pPr>
        <w:pStyle w:val="NormalWeb"/>
        <w:rPr>
          <w:sz w:val="28"/>
          <w:szCs w:val="28"/>
        </w:rPr>
      </w:pPr>
      <w:r w:rsidRPr="00496B57">
        <w:rPr>
          <w:sz w:val="28"/>
          <w:szCs w:val="28"/>
        </w:rPr>
        <w:t xml:space="preserve">David rose to prominence at a time when Israel was fractured, rife with tribal enmity and regional unrest. After Saul’s death, David solidified his own position through diplomacy and military skill. Abner’s clever union with Abigail, the widow of a defected </w:t>
      </w:r>
      <w:proofErr w:type="spellStart"/>
      <w:r w:rsidRPr="00496B57">
        <w:rPr>
          <w:sz w:val="28"/>
          <w:szCs w:val="28"/>
        </w:rPr>
        <w:t>Saulite</w:t>
      </w:r>
      <w:proofErr w:type="spellEnd"/>
      <w:r w:rsidRPr="00496B57">
        <w:rPr>
          <w:sz w:val="28"/>
          <w:szCs w:val="28"/>
        </w:rPr>
        <w:t xml:space="preserve"> commander, helped the two sides come together. ² David’s exploits against the Philistines had already demonstrated his value as a person who could unite the Israelites and yet also guard and conquer the territory.</w:t>
      </w:r>
    </w:p>
    <w:p w14:paraId="71B91634" w14:textId="5C23E889" w:rsidR="00480754" w:rsidRPr="00496B57" w:rsidRDefault="00480754" w:rsidP="00480754">
      <w:pPr>
        <w:pStyle w:val="NormalWeb"/>
        <w:rPr>
          <w:sz w:val="28"/>
          <w:szCs w:val="28"/>
        </w:rPr>
      </w:pPr>
      <w:r w:rsidRPr="00496B57">
        <w:rPr>
          <w:sz w:val="28"/>
          <w:szCs w:val="28"/>
        </w:rPr>
        <w:t xml:space="preserve">One of the most important political and theological achievements of David’s reign was his establishment of Jerusalem as the capital city. Geographically located between the tribal lands, Jerusalem was central and served as a common, neutral rallying point, speaking to the unity of all the tribes and transcending the existing tribal demarcation. ¹ ³ </w:t>
      </w:r>
      <w:r w:rsidR="00496B57" w:rsidRPr="00496B57">
        <w:rPr>
          <w:sz w:val="28"/>
          <w:szCs w:val="28"/>
        </w:rPr>
        <w:t>the</w:t>
      </w:r>
      <w:r w:rsidRPr="00496B57">
        <w:rPr>
          <w:sz w:val="28"/>
          <w:szCs w:val="28"/>
        </w:rPr>
        <w:t xml:space="preserve"> transportation of the Ark of the Covenant to Jerusalem centralised worship and added to the legitimacy of David as a ruler by divine appointment. This act effected the theological </w:t>
      </w:r>
      <w:r w:rsidRPr="00496B57">
        <w:rPr>
          <w:sz w:val="28"/>
          <w:szCs w:val="28"/>
        </w:rPr>
        <w:lastRenderedPageBreak/>
        <w:t>concretisation of his rule in the divine-human relationship of the covenant and associated his kingship with the promises of God to the patriarchs. ⁴</w:t>
      </w:r>
    </w:p>
    <w:p w14:paraId="6495BCE1" w14:textId="77777777" w:rsidR="00480754" w:rsidRPr="00496B57" w:rsidRDefault="00480754" w:rsidP="00480754">
      <w:pPr>
        <w:pStyle w:val="NormalWeb"/>
        <w:rPr>
          <w:sz w:val="28"/>
          <w:szCs w:val="28"/>
        </w:rPr>
      </w:pPr>
      <w:r w:rsidRPr="00496B57">
        <w:rPr>
          <w:sz w:val="28"/>
          <w:szCs w:val="28"/>
        </w:rPr>
        <w:t>David’s double life, as a man of swords and a man of state, was a more sustained guarantor of his status as a biblical exemplar of leadership. His victory over Goliath is a formative line to define his bravery and divine favour, and his ability to maintain loyalty to the tribe and to create an intricate political connection to support them shows the nature of his political skill. ⁵</w:t>
      </w:r>
    </w:p>
    <w:p w14:paraId="2EF8BC8A" w14:textId="0AA422C2" w:rsidR="00480754" w:rsidRPr="00496B57" w:rsidRDefault="00480754" w:rsidP="00480754">
      <w:pPr>
        <w:pStyle w:val="NormalWeb"/>
        <w:rPr>
          <w:sz w:val="28"/>
          <w:szCs w:val="28"/>
        </w:rPr>
      </w:pPr>
      <w:r w:rsidRPr="00496B57">
        <w:rPr>
          <w:sz w:val="28"/>
          <w:szCs w:val="28"/>
        </w:rPr>
        <w:t>This multilayered representation of David reflects the ancient Israelite notion of the ideal king—a king who was not only a powerful military officer and a wise politician but also enjoyed divine favour. Accordingly, his stories not only establish his place on the biblical canvas but also provide a model for leadership throughout Jewish history and theology. ⁶</w:t>
      </w:r>
    </w:p>
    <w:p w14:paraId="04F76B3D" w14:textId="77777777" w:rsidR="00480754" w:rsidRPr="00480754" w:rsidRDefault="00480754" w:rsidP="00480754">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480754">
        <w:rPr>
          <w:rFonts w:ascii="Times New Roman" w:eastAsia="Times New Roman" w:hAnsi="Times New Roman" w:cs="Times New Roman"/>
          <w:b/>
          <w:bCs/>
          <w:kern w:val="0"/>
          <w:sz w:val="28"/>
          <w:szCs w:val="28"/>
          <w:lang w:eastAsia="en-GB"/>
          <w14:ligatures w14:val="none"/>
        </w:rPr>
        <w:t>Footnotes</w:t>
      </w:r>
    </w:p>
    <w:p w14:paraId="22D9BCDB" w14:textId="77777777" w:rsidR="00480754" w:rsidRPr="00480754" w:rsidRDefault="00480754" w:rsidP="00480754">
      <w:pPr>
        <w:numPr>
          <w:ilvl w:val="0"/>
          <w:numId w:val="2"/>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Jacob L. Wright, </w:t>
      </w:r>
      <w:r w:rsidRPr="00480754">
        <w:rPr>
          <w:rFonts w:ascii="Times New Roman" w:eastAsia="Times New Roman" w:hAnsi="Times New Roman" w:cs="Times New Roman"/>
          <w:i/>
          <w:iCs/>
          <w:kern w:val="0"/>
          <w:sz w:val="28"/>
          <w:szCs w:val="28"/>
          <w:lang w:eastAsia="en-GB"/>
          <w14:ligatures w14:val="none"/>
        </w:rPr>
        <w:t>David, King of Israel, and Caleb in Biblical Memory</w:t>
      </w:r>
      <w:r w:rsidRPr="00480754">
        <w:rPr>
          <w:rFonts w:ascii="Times New Roman" w:eastAsia="Times New Roman" w:hAnsi="Times New Roman" w:cs="Times New Roman"/>
          <w:kern w:val="0"/>
          <w:sz w:val="28"/>
          <w:szCs w:val="28"/>
          <w:lang w:eastAsia="en-GB"/>
          <w14:ligatures w14:val="none"/>
        </w:rPr>
        <w:t xml:space="preserve"> (Cambridge University Press, 2014), p. 52.</w:t>
      </w:r>
    </w:p>
    <w:p w14:paraId="162EF228" w14:textId="77777777" w:rsidR="00480754" w:rsidRPr="00480754" w:rsidRDefault="00480754" w:rsidP="00480754">
      <w:pPr>
        <w:numPr>
          <w:ilvl w:val="0"/>
          <w:numId w:val="2"/>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J. Van Seters, </w:t>
      </w:r>
      <w:r w:rsidRPr="00480754">
        <w:rPr>
          <w:rFonts w:ascii="Times New Roman" w:eastAsia="Times New Roman" w:hAnsi="Times New Roman" w:cs="Times New Roman"/>
          <w:i/>
          <w:iCs/>
          <w:kern w:val="0"/>
          <w:sz w:val="28"/>
          <w:szCs w:val="28"/>
          <w:lang w:eastAsia="en-GB"/>
          <w14:ligatures w14:val="none"/>
        </w:rPr>
        <w:t>The Biblical Saga of King David</w:t>
      </w:r>
      <w:r w:rsidRPr="00480754">
        <w:rPr>
          <w:rFonts w:ascii="Times New Roman" w:eastAsia="Times New Roman" w:hAnsi="Times New Roman" w:cs="Times New Roman"/>
          <w:kern w:val="0"/>
          <w:sz w:val="28"/>
          <w:szCs w:val="28"/>
          <w:lang w:eastAsia="en-GB"/>
          <w14:ligatures w14:val="none"/>
        </w:rPr>
        <w:t xml:space="preserve"> (Penn State Press, 2009), pp. 108–109.</w:t>
      </w:r>
    </w:p>
    <w:p w14:paraId="220C9EC8" w14:textId="77777777" w:rsidR="00480754" w:rsidRPr="00480754" w:rsidRDefault="00480754" w:rsidP="00480754">
      <w:pPr>
        <w:numPr>
          <w:ilvl w:val="0"/>
          <w:numId w:val="2"/>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Ibid., pp. 117–118.</w:t>
      </w:r>
    </w:p>
    <w:p w14:paraId="5934259D" w14:textId="77777777" w:rsidR="00480754" w:rsidRPr="00480754" w:rsidRDefault="00480754" w:rsidP="00480754">
      <w:pPr>
        <w:numPr>
          <w:ilvl w:val="0"/>
          <w:numId w:val="2"/>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Wright, </w:t>
      </w:r>
      <w:r w:rsidRPr="00480754">
        <w:rPr>
          <w:rFonts w:ascii="Times New Roman" w:eastAsia="Times New Roman" w:hAnsi="Times New Roman" w:cs="Times New Roman"/>
          <w:i/>
          <w:iCs/>
          <w:kern w:val="0"/>
          <w:sz w:val="28"/>
          <w:szCs w:val="28"/>
          <w:lang w:eastAsia="en-GB"/>
          <w14:ligatures w14:val="none"/>
        </w:rPr>
        <w:t>David, King of Israel</w:t>
      </w:r>
      <w:r w:rsidRPr="00480754">
        <w:rPr>
          <w:rFonts w:ascii="Times New Roman" w:eastAsia="Times New Roman" w:hAnsi="Times New Roman" w:cs="Times New Roman"/>
          <w:kern w:val="0"/>
          <w:sz w:val="28"/>
          <w:szCs w:val="28"/>
          <w:lang w:eastAsia="en-GB"/>
          <w14:ligatures w14:val="none"/>
        </w:rPr>
        <w:t>, pp. 74–75.</w:t>
      </w:r>
    </w:p>
    <w:p w14:paraId="4093D266" w14:textId="77777777" w:rsidR="00480754" w:rsidRPr="00480754" w:rsidRDefault="00480754" w:rsidP="00480754">
      <w:pPr>
        <w:numPr>
          <w:ilvl w:val="0"/>
          <w:numId w:val="2"/>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Steven L. McKenzie, </w:t>
      </w:r>
      <w:r w:rsidRPr="00480754">
        <w:rPr>
          <w:rFonts w:ascii="Times New Roman" w:eastAsia="Times New Roman" w:hAnsi="Times New Roman" w:cs="Times New Roman"/>
          <w:i/>
          <w:iCs/>
          <w:kern w:val="0"/>
          <w:sz w:val="28"/>
          <w:szCs w:val="28"/>
          <w:lang w:eastAsia="en-GB"/>
          <w14:ligatures w14:val="none"/>
        </w:rPr>
        <w:t>King David: A Biography</w:t>
      </w:r>
      <w:r w:rsidRPr="00480754">
        <w:rPr>
          <w:rFonts w:ascii="Times New Roman" w:eastAsia="Times New Roman" w:hAnsi="Times New Roman" w:cs="Times New Roman"/>
          <w:kern w:val="0"/>
          <w:sz w:val="28"/>
          <w:szCs w:val="28"/>
          <w:lang w:eastAsia="en-GB"/>
          <w14:ligatures w14:val="none"/>
        </w:rPr>
        <w:t xml:space="preserve"> (Oxford University Press, 2000), pp. 59–63.</w:t>
      </w:r>
    </w:p>
    <w:p w14:paraId="01FB6F25" w14:textId="77777777" w:rsidR="00480754" w:rsidRPr="00480754" w:rsidRDefault="00480754" w:rsidP="00480754">
      <w:pPr>
        <w:numPr>
          <w:ilvl w:val="0"/>
          <w:numId w:val="2"/>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John J. Collins, </w:t>
      </w:r>
      <w:r w:rsidRPr="00480754">
        <w:rPr>
          <w:rFonts w:ascii="Times New Roman" w:eastAsia="Times New Roman" w:hAnsi="Times New Roman" w:cs="Times New Roman"/>
          <w:i/>
          <w:iCs/>
          <w:kern w:val="0"/>
          <w:sz w:val="28"/>
          <w:szCs w:val="28"/>
          <w:lang w:eastAsia="en-GB"/>
          <w14:ligatures w14:val="none"/>
        </w:rPr>
        <w:t>Introduction to the Hebrew Bible</w:t>
      </w:r>
      <w:r w:rsidRPr="00480754">
        <w:rPr>
          <w:rFonts w:ascii="Times New Roman" w:eastAsia="Times New Roman" w:hAnsi="Times New Roman" w:cs="Times New Roman"/>
          <w:kern w:val="0"/>
          <w:sz w:val="28"/>
          <w:szCs w:val="28"/>
          <w:lang w:eastAsia="en-GB"/>
          <w14:ligatures w14:val="none"/>
        </w:rPr>
        <w:t xml:space="preserve"> (Augsburg Fortress Publishers, 2014), p. 238.</w:t>
      </w:r>
    </w:p>
    <w:p w14:paraId="2A90784E" w14:textId="77777777" w:rsidR="00480754" w:rsidRPr="00496B57" w:rsidRDefault="00480754" w:rsidP="00480754">
      <w:pPr>
        <w:pStyle w:val="NormalWeb"/>
        <w:rPr>
          <w:b/>
          <w:bCs/>
          <w:sz w:val="28"/>
          <w:szCs w:val="28"/>
        </w:rPr>
      </w:pPr>
      <w:r w:rsidRPr="00496B57">
        <w:rPr>
          <w:b/>
          <w:bCs/>
          <w:sz w:val="28"/>
          <w:szCs w:val="28"/>
        </w:rPr>
        <w:t>Spiritual Legacy and Theological Depth</w:t>
      </w:r>
    </w:p>
    <w:p w14:paraId="03640FD2" w14:textId="77777777" w:rsidR="00480754" w:rsidRPr="00496B57" w:rsidRDefault="00480754" w:rsidP="00480754">
      <w:pPr>
        <w:pStyle w:val="NormalWeb"/>
        <w:rPr>
          <w:sz w:val="28"/>
          <w:szCs w:val="28"/>
        </w:rPr>
      </w:pPr>
      <w:r w:rsidRPr="00496B57">
        <w:rPr>
          <w:sz w:val="28"/>
          <w:szCs w:val="28"/>
        </w:rPr>
        <w:t>The spiritual dimension of David in the Hebrew Bible is based on his intimate and ongoing relationship with God. David, as both Yahweh's anointed and a thoroughly human personality, represents a theological tension: he is both a perfect king and a penitent pole alike. The most intense record of his spiritual pilgrimage is found in the Psalms, about half of which are assigned to him and are sincere utterances of his own inner emotional life and aspiration. ¹</w:t>
      </w:r>
    </w:p>
    <w:p w14:paraId="30BFA9B5" w14:textId="77777777" w:rsidR="00480754" w:rsidRPr="00496B57" w:rsidRDefault="00480754" w:rsidP="00480754">
      <w:pPr>
        <w:pStyle w:val="NormalWeb"/>
        <w:rPr>
          <w:sz w:val="28"/>
          <w:szCs w:val="28"/>
        </w:rPr>
      </w:pPr>
      <w:r w:rsidRPr="00496B57">
        <w:rPr>
          <w:sz w:val="28"/>
          <w:szCs w:val="28"/>
        </w:rPr>
        <w:t xml:space="preserve">The Psalms express every human emotion: from despair to exultation, from hope to despair, from melancholy to a sense of peace, from joy to sorrow, from relief to anger, from moral outrage to peace of mind. Furthermore, they are both the spiritual cornerstone of Jewish worship and the fabric of Jewish private meditation. For example, Psalm 51 has historically been associated with David after his adultery with Bathsheba and the orchestrated death of her spouse Uriah. ² This Psalm serves as David’s earnest prayer for mercy, honest </w:t>
      </w:r>
      <w:r w:rsidRPr="00496B57">
        <w:rPr>
          <w:sz w:val="28"/>
          <w:szCs w:val="28"/>
        </w:rPr>
        <w:lastRenderedPageBreak/>
        <w:t>confession of sin, and plea for spiritual renewal and redemption, presenting the church with a theological portrait for true repentance for thousands of years. ³</w:t>
      </w:r>
    </w:p>
    <w:p w14:paraId="43DE43FE" w14:textId="13E24F0A" w:rsidR="00480754" w:rsidRPr="00496B57" w:rsidRDefault="00480754" w:rsidP="00480754">
      <w:pPr>
        <w:pStyle w:val="NormalWeb"/>
        <w:rPr>
          <w:sz w:val="28"/>
          <w:szCs w:val="28"/>
        </w:rPr>
      </w:pPr>
      <w:r w:rsidRPr="00496B57">
        <w:rPr>
          <w:sz w:val="28"/>
          <w:szCs w:val="28"/>
        </w:rPr>
        <w:t xml:space="preserve">David’s remorse and his repentance after his moral collapses remain one of the major components of Jewish spirituality: mocking divine mercy to judge himself and the rulers themselves. This representation of David puts forth a form of leadership that does not flatten vulnerability but that integrates it within a redemptive history characterised by the compassion of God. His retracing to God parallels theological reflection along the contours of the permanence of divine grace and human </w:t>
      </w:r>
      <w:r w:rsidR="00496B57" w:rsidRPr="00496B57">
        <w:rPr>
          <w:sz w:val="28"/>
          <w:szCs w:val="28"/>
        </w:rPr>
        <w:t>frailty. Accordingly</w:t>
      </w:r>
      <w:r w:rsidRPr="00496B57">
        <w:rPr>
          <w:sz w:val="28"/>
          <w:szCs w:val="28"/>
        </w:rPr>
        <w:t>, there seems to be an implicit correspondence drawn between God and the return.</w:t>
      </w:r>
    </w:p>
    <w:p w14:paraId="40E34CCD" w14:textId="2BB4DE85" w:rsidR="00480754" w:rsidRPr="00496B57" w:rsidRDefault="00480754" w:rsidP="00480754">
      <w:pPr>
        <w:pStyle w:val="NormalWeb"/>
        <w:rPr>
          <w:sz w:val="28"/>
          <w:szCs w:val="28"/>
        </w:rPr>
      </w:pPr>
      <w:r w:rsidRPr="00496B57">
        <w:rPr>
          <w:sz w:val="28"/>
          <w:szCs w:val="28"/>
        </w:rPr>
        <w:t xml:space="preserve">Moreover, David’s kingship has theological significance on more than just an individual level of righteousness. Since God is his king, his kingdom is frequently regarded as a divine institution whose essence is that of a pledge in the theology of Israel’s sacred past. However, his ethical lapses call into question the idea that divine favour leads to moral perfection, creating an opening for a more complex view of the chosen. ⁵ </w:t>
      </w:r>
      <w:r w:rsidR="00496B57" w:rsidRPr="00496B57">
        <w:rPr>
          <w:sz w:val="28"/>
          <w:szCs w:val="28"/>
        </w:rPr>
        <w:t>in</w:t>
      </w:r>
      <w:r w:rsidRPr="00496B57">
        <w:rPr>
          <w:sz w:val="28"/>
          <w:szCs w:val="28"/>
        </w:rPr>
        <w:t xml:space="preserve"> the chasm between divine love and human failure, David appears as an enduring character of theological weight—whose life provokes us to ponder the implications of divine choice.</w:t>
      </w:r>
    </w:p>
    <w:p w14:paraId="6B063308" w14:textId="4BCAE647" w:rsidR="00480754" w:rsidRPr="00496B57" w:rsidRDefault="00480754" w:rsidP="00480754">
      <w:pPr>
        <w:pStyle w:val="NormalWeb"/>
        <w:rPr>
          <w:sz w:val="28"/>
          <w:szCs w:val="28"/>
        </w:rPr>
      </w:pPr>
      <w:r w:rsidRPr="00496B57">
        <w:rPr>
          <w:sz w:val="28"/>
          <w:szCs w:val="28"/>
        </w:rPr>
        <w:t xml:space="preserve">David’s memory is also perpetuated in messianic hopes within the Jewish tradition. </w:t>
      </w:r>
      <w:r w:rsidR="00496B57" w:rsidRPr="00496B57">
        <w:rPr>
          <w:sz w:val="28"/>
          <w:szCs w:val="28"/>
        </w:rPr>
        <w:t>Davidic:</w:t>
      </w:r>
      <w:r w:rsidRPr="00496B57">
        <w:rPr>
          <w:sz w:val="28"/>
          <w:szCs w:val="28"/>
        </w:rPr>
        <w:t xml:space="preserve"> See Davidic covenant #2_Samuel 7 The Covenant of 2 Samuel 7 promises a permanent dynasty for David, and eventually a messianic figure from David's family. 6 This promise invests David’s reign with eternal theological meaning, associating him with the eschatological hope and spiritual legacy of the Jewish people.</w:t>
      </w:r>
    </w:p>
    <w:p w14:paraId="67E09C96" w14:textId="77777777" w:rsidR="00480754" w:rsidRPr="00496B57" w:rsidRDefault="00480754" w:rsidP="00480754">
      <w:pPr>
        <w:pStyle w:val="NormalWeb"/>
        <w:rPr>
          <w:sz w:val="28"/>
          <w:szCs w:val="28"/>
        </w:rPr>
      </w:pPr>
      <w:r w:rsidRPr="00496B57">
        <w:rPr>
          <w:sz w:val="28"/>
          <w:szCs w:val="28"/>
        </w:rPr>
        <w:t>In the end, David’s complicated spiritual position in the Hebrew Bible highlights the nuance inherent in Jewish theology. His narrative represents the problems of human leadership considering divine governance and demonstrates the redemptive power of repentance. As a religious archetype, David embodies the vulnerability, tenacity, and strength of character that so profoundly influence Jewish religious sensibility. ⁷</w:t>
      </w:r>
    </w:p>
    <w:p w14:paraId="45D3BA4D" w14:textId="77777777" w:rsidR="00480754" w:rsidRPr="00480754" w:rsidRDefault="00480754" w:rsidP="00480754">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480754">
        <w:rPr>
          <w:rFonts w:ascii="Times New Roman" w:eastAsia="Times New Roman" w:hAnsi="Times New Roman" w:cs="Times New Roman"/>
          <w:b/>
          <w:bCs/>
          <w:kern w:val="0"/>
          <w:sz w:val="28"/>
          <w:szCs w:val="28"/>
          <w:lang w:eastAsia="en-GB"/>
          <w14:ligatures w14:val="none"/>
        </w:rPr>
        <w:t>Footnotes</w:t>
      </w:r>
    </w:p>
    <w:p w14:paraId="669EFA3B" w14:textId="77777777" w:rsidR="00480754" w:rsidRPr="00480754" w:rsidRDefault="00480754" w:rsidP="00480754">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Adam Moore, </w:t>
      </w:r>
      <w:r w:rsidRPr="00480754">
        <w:rPr>
          <w:rFonts w:ascii="Times New Roman" w:eastAsia="Times New Roman" w:hAnsi="Times New Roman" w:cs="Times New Roman"/>
          <w:i/>
          <w:iCs/>
          <w:kern w:val="0"/>
          <w:sz w:val="28"/>
          <w:szCs w:val="28"/>
          <w:lang w:eastAsia="en-GB"/>
          <w14:ligatures w14:val="none"/>
        </w:rPr>
        <w:t>Moving Beyond Symbol and Myth: Understanding the Kingship of God of the Hebrew Bible through Metaphor</w:t>
      </w:r>
      <w:r w:rsidRPr="00480754">
        <w:rPr>
          <w:rFonts w:ascii="Times New Roman" w:eastAsia="Times New Roman" w:hAnsi="Times New Roman" w:cs="Times New Roman"/>
          <w:kern w:val="0"/>
          <w:sz w:val="28"/>
          <w:szCs w:val="28"/>
          <w:lang w:eastAsia="en-GB"/>
          <w14:ligatures w14:val="none"/>
        </w:rPr>
        <w:t>, vol. 99 (Peter Lang, 2009), p. 123.</w:t>
      </w:r>
    </w:p>
    <w:p w14:paraId="7BF2969A" w14:textId="77777777" w:rsidR="00480754" w:rsidRPr="00480754" w:rsidRDefault="00480754" w:rsidP="00480754">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2 Samuel 11–12; see also Psalm 51 for direct textual connections.</w:t>
      </w:r>
    </w:p>
    <w:p w14:paraId="248884BD" w14:textId="77777777" w:rsidR="00480754" w:rsidRPr="00480754" w:rsidRDefault="00480754" w:rsidP="00480754">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Moore, </w:t>
      </w:r>
      <w:r w:rsidRPr="00480754">
        <w:rPr>
          <w:rFonts w:ascii="Times New Roman" w:eastAsia="Times New Roman" w:hAnsi="Times New Roman" w:cs="Times New Roman"/>
          <w:i/>
          <w:iCs/>
          <w:kern w:val="0"/>
          <w:sz w:val="28"/>
          <w:szCs w:val="28"/>
          <w:lang w:eastAsia="en-GB"/>
          <w14:ligatures w14:val="none"/>
        </w:rPr>
        <w:t>Moving Beyond Symbol and Myth</w:t>
      </w:r>
      <w:r w:rsidRPr="00480754">
        <w:rPr>
          <w:rFonts w:ascii="Times New Roman" w:eastAsia="Times New Roman" w:hAnsi="Times New Roman" w:cs="Times New Roman"/>
          <w:kern w:val="0"/>
          <w:sz w:val="28"/>
          <w:szCs w:val="28"/>
          <w:lang w:eastAsia="en-GB"/>
          <w14:ligatures w14:val="none"/>
        </w:rPr>
        <w:t>, pp. 126–128.</w:t>
      </w:r>
    </w:p>
    <w:p w14:paraId="245904A1" w14:textId="77777777" w:rsidR="00480754" w:rsidRPr="00480754" w:rsidRDefault="00480754" w:rsidP="00480754">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lastRenderedPageBreak/>
        <w:t xml:space="preserve">David L. Petersen, </w:t>
      </w:r>
      <w:r w:rsidRPr="00480754">
        <w:rPr>
          <w:rFonts w:ascii="Times New Roman" w:eastAsia="Times New Roman" w:hAnsi="Times New Roman" w:cs="Times New Roman"/>
          <w:i/>
          <w:iCs/>
          <w:kern w:val="0"/>
          <w:sz w:val="28"/>
          <w:szCs w:val="28"/>
          <w:lang w:eastAsia="en-GB"/>
          <w14:ligatures w14:val="none"/>
        </w:rPr>
        <w:t>Method Matters: Essays on the Interpretation of the Hebrew Bible in Honour of David L. Petersen</w:t>
      </w:r>
      <w:r w:rsidRPr="00480754">
        <w:rPr>
          <w:rFonts w:ascii="Times New Roman" w:eastAsia="Times New Roman" w:hAnsi="Times New Roman" w:cs="Times New Roman"/>
          <w:kern w:val="0"/>
          <w:sz w:val="28"/>
          <w:szCs w:val="28"/>
          <w:lang w:eastAsia="en-GB"/>
          <w14:ligatures w14:val="none"/>
        </w:rPr>
        <w:t xml:space="preserve"> (Society of Biblical Literature, 2009), p. 81.</w:t>
      </w:r>
    </w:p>
    <w:p w14:paraId="06135049" w14:textId="77777777" w:rsidR="00480754" w:rsidRPr="00480754" w:rsidRDefault="00480754" w:rsidP="00480754">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Ibid., pp. 84–85.</w:t>
      </w:r>
    </w:p>
    <w:p w14:paraId="2DFBB20C" w14:textId="77777777" w:rsidR="00480754" w:rsidRPr="00480754" w:rsidRDefault="00480754" w:rsidP="00480754">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2 Samuel 7:12–16; cf. John J. Collins, </w:t>
      </w:r>
      <w:r w:rsidRPr="00480754">
        <w:rPr>
          <w:rFonts w:ascii="Times New Roman" w:eastAsia="Times New Roman" w:hAnsi="Times New Roman" w:cs="Times New Roman"/>
          <w:i/>
          <w:iCs/>
          <w:kern w:val="0"/>
          <w:sz w:val="28"/>
          <w:szCs w:val="28"/>
          <w:lang w:eastAsia="en-GB"/>
          <w14:ligatures w14:val="none"/>
        </w:rPr>
        <w:t>Introduction to the Hebrew Bible</w:t>
      </w:r>
      <w:r w:rsidRPr="00480754">
        <w:rPr>
          <w:rFonts w:ascii="Times New Roman" w:eastAsia="Times New Roman" w:hAnsi="Times New Roman" w:cs="Times New Roman"/>
          <w:kern w:val="0"/>
          <w:sz w:val="28"/>
          <w:szCs w:val="28"/>
          <w:lang w:eastAsia="en-GB"/>
          <w14:ligatures w14:val="none"/>
        </w:rPr>
        <w:t xml:space="preserve"> (Augsburg Fortress Publishers, 2014), p. 241.</w:t>
      </w:r>
    </w:p>
    <w:p w14:paraId="2BEA52AC" w14:textId="77777777" w:rsidR="00480754" w:rsidRPr="00496B57" w:rsidRDefault="00480754" w:rsidP="00480754">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80754">
        <w:rPr>
          <w:rFonts w:ascii="Times New Roman" w:eastAsia="Times New Roman" w:hAnsi="Times New Roman" w:cs="Times New Roman"/>
          <w:kern w:val="0"/>
          <w:sz w:val="28"/>
          <w:szCs w:val="28"/>
          <w:lang w:eastAsia="en-GB"/>
          <w14:ligatures w14:val="none"/>
        </w:rPr>
        <w:t xml:space="preserve">Moore, </w:t>
      </w:r>
      <w:r w:rsidRPr="00480754">
        <w:rPr>
          <w:rFonts w:ascii="Times New Roman" w:eastAsia="Times New Roman" w:hAnsi="Times New Roman" w:cs="Times New Roman"/>
          <w:i/>
          <w:iCs/>
          <w:kern w:val="0"/>
          <w:sz w:val="28"/>
          <w:szCs w:val="28"/>
          <w:lang w:eastAsia="en-GB"/>
          <w14:ligatures w14:val="none"/>
        </w:rPr>
        <w:t>Moving Beyond Symbol and Myth</w:t>
      </w:r>
      <w:r w:rsidRPr="00480754">
        <w:rPr>
          <w:rFonts w:ascii="Times New Roman" w:eastAsia="Times New Roman" w:hAnsi="Times New Roman" w:cs="Times New Roman"/>
          <w:kern w:val="0"/>
          <w:sz w:val="28"/>
          <w:szCs w:val="28"/>
          <w:lang w:eastAsia="en-GB"/>
          <w14:ligatures w14:val="none"/>
        </w:rPr>
        <w:t>, p. 131.</w:t>
      </w:r>
    </w:p>
    <w:p w14:paraId="188BBF4C" w14:textId="77777777" w:rsidR="00DA2019" w:rsidRPr="00496B57" w:rsidRDefault="00DA2019" w:rsidP="00DA201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355D68DB" w14:textId="77777777" w:rsidR="00DA2019" w:rsidRPr="00496B57" w:rsidRDefault="00DA2019" w:rsidP="00DA2019">
      <w:pPr>
        <w:pStyle w:val="NormalWeb"/>
        <w:rPr>
          <w:b/>
          <w:bCs/>
          <w:sz w:val="28"/>
          <w:szCs w:val="28"/>
        </w:rPr>
      </w:pPr>
      <w:r w:rsidRPr="00496B57">
        <w:rPr>
          <w:b/>
          <w:bCs/>
          <w:sz w:val="28"/>
          <w:szCs w:val="28"/>
        </w:rPr>
        <w:t>Literary legacy and cultural resonance</w:t>
      </w:r>
    </w:p>
    <w:p w14:paraId="5B8C6D1A" w14:textId="77777777" w:rsidR="00DA2019" w:rsidRPr="00496B57" w:rsidRDefault="00DA2019" w:rsidP="00DA2019">
      <w:pPr>
        <w:pStyle w:val="NormalWeb"/>
        <w:rPr>
          <w:sz w:val="28"/>
          <w:szCs w:val="28"/>
        </w:rPr>
      </w:pPr>
      <w:r w:rsidRPr="00496B57">
        <w:rPr>
          <w:sz w:val="28"/>
          <w:szCs w:val="28"/>
        </w:rPr>
        <w:t>The image of King David as a martyr or literary genius shaped Jewish identity and fought off an increasing Christian persecution until the end of the day. As one of the authors of this poetic arsenal, David left his voice in the mouth of Jewish prayer, theology, and memory alike. The Psalms not only mirror and represent his emotional and spiritual moods, but they also constitute one of the cardinal documents of the religious life of Israel. ¹</w:t>
      </w:r>
    </w:p>
    <w:p w14:paraId="35426C97" w14:textId="5535F018" w:rsidR="00DA2019" w:rsidRPr="00496B57" w:rsidRDefault="00DA2019" w:rsidP="00DA2019">
      <w:pPr>
        <w:pStyle w:val="NormalWeb"/>
        <w:rPr>
          <w:sz w:val="28"/>
          <w:szCs w:val="28"/>
        </w:rPr>
      </w:pPr>
      <w:r w:rsidRPr="00496B57">
        <w:rPr>
          <w:sz w:val="28"/>
          <w:szCs w:val="28"/>
        </w:rPr>
        <w:t xml:space="preserve">The thematic breadth of the Psalms—from sorrow and petition to praise and thanksgiving—reflected a sophisticated spiritual sensibility as well as literary craftsmanship. These are poetic writings that describe the fullness of life and offer a theological and emotional language that appeals to people of all times. ² Finkelstein and Silberman claim that the Psalms form the liturgical underpinning of the Jewish faith, integrated into daily prayers and religious rites. ³ </w:t>
      </w:r>
      <w:r w:rsidR="00496B57" w:rsidRPr="00496B57">
        <w:rPr>
          <w:sz w:val="28"/>
          <w:szCs w:val="28"/>
        </w:rPr>
        <w:t>and</w:t>
      </w:r>
      <w:r w:rsidRPr="00496B57">
        <w:rPr>
          <w:sz w:val="28"/>
          <w:szCs w:val="28"/>
        </w:rPr>
        <w:t xml:space="preserve"> through this fusion, David’s voice as a writer is inextricably intertwined with the spiritual beat of Jewish existence.</w:t>
      </w:r>
    </w:p>
    <w:p w14:paraId="504CB725" w14:textId="549FC71D" w:rsidR="00DA2019" w:rsidRPr="00496B57" w:rsidRDefault="00DA2019" w:rsidP="00DA2019">
      <w:pPr>
        <w:pStyle w:val="NormalWeb"/>
        <w:rPr>
          <w:sz w:val="28"/>
          <w:szCs w:val="28"/>
        </w:rPr>
      </w:pPr>
      <w:r w:rsidRPr="00496B57">
        <w:rPr>
          <w:sz w:val="28"/>
          <w:szCs w:val="28"/>
        </w:rPr>
        <w:t>The Psalms</w:t>
      </w:r>
      <w:r w:rsidR="00496B57" w:rsidRPr="00496B57">
        <w:rPr>
          <w:sz w:val="28"/>
          <w:szCs w:val="28"/>
        </w:rPr>
        <w:t xml:space="preserve"> are</w:t>
      </w:r>
      <w:r w:rsidRPr="00496B57">
        <w:rPr>
          <w:sz w:val="28"/>
          <w:szCs w:val="28"/>
        </w:rPr>
        <w:t xml:space="preserve"> poetic in style and rich in metaphor, parallelism, and rhetorical repetition. Emanuel Tov observed that these poetic phenomena not only indicate the artistic character of Hebrew poetry but also serve to facilitate the memorisation and oral transmission of the text. 4 The Psalms have the literary worth to surpass mere historical reflection, acting as the vehicles of theological reflection and cultural commitment. Their aesthetic </w:t>
      </w:r>
      <w:r w:rsidR="00496B57" w:rsidRPr="00496B57">
        <w:rPr>
          <w:sz w:val="28"/>
          <w:szCs w:val="28"/>
        </w:rPr>
        <w:t>wearability</w:t>
      </w:r>
      <w:r w:rsidRPr="00496B57">
        <w:rPr>
          <w:sz w:val="28"/>
          <w:szCs w:val="28"/>
        </w:rPr>
        <w:t xml:space="preserve"> </w:t>
      </w:r>
      <w:r w:rsidR="00496B57" w:rsidRPr="00496B57">
        <w:rPr>
          <w:sz w:val="28"/>
          <w:szCs w:val="28"/>
        </w:rPr>
        <w:t>makes</w:t>
      </w:r>
      <w:r w:rsidRPr="00496B57">
        <w:rPr>
          <w:sz w:val="28"/>
          <w:szCs w:val="28"/>
        </w:rPr>
        <w:t xml:space="preserve"> them suitable for sacred purposes and for use in the educational sphere.</w:t>
      </w:r>
    </w:p>
    <w:p w14:paraId="2A1ADB90" w14:textId="77777777" w:rsidR="00DA2019" w:rsidRPr="00496B57" w:rsidRDefault="00DA2019" w:rsidP="00DA2019">
      <w:pPr>
        <w:pStyle w:val="NormalWeb"/>
        <w:rPr>
          <w:sz w:val="28"/>
          <w:szCs w:val="28"/>
        </w:rPr>
      </w:pPr>
      <w:r w:rsidRPr="00496B57">
        <w:rPr>
          <w:sz w:val="28"/>
          <w:szCs w:val="28"/>
        </w:rPr>
        <w:t>In addition, David’s reputation as a poet further enhances his emblematic place in Jewish culture. His psalms offer us a window into the communal memory and resilience of the people of Israel during periods of persecution and exile. These texts’ articulations of vulnerability and hope have traditionally provided Jewish communities in challenging situations with solace and commonality. As Braverman reflects, David’s poetic persona represents an ageless paradigm of faithful governance, ethical wrestling, and divine grace—that resonates powerfully with the hopes and agonies of the Jewish people. ⁵</w:t>
      </w:r>
    </w:p>
    <w:p w14:paraId="6365E3F9" w14:textId="32AAC84E" w:rsidR="00DA2019" w:rsidRPr="00496B57" w:rsidRDefault="00DA2019" w:rsidP="00DA2019">
      <w:pPr>
        <w:pStyle w:val="NormalWeb"/>
        <w:rPr>
          <w:sz w:val="28"/>
          <w:szCs w:val="28"/>
        </w:rPr>
      </w:pPr>
      <w:r w:rsidRPr="00496B57">
        <w:rPr>
          <w:sz w:val="28"/>
          <w:szCs w:val="28"/>
        </w:rPr>
        <w:lastRenderedPageBreak/>
        <w:t xml:space="preserve">Today, the Psalms written by David are still recited and used for personal and public prayer. They are spiritual instruments that help people reflect and </w:t>
      </w:r>
      <w:r w:rsidR="00496B57" w:rsidRPr="00496B57">
        <w:rPr>
          <w:sz w:val="28"/>
          <w:szCs w:val="28"/>
        </w:rPr>
        <w:t>heal and</w:t>
      </w:r>
      <w:r w:rsidRPr="00496B57">
        <w:rPr>
          <w:sz w:val="28"/>
          <w:szCs w:val="28"/>
        </w:rPr>
        <w:t xml:space="preserve"> help guide them too. Their cathartic and category work demonstrate the active legacy of David’s in the world of letters. The paradox of being both a humble shepherd and a transcendent king, as expressed in the lament of such an exploitative character, points to a theological ideal that supersedes history and continues to shape Jewish thought in the present. ⁶</w:t>
      </w:r>
    </w:p>
    <w:p w14:paraId="56E7BE4B" w14:textId="77777777" w:rsidR="00DA2019" w:rsidRPr="00496B57" w:rsidRDefault="00DA2019" w:rsidP="00DA2019">
      <w:pPr>
        <w:pStyle w:val="NormalWeb"/>
        <w:rPr>
          <w:sz w:val="28"/>
          <w:szCs w:val="28"/>
        </w:rPr>
      </w:pPr>
      <w:r w:rsidRPr="00496B57">
        <w:rPr>
          <w:sz w:val="28"/>
          <w:szCs w:val="28"/>
        </w:rPr>
        <w:t>Therefore, the literary works of King David are part and parcel of Jewish culture. In the Psalms, he articulated the most profound spiritual yearnings of his people and established a poetic tradition that bridged personal experience and communal faith. His writing continues to be a central pillar of Jewish identity, a font of inspiration, comfort and definition for the parameters of the sacred. ⁷</w:t>
      </w:r>
    </w:p>
    <w:p w14:paraId="7A49A066" w14:textId="77777777" w:rsidR="00DA2019" w:rsidRPr="00480754" w:rsidRDefault="00DA2019" w:rsidP="00DA201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0593D0DA" w14:textId="77777777" w:rsidR="00DA2019" w:rsidRPr="00DA2019" w:rsidRDefault="00DA2019" w:rsidP="00DA2019">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DA2019">
        <w:rPr>
          <w:rFonts w:ascii="Times New Roman" w:eastAsia="Times New Roman" w:hAnsi="Times New Roman" w:cs="Times New Roman"/>
          <w:b/>
          <w:bCs/>
          <w:kern w:val="0"/>
          <w:sz w:val="28"/>
          <w:szCs w:val="28"/>
          <w:lang w:eastAsia="en-GB"/>
          <w14:ligatures w14:val="none"/>
        </w:rPr>
        <w:t>Footnotes</w:t>
      </w:r>
    </w:p>
    <w:p w14:paraId="12BFE3BC" w14:textId="77777777" w:rsidR="00DA2019" w:rsidRPr="00DA2019" w:rsidRDefault="00DA2019" w:rsidP="00DA2019">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DA2019">
        <w:rPr>
          <w:rFonts w:ascii="Times New Roman" w:eastAsia="Times New Roman" w:hAnsi="Times New Roman" w:cs="Times New Roman"/>
          <w:kern w:val="0"/>
          <w:sz w:val="28"/>
          <w:szCs w:val="28"/>
          <w:lang w:eastAsia="en-GB"/>
          <w14:ligatures w14:val="none"/>
        </w:rPr>
        <w:t xml:space="preserve">Israel Finkelstein and Neil Asher Silberman, </w:t>
      </w:r>
      <w:r w:rsidRPr="00DA2019">
        <w:rPr>
          <w:rFonts w:ascii="Times New Roman" w:eastAsia="Times New Roman" w:hAnsi="Times New Roman" w:cs="Times New Roman"/>
          <w:i/>
          <w:iCs/>
          <w:kern w:val="0"/>
          <w:sz w:val="28"/>
          <w:szCs w:val="28"/>
          <w:lang w:eastAsia="en-GB"/>
          <w14:ligatures w14:val="none"/>
        </w:rPr>
        <w:t>David and Solomon: In Search of the Bible’s Sacred Kings and the Roots of the Western Tradition</w:t>
      </w:r>
      <w:r w:rsidRPr="00DA2019">
        <w:rPr>
          <w:rFonts w:ascii="Times New Roman" w:eastAsia="Times New Roman" w:hAnsi="Times New Roman" w:cs="Times New Roman"/>
          <w:kern w:val="0"/>
          <w:sz w:val="28"/>
          <w:szCs w:val="28"/>
          <w:lang w:eastAsia="en-GB"/>
          <w14:ligatures w14:val="none"/>
        </w:rPr>
        <w:t xml:space="preserve"> (Simon and Schuster, 2007), p. 148.</w:t>
      </w:r>
    </w:p>
    <w:p w14:paraId="66906109" w14:textId="77777777" w:rsidR="00DA2019" w:rsidRPr="00DA2019" w:rsidRDefault="00DA2019" w:rsidP="00DA2019">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DA2019">
        <w:rPr>
          <w:rFonts w:ascii="Times New Roman" w:eastAsia="Times New Roman" w:hAnsi="Times New Roman" w:cs="Times New Roman"/>
          <w:kern w:val="0"/>
          <w:sz w:val="28"/>
          <w:szCs w:val="28"/>
          <w:lang w:eastAsia="en-GB"/>
          <w14:ligatures w14:val="none"/>
        </w:rPr>
        <w:t>Ibid., pp. 149–150.</w:t>
      </w:r>
    </w:p>
    <w:p w14:paraId="4BE789E2" w14:textId="77777777" w:rsidR="00DA2019" w:rsidRPr="00DA2019" w:rsidRDefault="00DA2019" w:rsidP="00DA2019">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DA2019">
        <w:rPr>
          <w:rFonts w:ascii="Times New Roman" w:eastAsia="Times New Roman" w:hAnsi="Times New Roman" w:cs="Times New Roman"/>
          <w:kern w:val="0"/>
          <w:sz w:val="28"/>
          <w:szCs w:val="28"/>
          <w:lang w:eastAsia="en-GB"/>
          <w14:ligatures w14:val="none"/>
        </w:rPr>
        <w:t>Ibid., p. 151.</w:t>
      </w:r>
    </w:p>
    <w:p w14:paraId="0CA1875C" w14:textId="77777777" w:rsidR="00DA2019" w:rsidRPr="00DA2019" w:rsidRDefault="00DA2019" w:rsidP="00DA2019">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DA2019">
        <w:rPr>
          <w:rFonts w:ascii="Times New Roman" w:eastAsia="Times New Roman" w:hAnsi="Times New Roman" w:cs="Times New Roman"/>
          <w:kern w:val="0"/>
          <w:sz w:val="28"/>
          <w:szCs w:val="28"/>
          <w:lang w:eastAsia="en-GB"/>
          <w14:ligatures w14:val="none"/>
        </w:rPr>
        <w:t xml:space="preserve">Emanuel Tov, </w:t>
      </w:r>
      <w:r w:rsidRPr="00DA2019">
        <w:rPr>
          <w:rFonts w:ascii="Times New Roman" w:eastAsia="Times New Roman" w:hAnsi="Times New Roman" w:cs="Times New Roman"/>
          <w:i/>
          <w:iCs/>
          <w:kern w:val="0"/>
          <w:sz w:val="28"/>
          <w:szCs w:val="28"/>
          <w:lang w:eastAsia="en-GB"/>
          <w14:ligatures w14:val="none"/>
        </w:rPr>
        <w:t>Textual Criticism of the Hebrew Bible</w:t>
      </w:r>
      <w:r w:rsidRPr="00DA2019">
        <w:rPr>
          <w:rFonts w:ascii="Times New Roman" w:eastAsia="Times New Roman" w:hAnsi="Times New Roman" w:cs="Times New Roman"/>
          <w:kern w:val="0"/>
          <w:sz w:val="28"/>
          <w:szCs w:val="28"/>
          <w:lang w:eastAsia="en-GB"/>
          <w14:ligatures w14:val="none"/>
        </w:rPr>
        <w:t xml:space="preserve"> (Brill, 2022), pp. 215–216.</w:t>
      </w:r>
    </w:p>
    <w:p w14:paraId="2BD2893F" w14:textId="77777777" w:rsidR="00DA2019" w:rsidRPr="00DA2019" w:rsidRDefault="00DA2019" w:rsidP="00DA2019">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DA2019">
        <w:rPr>
          <w:rFonts w:ascii="Times New Roman" w:eastAsia="Times New Roman" w:hAnsi="Times New Roman" w:cs="Times New Roman"/>
          <w:kern w:val="0"/>
          <w:sz w:val="28"/>
          <w:szCs w:val="28"/>
          <w:lang w:eastAsia="en-GB"/>
          <w14:ligatures w14:val="none"/>
        </w:rPr>
        <w:t xml:space="preserve">Jay Braverman, </w:t>
      </w:r>
      <w:r w:rsidRPr="00DA2019">
        <w:rPr>
          <w:rFonts w:ascii="Times New Roman" w:eastAsia="Times New Roman" w:hAnsi="Times New Roman" w:cs="Times New Roman"/>
          <w:i/>
          <w:iCs/>
          <w:kern w:val="0"/>
          <w:sz w:val="28"/>
          <w:szCs w:val="28"/>
          <w:lang w:eastAsia="en-GB"/>
          <w14:ligatures w14:val="none"/>
        </w:rPr>
        <w:t>Jerome’s Commentary on Daniel: A Study of Comparative Jewish and Christian Interpretations of the Hebrew Bible</w:t>
      </w:r>
      <w:r w:rsidRPr="00DA2019">
        <w:rPr>
          <w:rFonts w:ascii="Times New Roman" w:eastAsia="Times New Roman" w:hAnsi="Times New Roman" w:cs="Times New Roman"/>
          <w:kern w:val="0"/>
          <w:sz w:val="28"/>
          <w:szCs w:val="28"/>
          <w:lang w:eastAsia="en-GB"/>
          <w14:ligatures w14:val="none"/>
        </w:rPr>
        <w:t>, vol. 7 (Wipf and Stock Publishers, 2023), pp. 83–84.</w:t>
      </w:r>
    </w:p>
    <w:p w14:paraId="46E811E6" w14:textId="77777777" w:rsidR="00DA2019" w:rsidRPr="00DA2019" w:rsidRDefault="00DA2019" w:rsidP="00DA2019">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DA2019">
        <w:rPr>
          <w:rFonts w:ascii="Times New Roman" w:eastAsia="Times New Roman" w:hAnsi="Times New Roman" w:cs="Times New Roman"/>
          <w:kern w:val="0"/>
          <w:sz w:val="28"/>
          <w:szCs w:val="28"/>
          <w:lang w:eastAsia="en-GB"/>
          <w14:ligatures w14:val="none"/>
        </w:rPr>
        <w:t xml:space="preserve">Tov, </w:t>
      </w:r>
      <w:r w:rsidRPr="00DA2019">
        <w:rPr>
          <w:rFonts w:ascii="Times New Roman" w:eastAsia="Times New Roman" w:hAnsi="Times New Roman" w:cs="Times New Roman"/>
          <w:i/>
          <w:iCs/>
          <w:kern w:val="0"/>
          <w:sz w:val="28"/>
          <w:szCs w:val="28"/>
          <w:lang w:eastAsia="en-GB"/>
          <w14:ligatures w14:val="none"/>
        </w:rPr>
        <w:t>Textual Criticism</w:t>
      </w:r>
      <w:r w:rsidRPr="00DA2019">
        <w:rPr>
          <w:rFonts w:ascii="Times New Roman" w:eastAsia="Times New Roman" w:hAnsi="Times New Roman" w:cs="Times New Roman"/>
          <w:kern w:val="0"/>
          <w:sz w:val="28"/>
          <w:szCs w:val="28"/>
          <w:lang w:eastAsia="en-GB"/>
          <w14:ligatures w14:val="none"/>
        </w:rPr>
        <w:t>, p. 217.</w:t>
      </w:r>
    </w:p>
    <w:p w14:paraId="5003807E" w14:textId="77777777" w:rsidR="00DA2019" w:rsidRPr="00DA2019" w:rsidRDefault="00DA2019" w:rsidP="00DA2019">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DA2019">
        <w:rPr>
          <w:rFonts w:ascii="Times New Roman" w:eastAsia="Times New Roman" w:hAnsi="Times New Roman" w:cs="Times New Roman"/>
          <w:kern w:val="0"/>
          <w:sz w:val="28"/>
          <w:szCs w:val="28"/>
          <w:lang w:eastAsia="en-GB"/>
          <w14:ligatures w14:val="none"/>
        </w:rPr>
        <w:t xml:space="preserve">Finkelstein and Silberman, </w:t>
      </w:r>
      <w:r w:rsidRPr="00DA2019">
        <w:rPr>
          <w:rFonts w:ascii="Times New Roman" w:eastAsia="Times New Roman" w:hAnsi="Times New Roman" w:cs="Times New Roman"/>
          <w:i/>
          <w:iCs/>
          <w:kern w:val="0"/>
          <w:sz w:val="28"/>
          <w:szCs w:val="28"/>
          <w:lang w:eastAsia="en-GB"/>
          <w14:ligatures w14:val="none"/>
        </w:rPr>
        <w:t>David and Solomon</w:t>
      </w:r>
      <w:r w:rsidRPr="00DA2019">
        <w:rPr>
          <w:rFonts w:ascii="Times New Roman" w:eastAsia="Times New Roman" w:hAnsi="Times New Roman" w:cs="Times New Roman"/>
          <w:kern w:val="0"/>
          <w:sz w:val="28"/>
          <w:szCs w:val="28"/>
          <w:lang w:eastAsia="en-GB"/>
          <w14:ligatures w14:val="none"/>
        </w:rPr>
        <w:t>, p. 153.</w:t>
      </w:r>
    </w:p>
    <w:p w14:paraId="62C749BC" w14:textId="77777777" w:rsidR="00EE0D7F" w:rsidRPr="00496B57" w:rsidRDefault="00EE0D7F">
      <w:pPr>
        <w:rPr>
          <w:rFonts w:ascii="Times New Roman" w:hAnsi="Times New Roman" w:cs="Times New Roman"/>
          <w:sz w:val="28"/>
          <w:szCs w:val="28"/>
        </w:rPr>
      </w:pPr>
    </w:p>
    <w:sectPr w:rsidR="00EE0D7F" w:rsidRPr="00496B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B090B" w14:textId="77777777" w:rsidR="00DB2110" w:rsidRDefault="00DB2110" w:rsidP="00A9672D">
      <w:pPr>
        <w:spacing w:after="0" w:line="240" w:lineRule="auto"/>
      </w:pPr>
      <w:r>
        <w:separator/>
      </w:r>
    </w:p>
  </w:endnote>
  <w:endnote w:type="continuationSeparator" w:id="0">
    <w:p w14:paraId="1A2804DE" w14:textId="77777777" w:rsidR="00DB2110" w:rsidRDefault="00DB2110" w:rsidP="00A96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F81FA" w14:textId="77777777" w:rsidR="00DB2110" w:rsidRDefault="00DB2110" w:rsidP="00A9672D">
      <w:pPr>
        <w:spacing w:after="0" w:line="240" w:lineRule="auto"/>
      </w:pPr>
      <w:r>
        <w:separator/>
      </w:r>
    </w:p>
  </w:footnote>
  <w:footnote w:type="continuationSeparator" w:id="0">
    <w:p w14:paraId="723F0F06" w14:textId="77777777" w:rsidR="00DB2110" w:rsidRDefault="00DB2110" w:rsidP="00A967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97CF3"/>
    <w:multiLevelType w:val="multilevel"/>
    <w:tmpl w:val="6EDC4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600B77"/>
    <w:multiLevelType w:val="multilevel"/>
    <w:tmpl w:val="25242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DD5992"/>
    <w:multiLevelType w:val="multilevel"/>
    <w:tmpl w:val="F288E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8C32EE"/>
    <w:multiLevelType w:val="multilevel"/>
    <w:tmpl w:val="0ED8B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7377944">
    <w:abstractNumId w:val="1"/>
  </w:num>
  <w:num w:numId="2" w16cid:durableId="506870866">
    <w:abstractNumId w:val="0"/>
  </w:num>
  <w:num w:numId="3" w16cid:durableId="49039333">
    <w:abstractNumId w:val="2"/>
  </w:num>
  <w:num w:numId="4" w16cid:durableId="2505498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754"/>
    <w:rsid w:val="002D5A52"/>
    <w:rsid w:val="00480754"/>
    <w:rsid w:val="00496B57"/>
    <w:rsid w:val="007111D1"/>
    <w:rsid w:val="00A9672D"/>
    <w:rsid w:val="00DA2019"/>
    <w:rsid w:val="00DB2110"/>
    <w:rsid w:val="00EE0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DF9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0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0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0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0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0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0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0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0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754"/>
    <w:rPr>
      <w:rFonts w:eastAsiaTheme="majorEastAsia" w:cstheme="majorBidi"/>
      <w:color w:val="272727" w:themeColor="text1" w:themeTint="D8"/>
    </w:rPr>
  </w:style>
  <w:style w:type="paragraph" w:styleId="Title">
    <w:name w:val="Title"/>
    <w:basedOn w:val="Normal"/>
    <w:next w:val="Normal"/>
    <w:link w:val="TitleChar"/>
    <w:uiPriority w:val="10"/>
    <w:qFormat/>
    <w:rsid w:val="00480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754"/>
    <w:pPr>
      <w:spacing w:before="160"/>
      <w:jc w:val="center"/>
    </w:pPr>
    <w:rPr>
      <w:i/>
      <w:iCs/>
      <w:color w:val="404040" w:themeColor="text1" w:themeTint="BF"/>
    </w:rPr>
  </w:style>
  <w:style w:type="character" w:customStyle="1" w:styleId="QuoteChar">
    <w:name w:val="Quote Char"/>
    <w:basedOn w:val="DefaultParagraphFont"/>
    <w:link w:val="Quote"/>
    <w:uiPriority w:val="29"/>
    <w:rsid w:val="00480754"/>
    <w:rPr>
      <w:i/>
      <w:iCs/>
      <w:color w:val="404040" w:themeColor="text1" w:themeTint="BF"/>
    </w:rPr>
  </w:style>
  <w:style w:type="paragraph" w:styleId="ListParagraph">
    <w:name w:val="List Paragraph"/>
    <w:basedOn w:val="Normal"/>
    <w:uiPriority w:val="34"/>
    <w:qFormat/>
    <w:rsid w:val="00480754"/>
    <w:pPr>
      <w:ind w:left="720"/>
      <w:contextualSpacing/>
    </w:pPr>
  </w:style>
  <w:style w:type="character" w:styleId="IntenseEmphasis">
    <w:name w:val="Intense Emphasis"/>
    <w:basedOn w:val="DefaultParagraphFont"/>
    <w:uiPriority w:val="21"/>
    <w:qFormat/>
    <w:rsid w:val="00480754"/>
    <w:rPr>
      <w:i/>
      <w:iCs/>
      <w:color w:val="0F4761" w:themeColor="accent1" w:themeShade="BF"/>
    </w:rPr>
  </w:style>
  <w:style w:type="paragraph" w:styleId="IntenseQuote">
    <w:name w:val="Intense Quote"/>
    <w:basedOn w:val="Normal"/>
    <w:next w:val="Normal"/>
    <w:link w:val="IntenseQuoteChar"/>
    <w:uiPriority w:val="30"/>
    <w:qFormat/>
    <w:rsid w:val="00480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754"/>
    <w:rPr>
      <w:i/>
      <w:iCs/>
      <w:color w:val="0F4761" w:themeColor="accent1" w:themeShade="BF"/>
    </w:rPr>
  </w:style>
  <w:style w:type="character" w:styleId="IntenseReference">
    <w:name w:val="Intense Reference"/>
    <w:basedOn w:val="DefaultParagraphFont"/>
    <w:uiPriority w:val="32"/>
    <w:qFormat/>
    <w:rsid w:val="00480754"/>
    <w:rPr>
      <w:b/>
      <w:bCs/>
      <w:smallCaps/>
      <w:color w:val="0F4761" w:themeColor="accent1" w:themeShade="BF"/>
      <w:spacing w:val="5"/>
    </w:rPr>
  </w:style>
  <w:style w:type="paragraph" w:styleId="NormalWeb">
    <w:name w:val="Normal (Web)"/>
    <w:basedOn w:val="Normal"/>
    <w:uiPriority w:val="99"/>
    <w:semiHidden/>
    <w:unhideWhenUsed/>
    <w:rsid w:val="0048075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96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72D"/>
  </w:style>
  <w:style w:type="paragraph" w:styleId="Footer">
    <w:name w:val="footer"/>
    <w:basedOn w:val="Normal"/>
    <w:link w:val="FooterChar"/>
    <w:uiPriority w:val="99"/>
    <w:unhideWhenUsed/>
    <w:rsid w:val="00A96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842383">
      <w:bodyDiv w:val="1"/>
      <w:marLeft w:val="0"/>
      <w:marRight w:val="0"/>
      <w:marTop w:val="0"/>
      <w:marBottom w:val="0"/>
      <w:divBdr>
        <w:top w:val="none" w:sz="0" w:space="0" w:color="auto"/>
        <w:left w:val="none" w:sz="0" w:space="0" w:color="auto"/>
        <w:bottom w:val="none" w:sz="0" w:space="0" w:color="auto"/>
        <w:right w:val="none" w:sz="0" w:space="0" w:color="auto"/>
      </w:divBdr>
    </w:div>
    <w:div w:id="807360447">
      <w:bodyDiv w:val="1"/>
      <w:marLeft w:val="0"/>
      <w:marRight w:val="0"/>
      <w:marTop w:val="0"/>
      <w:marBottom w:val="0"/>
      <w:divBdr>
        <w:top w:val="none" w:sz="0" w:space="0" w:color="auto"/>
        <w:left w:val="none" w:sz="0" w:space="0" w:color="auto"/>
        <w:bottom w:val="none" w:sz="0" w:space="0" w:color="auto"/>
        <w:right w:val="none" w:sz="0" w:space="0" w:color="auto"/>
      </w:divBdr>
    </w:div>
    <w:div w:id="1243025551">
      <w:bodyDiv w:val="1"/>
      <w:marLeft w:val="0"/>
      <w:marRight w:val="0"/>
      <w:marTop w:val="0"/>
      <w:marBottom w:val="0"/>
      <w:divBdr>
        <w:top w:val="none" w:sz="0" w:space="0" w:color="auto"/>
        <w:left w:val="none" w:sz="0" w:space="0" w:color="auto"/>
        <w:bottom w:val="none" w:sz="0" w:space="0" w:color="auto"/>
        <w:right w:val="none" w:sz="0" w:space="0" w:color="auto"/>
      </w:divBdr>
    </w:div>
    <w:div w:id="1400404389">
      <w:bodyDiv w:val="1"/>
      <w:marLeft w:val="0"/>
      <w:marRight w:val="0"/>
      <w:marTop w:val="0"/>
      <w:marBottom w:val="0"/>
      <w:divBdr>
        <w:top w:val="none" w:sz="0" w:space="0" w:color="auto"/>
        <w:left w:val="none" w:sz="0" w:space="0" w:color="auto"/>
        <w:bottom w:val="none" w:sz="0" w:space="0" w:color="auto"/>
        <w:right w:val="none" w:sz="0" w:space="0" w:color="auto"/>
      </w:divBdr>
    </w:div>
    <w:div w:id="1446773011">
      <w:bodyDiv w:val="1"/>
      <w:marLeft w:val="0"/>
      <w:marRight w:val="0"/>
      <w:marTop w:val="0"/>
      <w:marBottom w:val="0"/>
      <w:divBdr>
        <w:top w:val="none" w:sz="0" w:space="0" w:color="auto"/>
        <w:left w:val="none" w:sz="0" w:space="0" w:color="auto"/>
        <w:bottom w:val="none" w:sz="0" w:space="0" w:color="auto"/>
        <w:right w:val="none" w:sz="0" w:space="0" w:color="auto"/>
      </w:divBdr>
    </w:div>
    <w:div w:id="1469542950">
      <w:bodyDiv w:val="1"/>
      <w:marLeft w:val="0"/>
      <w:marRight w:val="0"/>
      <w:marTop w:val="0"/>
      <w:marBottom w:val="0"/>
      <w:divBdr>
        <w:top w:val="none" w:sz="0" w:space="0" w:color="auto"/>
        <w:left w:val="none" w:sz="0" w:space="0" w:color="auto"/>
        <w:bottom w:val="none" w:sz="0" w:space="0" w:color="auto"/>
        <w:right w:val="none" w:sz="0" w:space="0" w:color="auto"/>
      </w:divBdr>
    </w:div>
    <w:div w:id="1549760250">
      <w:bodyDiv w:val="1"/>
      <w:marLeft w:val="0"/>
      <w:marRight w:val="0"/>
      <w:marTop w:val="0"/>
      <w:marBottom w:val="0"/>
      <w:divBdr>
        <w:top w:val="none" w:sz="0" w:space="0" w:color="auto"/>
        <w:left w:val="none" w:sz="0" w:space="0" w:color="auto"/>
        <w:bottom w:val="none" w:sz="0" w:space="0" w:color="auto"/>
        <w:right w:val="none" w:sz="0" w:space="0" w:color="auto"/>
      </w:divBdr>
    </w:div>
    <w:div w:id="1581789662">
      <w:bodyDiv w:val="1"/>
      <w:marLeft w:val="0"/>
      <w:marRight w:val="0"/>
      <w:marTop w:val="0"/>
      <w:marBottom w:val="0"/>
      <w:divBdr>
        <w:top w:val="none" w:sz="0" w:space="0" w:color="auto"/>
        <w:left w:val="none" w:sz="0" w:space="0" w:color="auto"/>
        <w:bottom w:val="none" w:sz="0" w:space="0" w:color="auto"/>
        <w:right w:val="none" w:sz="0" w:space="0" w:color="auto"/>
      </w:divBdr>
    </w:div>
    <w:div w:id="170348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1987</Words>
  <Characters>11326</Characters>
  <Application>Microsoft Office Word</Application>
  <DocSecurity>0</DocSecurity>
  <Lines>94</Lines>
  <Paragraphs>26</Paragraphs>
  <ScaleCrop>false</ScaleCrop>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2025-07-17T10:53:00Z</dcterms:created>
  <dcterms:modified xsi:type="dcterms:W3CDTF">2025-07-17T10:53:00Z</dcterms:modified>
</cp:coreProperties>
</file>