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DF8785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B2530">
              <w:rPr>
                <w:rFonts w:ascii="Times New Roman" w:hAnsi="Times New Roman" w:cs="Times New Roman"/>
                <w:b/>
                <w:color w:val="auto"/>
                <w:sz w:val="48"/>
              </w:rPr>
              <w:t>Emily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770D11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B2530">
              <w:rPr>
                <w:rFonts w:ascii="Times New Roman" w:hAnsi="Times New Roman" w:cs="Times New Roman"/>
                <w:b/>
                <w:color w:val="auto"/>
                <w:sz w:val="48"/>
              </w:rPr>
              <w:t xml:space="preserve"> </w:t>
            </w:r>
            <w:r w:rsidR="00E21D5E">
              <w:rPr>
                <w:rFonts w:ascii="Times New Roman" w:hAnsi="Times New Roman" w:cs="Times New Roman"/>
                <w:b/>
                <w:color w:val="auto"/>
                <w:sz w:val="48"/>
              </w:rPr>
              <w:t>2419267@</w:t>
            </w:r>
            <w:r w:rsidR="00505B15">
              <w:rPr>
                <w:rFonts w:ascii="Times New Roman" w:hAnsi="Times New Roman" w:cs="Times New Roman"/>
                <w:b/>
                <w:color w:val="auto"/>
                <w:sz w:val="48"/>
              </w:rPr>
              <w:t>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D929D4E" w14:textId="77777777" w:rsidR="00281F3E"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81F3E">
              <w:rPr>
                <w:rFonts w:ascii="Times New Roman" w:hAnsi="Times New Roman" w:cs="Times New Roman"/>
                <w:b/>
                <w:color w:val="auto"/>
                <w:sz w:val="48"/>
              </w:rPr>
              <w:t xml:space="preserve"> </w:t>
            </w:r>
          </w:p>
          <w:p w14:paraId="0DE696B2" w14:textId="69228D46" w:rsidR="00F927A1" w:rsidRPr="005D3F07" w:rsidRDefault="00281F3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2419267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7B68FB1" w14:textId="77777777" w:rsidR="00BD6312" w:rsidRDefault="00BD6312" w:rsidP="00BD6312">
            <w:pPr>
              <w:jc w:val="both"/>
              <w:rPr>
                <w:sz w:val="24"/>
                <w:szCs w:val="24"/>
              </w:rPr>
            </w:pPr>
            <w:r w:rsidRPr="00BD6312">
              <w:rPr>
                <w:sz w:val="24"/>
                <w:szCs w:val="24"/>
              </w:rPr>
              <w:t>An area that is not my focus of work is children’s services, and the main legislation to safeguard children in the United Kingdom is The Children Act 1989 (CA, 1989). This piece of legislation provides the framework of legal duties on local authorities. The main duty being within section 17 of the act is that local authorities must safeguard and promote the welfare of children in their area, through the provision of preventative support services for families with the aim of safeguarding at the earliest opportunity (</w:t>
            </w:r>
            <w:proofErr w:type="spellStart"/>
            <w:r w:rsidRPr="00BD6312">
              <w:rPr>
                <w:sz w:val="24"/>
                <w:szCs w:val="24"/>
              </w:rPr>
              <w:t>Shemmings</w:t>
            </w:r>
            <w:proofErr w:type="spellEnd"/>
            <w:r w:rsidRPr="00BD6312">
              <w:rPr>
                <w:sz w:val="24"/>
                <w:szCs w:val="24"/>
              </w:rPr>
              <w:t xml:space="preserve">, 2017). The CA 1989 also introduced the paramountcy principle, that in any court decision the child’s needs would be paramount of all parties involved, for example in contrast to the parents’ views and wishes (James &amp; Lane, 2018). The CA 1989 provides the necessary legal framework for interventions into private family lives which is a human right under Article 8 the Human Rights Act 1998, where the welfare of a child is concerned due to this paramountcy principle (James &amp; Lane, 2018). Children also have the right to be protected from harm under Article 19 of the United Convention on The Rights of The Child (2022). The CA 1989 also provides the legal framework for interventions such as placing children on the child protection register, where they are closely monitored, and the necessary authority for local authorities to initiate care proceedings should neither of these plans be effectively safeguarding the child to mitigate safeguarding risks (Griffiths, Johnson, Broadhurst, </w:t>
            </w:r>
            <w:proofErr w:type="spellStart"/>
            <w:r w:rsidRPr="00BD6312">
              <w:rPr>
                <w:sz w:val="24"/>
                <w:szCs w:val="24"/>
              </w:rPr>
              <w:t>Bedston</w:t>
            </w:r>
            <w:proofErr w:type="spellEnd"/>
            <w:r w:rsidRPr="00BD6312">
              <w:rPr>
                <w:sz w:val="24"/>
                <w:szCs w:val="24"/>
              </w:rPr>
              <w:t xml:space="preserve">, Cusworth, </w:t>
            </w:r>
            <w:proofErr w:type="spellStart"/>
            <w:r w:rsidRPr="00BD6312">
              <w:rPr>
                <w:sz w:val="24"/>
                <w:szCs w:val="24"/>
              </w:rPr>
              <w:t>Alrough</w:t>
            </w:r>
            <w:proofErr w:type="spellEnd"/>
            <w:r w:rsidRPr="00BD6312">
              <w:rPr>
                <w:sz w:val="24"/>
                <w:szCs w:val="24"/>
              </w:rPr>
              <w:t xml:space="preserve">, Ford, &amp; John, 2020). </w:t>
            </w:r>
          </w:p>
          <w:p w14:paraId="0C6468DB" w14:textId="77777777" w:rsidR="00BD6312" w:rsidRPr="00BD6312" w:rsidRDefault="00BD6312" w:rsidP="00BD6312">
            <w:pPr>
              <w:jc w:val="both"/>
              <w:rPr>
                <w:sz w:val="24"/>
                <w:szCs w:val="24"/>
              </w:rPr>
            </w:pPr>
          </w:p>
          <w:p w14:paraId="61B35BC1" w14:textId="77777777" w:rsidR="00BD6312" w:rsidRDefault="00BD6312" w:rsidP="00BD6312">
            <w:pPr>
              <w:jc w:val="both"/>
              <w:rPr>
                <w:sz w:val="24"/>
                <w:szCs w:val="24"/>
              </w:rPr>
            </w:pPr>
            <w:r w:rsidRPr="00BD6312">
              <w:rPr>
                <w:sz w:val="24"/>
                <w:szCs w:val="24"/>
              </w:rPr>
              <w:t xml:space="preserve">Another key piece of legislation is the Social Services and Well-being (Wales) Act 2014 (SSWWA, 2014), which gives local authorities legal duties in Wales only. The main duty being under section 37, meaning it is obligatory that local authorities meet the care and support needs of children that reside in the local area, and that the care and support is necessary to protect the child from abuse, neglect, or other forms of harm (Davies &amp; Duckett, 2016). Additionally, there are policies that local authorities must follow on a national and local level. The main national policy is the Working Together to Safeguard Children policy (Her Majesty’s government, 2023). This document is for the whole of the United Kingdom and introduces the concept of shared responsibility when safeguarding children. Meaning that professionals should be working together with families to address safeguarding concerns and support them to change. As well as ensuring the professionals remain child focused (Clawson, Warwick, &amp; </w:t>
            </w:r>
            <w:proofErr w:type="spellStart"/>
            <w:r w:rsidRPr="00BD6312">
              <w:rPr>
                <w:sz w:val="24"/>
                <w:szCs w:val="24"/>
              </w:rPr>
              <w:lastRenderedPageBreak/>
              <w:t>Fyson</w:t>
            </w:r>
            <w:proofErr w:type="spellEnd"/>
            <w:r w:rsidRPr="00BD6312">
              <w:rPr>
                <w:sz w:val="24"/>
                <w:szCs w:val="24"/>
              </w:rPr>
              <w:t xml:space="preserve">, 2024). A policy that social workers must follow specifically in Wales are the Wales Safeguarding Procedures (Social Care Wales, 2025). This policy focuses on the process of child safeguarding and focuses particularly on the duty to report concerns under section 47 of the CA 1989. This duty belongs to all services that are in contact with the child including schools, police, social services, and health professionals. </w:t>
            </w:r>
          </w:p>
          <w:p w14:paraId="32D302D6" w14:textId="77777777" w:rsidR="00BD6312" w:rsidRPr="00BD6312" w:rsidRDefault="00BD6312" w:rsidP="00BD6312">
            <w:pPr>
              <w:jc w:val="both"/>
              <w:rPr>
                <w:sz w:val="24"/>
                <w:szCs w:val="24"/>
              </w:rPr>
            </w:pPr>
          </w:p>
          <w:p w14:paraId="38D3EEE1" w14:textId="77777777" w:rsidR="00BD6312" w:rsidRPr="00BD6312" w:rsidRDefault="00BD6312" w:rsidP="00BD6312">
            <w:pPr>
              <w:jc w:val="both"/>
              <w:rPr>
                <w:sz w:val="24"/>
                <w:szCs w:val="24"/>
              </w:rPr>
            </w:pPr>
            <w:r w:rsidRPr="00BD6312">
              <w:rPr>
                <w:sz w:val="24"/>
                <w:szCs w:val="24"/>
              </w:rPr>
              <w:t xml:space="preserve">There is also a policy released in 2018 as part of the SSWWA 2014’s implementation. This is called Working Together to Safeguard People Volume 5 – Handling Individual Cases to Protect Children at Risk (Welsh Government 2018). This policy highlights the different ways children can be safeguarded under preventative </w:t>
            </w:r>
            <w:proofErr w:type="gramStart"/>
            <w:r w:rsidRPr="00BD6312">
              <w:rPr>
                <w:sz w:val="24"/>
                <w:szCs w:val="24"/>
              </w:rPr>
              <w:t>services, and</w:t>
            </w:r>
            <w:proofErr w:type="gramEnd"/>
            <w:r w:rsidRPr="00BD6312">
              <w:rPr>
                <w:sz w:val="24"/>
                <w:szCs w:val="24"/>
              </w:rPr>
              <w:t xml:space="preserve"> safeguarding for immediate protection using powers such as emergency protection orders (EPO’s) under section 44 of the CA 1989 (Clawson, et al 2024). </w:t>
            </w:r>
          </w:p>
          <w:p w14:paraId="0318E819" w14:textId="77777777" w:rsidR="00FC0334" w:rsidRDefault="00FC0334" w:rsidP="00FF7EBB">
            <w:pPr>
              <w:jc w:val="both"/>
              <w:rPr>
                <w:sz w:val="24"/>
                <w:szCs w:val="24"/>
              </w:rPr>
            </w:pPr>
          </w:p>
          <w:p w14:paraId="206514B9" w14:textId="05655B3C" w:rsidR="00FC0334" w:rsidRDefault="00BD6312" w:rsidP="00FF7EBB">
            <w:pPr>
              <w:jc w:val="both"/>
              <w:rPr>
                <w:sz w:val="24"/>
                <w:szCs w:val="24"/>
              </w:rPr>
            </w:pPr>
            <w:r>
              <w:rPr>
                <w:sz w:val="24"/>
                <w:szCs w:val="24"/>
              </w:rPr>
              <w:t xml:space="preserve">Word Count: </w:t>
            </w:r>
            <w:r w:rsidR="007E6616">
              <w:rPr>
                <w:sz w:val="24"/>
                <w:szCs w:val="24"/>
              </w:rPr>
              <w:t>550</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637A6CB" w14:textId="77777777" w:rsidR="00EB2530" w:rsidRDefault="00EB2530" w:rsidP="00EB2530">
            <w:pPr>
              <w:jc w:val="both"/>
              <w:rPr>
                <w:sz w:val="24"/>
                <w:szCs w:val="24"/>
              </w:rPr>
            </w:pPr>
            <w:r w:rsidRPr="00EB2530">
              <w:rPr>
                <w:sz w:val="24"/>
                <w:szCs w:val="24"/>
              </w:rPr>
              <w:t xml:space="preserve">A key difference between safeguarding children in comparison to adults is the concept of capacity. Adults have the right to make decisions about themselves, if they are deemed to have capacity under the Mental Capacity Act 2005. This means that an adult making an unwise decision cannot always be prevented from doing so if they are causing no harm to another person. This could be a behaviour such as taking an illegal substance or entering an abusive relationship (Coggon &amp; Kong, 2021). The difference in safeguarding children is that they have the right to be protected from the ill-health or poor decision making of their parents, regardless of their parents’ rights and choices, if they are affecting the welfare of a child, child safeguarding services have a duty to intervene regardless of the child’s capacity, wishes, and feelings (James &amp; Lane 2018). This is due to the child’s welfare in the view of adults being paramount as stated in The Children Act 1989. </w:t>
            </w:r>
          </w:p>
          <w:p w14:paraId="579679D4" w14:textId="77777777" w:rsidR="00EB2530" w:rsidRPr="00EB2530" w:rsidRDefault="00EB2530" w:rsidP="00EB2530">
            <w:pPr>
              <w:jc w:val="both"/>
              <w:rPr>
                <w:sz w:val="24"/>
                <w:szCs w:val="24"/>
              </w:rPr>
            </w:pPr>
          </w:p>
          <w:p w14:paraId="5006B899" w14:textId="77777777" w:rsidR="00EB2530" w:rsidRDefault="00EB2530" w:rsidP="00EB2530">
            <w:pPr>
              <w:jc w:val="both"/>
              <w:rPr>
                <w:sz w:val="24"/>
                <w:szCs w:val="24"/>
              </w:rPr>
            </w:pPr>
            <w:r w:rsidRPr="00EB2530">
              <w:rPr>
                <w:sz w:val="24"/>
                <w:szCs w:val="24"/>
              </w:rPr>
              <w:t>Another key difference is that an adult has the right to have control over their own safeguarding and what will work best for them in keeping them safe. Such as who they have contact with, and how. For an adult with capacity, only they can decide whether to refrain from having contact with a person that poses a risk to them (</w:t>
            </w:r>
            <w:proofErr w:type="spellStart"/>
            <w:r w:rsidRPr="00EB2530">
              <w:rPr>
                <w:color w:val="222222"/>
                <w:sz w:val="24"/>
                <w:szCs w:val="24"/>
                <w:shd w:val="clear" w:color="auto" w:fill="FFFFFF"/>
              </w:rPr>
              <w:t>Kleipoedszus</w:t>
            </w:r>
            <w:proofErr w:type="spellEnd"/>
            <w:r w:rsidRPr="00EB2530">
              <w:rPr>
                <w:sz w:val="24"/>
                <w:szCs w:val="24"/>
              </w:rPr>
              <w:t xml:space="preserve">, 2024).  For adults in situations of domestic abuse, restraining orders may be used to discourage perpetrators from contacting victims. However, this is not always a successful intervention due to the nature of domestic abuse meaning victims are easily influenced by the perpetrator into thinking they have changed (Furniss, 2006). A child has the right to have their voice heard, however this may not always influence decisions and may go against the wishes and voice of the child. Children who require protection from harm under The Children Act 1989 may be placed in foster care </w:t>
            </w:r>
            <w:r w:rsidRPr="00EB2530">
              <w:rPr>
                <w:sz w:val="24"/>
                <w:szCs w:val="24"/>
              </w:rPr>
              <w:lastRenderedPageBreak/>
              <w:t>under interim care orders. This means that a judge will normally decide how, and when they spend time with their families (</w:t>
            </w:r>
            <w:proofErr w:type="spellStart"/>
            <w:r w:rsidRPr="00EB2530">
              <w:rPr>
                <w:sz w:val="24"/>
                <w:szCs w:val="24"/>
              </w:rPr>
              <w:t>Chouhdry</w:t>
            </w:r>
            <w:proofErr w:type="spellEnd"/>
            <w:r w:rsidRPr="00EB2530">
              <w:rPr>
                <w:sz w:val="24"/>
                <w:szCs w:val="24"/>
              </w:rPr>
              <w:t xml:space="preserve"> &amp; Fenwick, 2005). </w:t>
            </w:r>
          </w:p>
          <w:p w14:paraId="3CA491FE" w14:textId="77777777" w:rsidR="00EB2530" w:rsidRPr="00EB2530" w:rsidRDefault="00EB2530" w:rsidP="00EB2530">
            <w:pPr>
              <w:jc w:val="both"/>
              <w:rPr>
                <w:sz w:val="24"/>
                <w:szCs w:val="24"/>
              </w:rPr>
            </w:pPr>
          </w:p>
          <w:p w14:paraId="2CE4B35A" w14:textId="77777777" w:rsidR="00EB2530" w:rsidRPr="00EB2530" w:rsidRDefault="00EB2530" w:rsidP="00EB2530">
            <w:pPr>
              <w:jc w:val="both"/>
              <w:rPr>
                <w:sz w:val="24"/>
                <w:szCs w:val="24"/>
              </w:rPr>
            </w:pPr>
            <w:r w:rsidRPr="00EB2530">
              <w:rPr>
                <w:sz w:val="24"/>
                <w:szCs w:val="24"/>
              </w:rPr>
              <w:t>This highlights the difference in the level of power and control service users have whether they are an adult or a child, and how their voices influence safeguarding cases. When working with a child, the social worker is often managing the child’s relationships with their wider family network to safeguard them (</w:t>
            </w:r>
            <w:proofErr w:type="spellStart"/>
            <w:r w:rsidRPr="00EB2530">
              <w:rPr>
                <w:color w:val="222222"/>
                <w:sz w:val="24"/>
                <w:szCs w:val="24"/>
                <w:shd w:val="clear" w:color="auto" w:fill="FFFFFF"/>
              </w:rPr>
              <w:t>Okitikpi</w:t>
            </w:r>
            <w:proofErr w:type="spellEnd"/>
            <w:r w:rsidRPr="00EB2530">
              <w:rPr>
                <w:color w:val="222222"/>
                <w:sz w:val="24"/>
                <w:szCs w:val="24"/>
                <w:shd w:val="clear" w:color="auto" w:fill="FFFFFF"/>
              </w:rPr>
              <w:t>,</w:t>
            </w:r>
            <w:r w:rsidRPr="00EB2530">
              <w:rPr>
                <w:sz w:val="24"/>
                <w:szCs w:val="24"/>
              </w:rPr>
              <w:t xml:space="preserve"> 2011). This also highlights the power and influence professionals have in safeguarding cases involving adults versus children. Social work when safeguarding adults is often achieved through focusing the working relationship, the service user’s rights and working with their decisions and their voice (Wilkins, 2016). </w:t>
            </w:r>
          </w:p>
          <w:p w14:paraId="5CC16181" w14:textId="77777777" w:rsidR="00EB2530" w:rsidRPr="00EB2530" w:rsidRDefault="00EB2530" w:rsidP="00EB2530">
            <w:pPr>
              <w:jc w:val="both"/>
              <w:rPr>
                <w:sz w:val="24"/>
                <w:szCs w:val="24"/>
              </w:rPr>
            </w:pPr>
          </w:p>
          <w:p w14:paraId="4847C39E" w14:textId="3047F8F4" w:rsidR="00FC0334" w:rsidRPr="00EB2530" w:rsidRDefault="00EB2530" w:rsidP="00EB2530">
            <w:pPr>
              <w:jc w:val="both"/>
            </w:pPr>
            <w:r w:rsidRPr="00EB2530">
              <w:rPr>
                <w:sz w:val="24"/>
                <w:szCs w:val="24"/>
              </w:rPr>
              <w:t>400 words (440)</w:t>
            </w:r>
            <w:r>
              <w:t xml:space="preserve"> </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1F3E"/>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A6B"/>
    <w:rsid w:val="00425160"/>
    <w:rsid w:val="00430DE3"/>
    <w:rsid w:val="004348AE"/>
    <w:rsid w:val="004376C0"/>
    <w:rsid w:val="0044223A"/>
    <w:rsid w:val="004479E6"/>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B15"/>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66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057"/>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6312"/>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1D5E"/>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530"/>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1124</Words>
  <Characters>6413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Emily Evans</cp:lastModifiedBy>
  <cp:revision>2</cp:revision>
  <cp:lastPrinted>2020-02-11T19:20:00Z</cp:lastPrinted>
  <dcterms:created xsi:type="dcterms:W3CDTF">2025-10-01T14:24:00Z</dcterms:created>
  <dcterms:modified xsi:type="dcterms:W3CDTF">2025-10-01T14:24:00Z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