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7FEA9A2" w:rsidP="1A0BFF3E" w:rsidRDefault="17FEA9A2" w14:paraId="0E6A459D" w14:textId="20A3862E">
      <w:pPr>
        <w:pStyle w:val="Normal"/>
        <w:spacing w:before="212" w:beforeAutospacing="off" w:after="160" w:afterAutospacing="off"/>
      </w:pPr>
      <w:r w:rsidR="17FEA9A2">
        <w:drawing>
          <wp:inline wp14:editId="6A0FF4A8" wp14:anchorId="34B24DEF">
            <wp:extent cx="3000375" cy="1200150"/>
            <wp:effectExtent l="0" t="0" r="0" b="0"/>
            <wp:docPr id="834279526" name="" title=""/>
            <wp:cNvGraphicFramePr>
              <a:graphicFrameLocks noChangeAspect="1"/>
            </wp:cNvGraphicFramePr>
            <a:graphic>
              <a:graphicData uri="http://schemas.openxmlformats.org/drawingml/2006/picture">
                <pic:pic>
                  <pic:nvPicPr>
                    <pic:cNvPr id="0" name=""/>
                    <pic:cNvPicPr/>
                  </pic:nvPicPr>
                  <pic:blipFill>
                    <a:blip r:embed="R0fe16c5f29504fc4">
                      <a:extLst>
                        <a:ext xmlns:a="http://schemas.openxmlformats.org/drawingml/2006/main" uri="{28A0092B-C50C-407E-A947-70E740481C1C}">
                          <a14:useLocalDpi val="0"/>
                        </a:ext>
                      </a:extLst>
                    </a:blip>
                    <a:stretch>
                      <a:fillRect/>
                    </a:stretch>
                  </pic:blipFill>
                  <pic:spPr>
                    <a:xfrm>
                      <a:off x="0" y="0"/>
                      <a:ext cx="3000375" cy="1200150"/>
                    </a:xfrm>
                    <a:prstGeom prst="rect">
                      <a:avLst/>
                    </a:prstGeom>
                  </pic:spPr>
                </pic:pic>
              </a:graphicData>
            </a:graphic>
          </wp:inline>
        </w:drawing>
      </w:r>
    </w:p>
    <w:p w:rsidR="2B3EF775" w:rsidP="1A0BFF3E" w:rsidRDefault="2B3EF775" w14:paraId="2C6B23A4" w14:textId="65C19BA3">
      <w:pPr>
        <w:spacing w:before="212" w:beforeAutospacing="off" w:after="160" w:afterAutospacing="off"/>
      </w:pPr>
      <w:r w:rsidRPr="1A0BFF3E" w:rsidR="2B3EF775">
        <w:rPr>
          <w:rFonts w:ascii="Aptos" w:hAnsi="Aptos" w:eastAsia="Aptos" w:cs="Aptos"/>
          <w:b w:val="1"/>
          <w:bCs w:val="1"/>
          <w:i w:val="0"/>
          <w:iCs w:val="0"/>
          <w:strike w:val="0"/>
          <w:dstrike w:val="0"/>
          <w:noProof w:val="0"/>
          <w:color w:val="000000" w:themeColor="text1" w:themeTint="FF" w:themeShade="FF"/>
          <w:sz w:val="48"/>
          <w:szCs w:val="48"/>
          <w:u w:val="none"/>
          <w:lang w:val="en-US"/>
        </w:rPr>
        <w:t>MODULE CODE: ECPT6004</w:t>
      </w:r>
    </w:p>
    <w:p w:rsidR="1A0BFF3E" w:rsidRDefault="1A0BFF3E" w14:paraId="02575614" w14:textId="6D5EDD15"/>
    <w:p w:rsidR="2B3EF775" w:rsidP="1A0BFF3E" w:rsidRDefault="2B3EF775" w14:paraId="5DF3BBDE" w14:textId="45939358">
      <w:pPr>
        <w:spacing w:before="212" w:beforeAutospacing="off" w:after="160" w:afterAutospacing="off"/>
      </w:pPr>
      <w:r w:rsidRPr="1A0BFF3E" w:rsidR="2B3EF775">
        <w:rPr>
          <w:rFonts w:ascii="Aptos" w:hAnsi="Aptos" w:eastAsia="Aptos" w:cs="Aptos"/>
          <w:b w:val="1"/>
          <w:bCs w:val="1"/>
          <w:i w:val="0"/>
          <w:iCs w:val="0"/>
          <w:strike w:val="0"/>
          <w:dstrike w:val="0"/>
          <w:noProof w:val="0"/>
          <w:color w:val="000000" w:themeColor="text1" w:themeTint="FF" w:themeShade="FF"/>
          <w:sz w:val="48"/>
          <w:szCs w:val="48"/>
          <w:u w:val="none"/>
          <w:lang w:val="en-US"/>
        </w:rPr>
        <w:t>ASSESSMENT COMPONENT: 1 – Learning Support Report</w:t>
      </w:r>
    </w:p>
    <w:p w:rsidR="1A0BFF3E" w:rsidRDefault="1A0BFF3E" w14:paraId="70D47493" w14:textId="3D166E11"/>
    <w:p w:rsidR="2B3EF775" w:rsidP="1A0BFF3E" w:rsidRDefault="2B3EF775" w14:paraId="53ED1F6D" w14:textId="5EDFBB44">
      <w:pPr>
        <w:spacing w:before="3" w:beforeAutospacing="off" w:after="160" w:afterAutospacing="off"/>
      </w:pPr>
      <w:r w:rsidRPr="1A0BFF3E" w:rsidR="2B3EF775">
        <w:rPr>
          <w:rFonts w:ascii="Aptos" w:hAnsi="Aptos" w:eastAsia="Aptos" w:cs="Aptos"/>
          <w:b w:val="1"/>
          <w:bCs w:val="1"/>
          <w:i w:val="0"/>
          <w:iCs w:val="0"/>
          <w:strike w:val="0"/>
          <w:dstrike w:val="0"/>
          <w:noProof w:val="0"/>
          <w:color w:val="000000" w:themeColor="text1" w:themeTint="FF" w:themeShade="FF"/>
          <w:sz w:val="48"/>
          <w:szCs w:val="48"/>
          <w:u w:val="none"/>
          <w:lang w:val="en-US"/>
        </w:rPr>
        <w:t>STUDENT NAME: Erin Heymann</w:t>
      </w:r>
    </w:p>
    <w:p w:rsidR="1A0BFF3E" w:rsidRDefault="1A0BFF3E" w14:paraId="748EDD82" w14:textId="0F77EF93"/>
    <w:p w:rsidR="2B3EF775" w:rsidP="1A0BFF3E" w:rsidRDefault="2B3EF775" w14:paraId="7C14361C" w14:textId="20802E33">
      <w:pPr>
        <w:spacing w:before="3" w:beforeAutospacing="off" w:after="160" w:afterAutospacing="off"/>
      </w:pPr>
      <w:r w:rsidRPr="1A0BFF3E" w:rsidR="2B3EF775">
        <w:rPr>
          <w:rFonts w:ascii="Aptos" w:hAnsi="Aptos" w:eastAsia="Aptos" w:cs="Aptos"/>
          <w:b w:val="1"/>
          <w:bCs w:val="1"/>
          <w:i w:val="0"/>
          <w:iCs w:val="0"/>
          <w:strike w:val="0"/>
          <w:dstrike w:val="0"/>
          <w:noProof w:val="0"/>
          <w:color w:val="000000" w:themeColor="text1" w:themeTint="FF" w:themeShade="FF"/>
          <w:sz w:val="48"/>
          <w:szCs w:val="48"/>
          <w:u w:val="none"/>
          <w:lang w:val="en-US"/>
        </w:rPr>
        <w:t>STUDENT NUMBER: 1906811</w:t>
      </w:r>
    </w:p>
    <w:p w:rsidR="1A0BFF3E" w:rsidRDefault="1A0BFF3E" w14:paraId="4C8C2EE7" w14:textId="58647BC4"/>
    <w:p w:rsidR="1A0BFF3E" w:rsidRDefault="1A0BFF3E" w14:paraId="1582B3C7" w14:textId="606CF0B7"/>
    <w:p w:rsidR="1A0BFF3E" w:rsidP="1A0BFF3E" w:rsidRDefault="1A0BFF3E" w14:paraId="549C921A" w14:textId="0DD361A7">
      <w:pPr>
        <w:pStyle w:val="Normal"/>
      </w:pPr>
    </w:p>
    <w:p w:rsidR="1A0BFF3E" w:rsidRDefault="1A0BFF3E" w14:paraId="532BD9F6" w14:textId="73258369"/>
    <w:p w:rsidR="1A0BFF3E" w:rsidRDefault="1A0BFF3E" w14:paraId="4F41F57C" w14:textId="3F582F58"/>
    <w:p w:rsidR="1A0BFF3E" w:rsidRDefault="1A0BFF3E" w14:paraId="77593A6C" w14:textId="65CFAE62"/>
    <w:p w:rsidR="1A0BFF3E" w:rsidP="1A0BFF3E" w:rsidRDefault="1A0BFF3E" w14:paraId="4BA66185" w14:textId="60001EAA">
      <w:pPr>
        <w:pStyle w:val="Normal"/>
      </w:pPr>
    </w:p>
    <w:p w:rsidR="1A0BFF3E" w:rsidP="1A0BFF3E" w:rsidRDefault="1A0BFF3E" w14:paraId="5F9AABC8" w14:textId="59E61D45">
      <w:pPr>
        <w:pStyle w:val="Normal"/>
      </w:pPr>
    </w:p>
    <w:p w:rsidR="1A0BFF3E" w:rsidRDefault="1A0BFF3E" w14:paraId="46926653" w14:textId="0E93D1C1"/>
    <w:p w:rsidR="2B3EF775" w:rsidP="1A0BFF3E" w:rsidRDefault="2B3EF775" w14:paraId="0B1EF1D5" w14:textId="7E1895A5">
      <w:pPr>
        <w:spacing w:before="0" w:beforeAutospacing="off" w:after="0" w:afterAutospacing="off"/>
        <w:ind w:left="90" w:right="0"/>
        <w:jc w:val="both"/>
      </w:pPr>
      <w:r w:rsidRPr="1A0BFF3E" w:rsidR="2B3EF775">
        <w:rPr>
          <w:rFonts w:ascii="Aptos" w:hAnsi="Aptos" w:eastAsia="Aptos" w:cs="Aptos"/>
          <w:b w:val="1"/>
          <w:bCs w:val="1"/>
          <w:i w:val="0"/>
          <w:iCs w:val="0"/>
          <w:strike w:val="0"/>
          <w:dstrike w:val="0"/>
          <w:noProof w:val="0"/>
          <w:color w:val="000000" w:themeColor="text1" w:themeTint="FF" w:themeShade="FF"/>
          <w:sz w:val="24"/>
          <w:szCs w:val="24"/>
          <w:u w:val="none"/>
          <w:lang w:val="en-US"/>
        </w:rPr>
        <w:t>Use of Generative AI in Assessment</w:t>
      </w: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w:t>
      </w:r>
    </w:p>
    <w:p w:rsidR="1A0BFF3E" w:rsidRDefault="1A0BFF3E" w14:paraId="5F269845" w14:textId="2F4F711D"/>
    <w:p w:rsidR="1A0BFF3E" w:rsidRDefault="1A0BFF3E" w14:paraId="074BAD83" w14:textId="0710DBD3"/>
    <w:p w:rsidR="1A0BFF3E" w:rsidRDefault="1A0BFF3E" w14:paraId="30394590" w14:textId="481C1111"/>
    <w:tbl>
      <w:tblPr>
        <w:tblStyle w:val="TableNormal"/>
        <w:tblW w:w="0" w:type="auto"/>
        <w:tblLayout w:type="fixed"/>
        <w:tblLook w:val="06A0" w:firstRow="1" w:lastRow="0" w:firstColumn="1" w:lastColumn="0" w:noHBand="1" w:noVBand="1"/>
      </w:tblPr>
      <w:tblGrid>
        <w:gridCol w:w="2460"/>
        <w:gridCol w:w="5160"/>
        <w:gridCol w:w="1560"/>
      </w:tblGrid>
      <w:tr w:rsidR="1A0BFF3E" w:rsidTr="1A0BFF3E" w14:paraId="077DA740">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0A068464" w14:textId="1F809B94">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RESEARCH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1117BE54" w14:textId="070ADFC6">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support you in research, including searching for bibliography, using tools to summarise, compare and interrogate materials.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652598A4" w14:textId="5C2DAE59">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2E51FF6A" w14:textId="42EE1B7D">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3D4EE8AC" w14:textId="1166ACEB">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A0BFF3E" w:rsidTr="1A0BFF3E" w14:paraId="4A7B9D3C">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7AC34062" w14:textId="16891B22">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STRUCTURE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28DA025E" w14:textId="79EFC207">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support you in structuring your submission, including creating a draft argument structure, identifying parts and headings, etc.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13C8252A" w14:textId="04056E0D">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14272E19" w14:textId="233C7670">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3C34FE29" w14:textId="381DADEF">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A0BFF3E" w:rsidTr="1A0BFF3E" w14:paraId="384721EB">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314C75D5" w14:textId="459D4D7B">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PROOFREADING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34359B1C" w14:textId="41DCBCC9">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check your own text/creation for grammatical and syntactical mistakes, including rephrasing of your own work within specific standards.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20688333" w14:textId="1F6CE84E">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6FAAE3F4" w14:textId="208A8485">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520B0B45" w14:textId="4060663F">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A0BFF3E" w:rsidTr="1A0BFF3E" w14:paraId="5D74A15E">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0FF8AD47" w14:textId="6F71F2EB">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WRITING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6E453985" w14:textId="15AED4AB">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create text for submission.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5F941C19" w14:textId="1DFF4260">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18CEE379" w14:textId="70499A5F">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6282FAFB" w14:textId="4696E0DA">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A0BFF3E" w:rsidTr="1A0BFF3E" w14:paraId="4F673155">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057C6F31" w14:textId="53463CE7">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CREATIVE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65A3C5A3" w14:textId="24659591">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create creative materials, such as images.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54806DFD" w14:textId="589F5273">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37D4F9CE" w14:textId="307AC115">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01B85968" w14:textId="4EDA5F9B">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A0BFF3E" w:rsidTr="1A0BFF3E" w14:paraId="72097CC0">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1F1F131B" w14:textId="22D7E721">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PROGRAMING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0C526433" w14:textId="48BA8100">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can use Generative AI to create and check code.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6FBC97FD" w14:textId="2CE4B16E">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067AFF7F" w14:textId="52CD37A8">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126348DE" w14:textId="0B39D4ED">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r w:rsidR="1A0BFF3E" w:rsidTr="1A0BFF3E" w14:paraId="570455D5">
        <w:trPr>
          <w:trHeight w:val="300"/>
        </w:trPr>
        <w:tc>
          <w:tcPr>
            <w:tcW w:w="24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1CD8C8B6" w14:textId="7E046150">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NONE </w:t>
            </w:r>
          </w:p>
        </w:tc>
        <w:tc>
          <w:tcPr>
            <w:tcW w:w="51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6ECC663D" w14:textId="7D45BD68">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For this assessment, you are not allowed to use </w:t>
            </w:r>
            <w:r w:rsidRPr="1A0BFF3E" w:rsidR="1A0BFF3E">
              <w:rPr>
                <w:rFonts w:ascii="Aptos" w:hAnsi="Aptos" w:eastAsia="Aptos" w:cs="Aptos"/>
                <w:b w:val="1"/>
                <w:bCs w:val="1"/>
                <w:i w:val="0"/>
                <w:iCs w:val="0"/>
                <w:strike w:val="0"/>
                <w:dstrike w:val="0"/>
                <w:color w:val="000000" w:themeColor="text1" w:themeTint="FF" w:themeShade="FF"/>
                <w:sz w:val="24"/>
                <w:szCs w:val="24"/>
                <w:u w:val="none"/>
              </w:rPr>
              <w:t>any</w:t>
            </w: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type of Generative AI support. This includes research support, structure support, writing/proofreading support and creative support. </w:t>
            </w:r>
          </w:p>
        </w:tc>
        <w:tc>
          <w:tcPr>
            <w:tcW w:w="156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A0BFF3E" w:rsidP="1A0BFF3E" w:rsidRDefault="1A0BFF3E" w14:paraId="4C83F914" w14:textId="02F919F7">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Yes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p w:rsidR="1A0BFF3E" w:rsidP="1A0BFF3E" w:rsidRDefault="1A0BFF3E" w14:paraId="51F6D615" w14:textId="3D59451D">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 </w:t>
            </w:r>
          </w:p>
          <w:p w:rsidR="1A0BFF3E" w:rsidP="1A0BFF3E" w:rsidRDefault="1A0BFF3E" w14:paraId="54D603E7" w14:textId="38347DA7">
            <w:pPr>
              <w:spacing w:before="0" w:beforeAutospacing="off" w:after="0" w:afterAutospacing="off"/>
              <w:ind w:left="600" w:right="0"/>
            </w:pPr>
            <w:r w:rsidRPr="1A0BFF3E" w:rsidR="1A0BFF3E">
              <w:rPr>
                <w:rFonts w:ascii="Aptos" w:hAnsi="Aptos" w:eastAsia="Aptos" w:cs="Aptos"/>
                <w:b w:val="0"/>
                <w:bCs w:val="0"/>
                <w:i w:val="0"/>
                <w:iCs w:val="0"/>
                <w:strike w:val="0"/>
                <w:dstrike w:val="0"/>
                <w:color w:val="000000" w:themeColor="text1" w:themeTint="FF" w:themeShade="FF"/>
                <w:sz w:val="24"/>
                <w:szCs w:val="24"/>
                <w:u w:val="none"/>
              </w:rPr>
              <w:t xml:space="preserve">No   </w:t>
            </w:r>
            <w:r w:rsidRPr="1A0BFF3E" w:rsidR="1A0BFF3E">
              <w:rPr>
                <w:rFonts w:ascii="Quattrocento Sans" w:hAnsi="Quattrocento Sans" w:eastAsia="Quattrocento Sans" w:cs="Quattrocento Sans"/>
                <w:b w:val="0"/>
                <w:bCs w:val="0"/>
                <w:i w:val="0"/>
                <w:iCs w:val="0"/>
                <w:strike w:val="0"/>
                <w:dstrike w:val="0"/>
                <w:color w:val="000000" w:themeColor="text1" w:themeTint="FF" w:themeShade="FF"/>
                <w:sz w:val="24"/>
                <w:szCs w:val="24"/>
                <w:u w:val="none"/>
              </w:rPr>
              <w:t>☒</w:t>
            </w:r>
          </w:p>
        </w:tc>
      </w:tr>
    </w:tbl>
    <w:p w:rsidR="2B3EF775" w:rsidP="1A0BFF3E" w:rsidRDefault="2B3EF775" w14:paraId="4E86C5E4" w14:textId="0DBB068D">
      <w:pPr>
        <w:spacing w:before="0" w:beforeAutospacing="off" w:after="0" w:afterAutospacing="off"/>
      </w:pP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w:t>
      </w:r>
    </w:p>
    <w:p w:rsidR="2B3EF775" w:rsidP="1A0BFF3E" w:rsidRDefault="2B3EF775" w14:paraId="3B2AB9AB" w14:textId="23256A44">
      <w:pPr>
        <w:pStyle w:val="Normal"/>
      </w:pPr>
      <w:r w:rsidRPr="1A0BFF3E" w:rsidR="2B3EF775">
        <w:rPr>
          <w:rFonts w:ascii="Aptos" w:hAnsi="Aptos" w:eastAsia="Aptos" w:cs="Aptos"/>
          <w:b w:val="1"/>
          <w:bCs w:val="1"/>
          <w:i w:val="0"/>
          <w:iCs w:val="0"/>
          <w:strike w:val="0"/>
          <w:dstrike w:val="0"/>
          <w:noProof w:val="0"/>
          <w:color w:val="000000" w:themeColor="text1" w:themeTint="FF" w:themeShade="FF"/>
          <w:sz w:val="24"/>
          <w:szCs w:val="24"/>
          <w:u w:val="single"/>
          <w:lang w:val="en-US"/>
        </w:rPr>
        <w:t xml:space="preserve">AI Acknowledgement  </w:t>
      </w:r>
    </w:p>
    <w:p w:rsidR="2B3EF775" w:rsidP="1A0BFF3E" w:rsidRDefault="2B3EF775" w14:paraId="49CAA63C" w14:textId="77834B44">
      <w:pPr>
        <w:spacing w:before="0" w:beforeAutospacing="off" w:after="160" w:afterAutospacing="off"/>
      </w:pP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I confirm that I have not used any AI tools in the research and creation of this assignment. </w:t>
      </w:r>
    </w:p>
    <w:p w:rsidR="2B3EF775" w:rsidP="1A0BFF3E" w:rsidRDefault="2B3EF775" w14:paraId="43DD0AD4" w14:textId="2436D605">
      <w:pPr>
        <w:spacing w:before="0" w:beforeAutospacing="off" w:after="160" w:afterAutospacing="off"/>
      </w:pP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I confirm that I have not presented any AI generated materials as my own work. </w:t>
      </w:r>
    </w:p>
    <w:p w:rsidR="2B3EF775" w:rsidP="1A0BFF3E" w:rsidRDefault="2B3EF775" w14:paraId="2BBB9447" w14:textId="1E32AA1C">
      <w:pPr>
        <w:spacing w:before="0" w:beforeAutospacing="off" w:after="160" w:afterAutospacing="off"/>
      </w:pP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I confirm that I have copies of my drafts, notes, and other resources I used, which I may be asked to provide in evidence.</w:t>
      </w:r>
    </w:p>
    <w:p w:rsidR="2B3EF775" w:rsidP="1A0BFF3E" w:rsidRDefault="2B3EF775" w14:paraId="0F025BF0" w14:textId="00A34FCD">
      <w:pPr>
        <w:pStyle w:val="Normal"/>
      </w:pP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I confirm that I have not presented any AI generated materials as my own work. I confirm that I have copies of my drafts, notes, and other resources I used before and after the use of AI tools which I may be asked to </w:t>
      </w: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provide in</w:t>
      </w:r>
      <w:r w:rsidRPr="1A0BFF3E" w:rsidR="2B3EF775">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evidence. </w:t>
      </w:r>
    </w:p>
    <w:p w:rsidR="1A0BFF3E" w:rsidRDefault="1A0BFF3E" w14:paraId="4216812C" w14:textId="1AC6C165"/>
    <w:p w:rsidR="1A0BFF3E" w:rsidP="1A0BFF3E" w:rsidRDefault="1A0BFF3E" w14:paraId="0B640DA5" w14:textId="34A0FA3D">
      <w:pPr>
        <w:pStyle w:val="Normal"/>
        <w:rPr>
          <w:noProof w:val="0"/>
          <w:lang w:val="en-US"/>
        </w:rPr>
      </w:pPr>
    </w:p>
    <w:p w:rsidR="1A0BFF3E" w:rsidP="1A0BFF3E" w:rsidRDefault="1A0BFF3E" w14:paraId="699D200D" w14:textId="0DC3359F">
      <w:pPr>
        <w:pStyle w:val="Heading1"/>
        <w:rPr>
          <w:rFonts w:ascii="Calibri" w:hAnsi="Calibri" w:eastAsia="Calibri" w:cs="Calibri"/>
          <w:noProof w:val="0"/>
          <w:lang w:val="en-US"/>
        </w:rPr>
      </w:pPr>
    </w:p>
    <w:p w:rsidR="1A0BFF3E" w:rsidP="1A0BFF3E" w:rsidRDefault="1A0BFF3E" w14:paraId="28D4CD46" w14:textId="7C147558">
      <w:pPr>
        <w:pStyle w:val="Heading1"/>
        <w:rPr>
          <w:rFonts w:ascii="Calibri" w:hAnsi="Calibri" w:eastAsia="Calibri" w:cs="Calibri"/>
          <w:noProof w:val="0"/>
          <w:lang w:val="en-US"/>
        </w:rPr>
      </w:pPr>
    </w:p>
    <w:p w:rsidR="1A0BFF3E" w:rsidP="1A0BFF3E" w:rsidRDefault="1A0BFF3E" w14:paraId="5FB2EA50" w14:textId="62E17704">
      <w:pPr>
        <w:pStyle w:val="Heading1"/>
        <w:rPr>
          <w:rFonts w:ascii="Calibri" w:hAnsi="Calibri" w:eastAsia="Calibri" w:cs="Calibri"/>
          <w:noProof w:val="0"/>
          <w:lang w:val="en-US"/>
        </w:rPr>
      </w:pPr>
    </w:p>
    <w:p w:rsidR="1A0BFF3E" w:rsidP="1A0BFF3E" w:rsidRDefault="1A0BFF3E" w14:paraId="6FE0D51A" w14:textId="45644982">
      <w:pPr>
        <w:pStyle w:val="Normal"/>
        <w:rPr>
          <w:noProof w:val="0"/>
          <w:lang w:val="en-US"/>
        </w:rPr>
      </w:pPr>
    </w:p>
    <w:p w:rsidR="1A0BFF3E" w:rsidP="1A0BFF3E" w:rsidRDefault="1A0BFF3E" w14:paraId="6A924299" w14:textId="3C3D5ED3">
      <w:pPr>
        <w:pStyle w:val="Normal"/>
        <w:rPr>
          <w:noProof w:val="0"/>
          <w:lang w:val="en-US"/>
        </w:rPr>
      </w:pPr>
    </w:p>
    <w:p w:rsidR="1A0BFF3E" w:rsidP="1A0BFF3E" w:rsidRDefault="1A0BFF3E" w14:paraId="6A205338" w14:textId="5B8E5FC2">
      <w:pPr>
        <w:pStyle w:val="Normal"/>
        <w:rPr>
          <w:noProof w:val="0"/>
          <w:lang w:val="en-US"/>
        </w:rPr>
      </w:pPr>
    </w:p>
    <w:p w:rsidR="1A0BFF3E" w:rsidP="1A0BFF3E" w:rsidRDefault="1A0BFF3E" w14:paraId="6FAE4400" w14:textId="0A106ADA">
      <w:pPr>
        <w:pStyle w:val="Normal"/>
        <w:rPr>
          <w:noProof w:val="0"/>
          <w:lang w:val="en-US"/>
        </w:rPr>
      </w:pPr>
    </w:p>
    <w:p w:rsidR="1A0BFF3E" w:rsidP="1A0BFF3E" w:rsidRDefault="1A0BFF3E" w14:paraId="4EBDF599" w14:textId="179074F8">
      <w:pPr>
        <w:pStyle w:val="Normal"/>
        <w:rPr>
          <w:noProof w:val="0"/>
          <w:lang w:val="en-US"/>
        </w:rPr>
      </w:pPr>
    </w:p>
    <w:p w:rsidR="6CBE59A7" w:rsidP="1A0BFF3E" w:rsidRDefault="6CBE59A7" w14:paraId="3EA5A6AA" w14:textId="71372F58">
      <w:pPr>
        <w:pStyle w:val="Heading1"/>
        <w:rPr>
          <w:rFonts w:ascii="Calibri" w:hAnsi="Calibri" w:eastAsia="Calibri" w:cs="Calibri"/>
          <w:noProof w:val="0"/>
          <w:lang w:val="en-US"/>
        </w:rPr>
      </w:pPr>
      <w:r w:rsidRPr="1A0BFF3E" w:rsidR="48189E09">
        <w:rPr>
          <w:rFonts w:ascii="Calibri" w:hAnsi="Calibri" w:eastAsia="Calibri" w:cs="Calibri"/>
          <w:noProof w:val="0"/>
          <w:lang w:val="en-US"/>
        </w:rPr>
        <w:t>Understanding Regulatory and Legal Requirements in Supporting Inclusivity in Post-Compulsory Education</w:t>
      </w:r>
    </w:p>
    <w:p w:rsidR="6CBE59A7" w:rsidP="1A0BFF3E" w:rsidRDefault="6CBE59A7" w14:paraId="18BBB9F7" w14:textId="559213A9">
      <w:pPr>
        <w:pStyle w:val="Heading2"/>
        <w:rPr>
          <w:rFonts w:ascii="Calibri" w:hAnsi="Calibri" w:eastAsia="Calibri" w:cs="Calibri"/>
          <w:noProof w:val="0"/>
          <w:lang w:val="en-US"/>
        </w:rPr>
      </w:pPr>
      <w:r w:rsidRPr="1A0BFF3E" w:rsidR="6204DDC1">
        <w:rPr>
          <w:rFonts w:ascii="Calibri" w:hAnsi="Calibri" w:eastAsia="Calibri" w:cs="Calibri"/>
          <w:noProof w:val="0"/>
          <w:lang w:val="en-US"/>
        </w:rPr>
        <w:t>Introduction</w:t>
      </w:r>
      <w:r w:rsidRPr="1A0BFF3E" w:rsidR="6204DDC1">
        <w:rPr>
          <w:rFonts w:ascii="Calibri" w:hAnsi="Calibri" w:eastAsia="Calibri" w:cs="Calibri"/>
          <w:noProof w:val="0"/>
          <w:lang w:val="en-US"/>
        </w:rPr>
        <w:t xml:space="preserve"> </w:t>
      </w:r>
    </w:p>
    <w:p w:rsidR="6CBE59A7" w:rsidP="1A0BFF3E" w:rsidRDefault="6CBE59A7" w14:paraId="1D79FEEC" w14:textId="6DBCF4EE">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This report examines the regulatory and legal frameworks governing post-compulsory education in Wales, focusing on accommodating </w:t>
      </w:r>
      <w:r w:rsidRPr="1A0BFF3E" w:rsidR="6204DDC1">
        <w:rPr>
          <w:rFonts w:ascii="Calibri" w:hAnsi="Calibri" w:eastAsia="Calibri" w:cs="Calibri"/>
          <w:noProof w:val="0"/>
          <w:sz w:val="24"/>
          <w:szCs w:val="24"/>
          <w:lang w:val="en-US"/>
        </w:rPr>
        <w:t>additional</w:t>
      </w:r>
      <w:r w:rsidRPr="1A0BFF3E" w:rsidR="6204DDC1">
        <w:rPr>
          <w:rFonts w:ascii="Calibri" w:hAnsi="Calibri" w:eastAsia="Calibri" w:cs="Calibri"/>
          <w:noProof w:val="0"/>
          <w:sz w:val="24"/>
          <w:szCs w:val="24"/>
          <w:lang w:val="en-US"/>
        </w:rPr>
        <w:t xml:space="preserve"> learning needs (ALN) and fostering inclusivity. It provides an overview of key legislation and policies affecting learners, notably the Equality Act 2010 and the Additional Learning Needs and Education Tribunal (Wales) Act 2018. These frameworks are applied to institutional strategies designed to ensure equal access and support for all students. The report highlights how inclusive practices, underpinned by legal duties and educational theory such as the Social Model of Disability, promote equity and success. Institutional responsibility, mental health considerations, and practical inclusive teaching strategies are also discussed to </w:t>
      </w:r>
      <w:r w:rsidRPr="1A0BFF3E" w:rsidR="6204DDC1">
        <w:rPr>
          <w:rFonts w:ascii="Calibri" w:hAnsi="Calibri" w:eastAsia="Calibri" w:cs="Calibri"/>
          <w:noProof w:val="0"/>
          <w:sz w:val="24"/>
          <w:szCs w:val="24"/>
          <w:lang w:val="en-US"/>
        </w:rPr>
        <w:t>demonstrate</w:t>
      </w:r>
      <w:r w:rsidRPr="1A0BFF3E" w:rsidR="6204DDC1">
        <w:rPr>
          <w:rFonts w:ascii="Calibri" w:hAnsi="Calibri" w:eastAsia="Calibri" w:cs="Calibri"/>
          <w:noProof w:val="0"/>
          <w:sz w:val="24"/>
          <w:szCs w:val="24"/>
          <w:lang w:val="en-US"/>
        </w:rPr>
        <w:t xml:space="preserve"> comprehensive support for diverse learners.</w:t>
      </w:r>
    </w:p>
    <w:p w:rsidR="6CBE59A7" w:rsidP="1A0BFF3E" w:rsidRDefault="6CBE59A7" w14:paraId="31F50C99" w14:textId="62938F13">
      <w:pPr>
        <w:pStyle w:val="Heading2"/>
        <w:rPr>
          <w:rFonts w:ascii="Calibri" w:hAnsi="Calibri" w:eastAsia="Calibri" w:cs="Calibri"/>
          <w:noProof w:val="0"/>
          <w:lang w:val="en-US"/>
        </w:rPr>
      </w:pPr>
      <w:r w:rsidRPr="1A0BFF3E" w:rsidR="6204DDC1">
        <w:rPr>
          <w:rFonts w:ascii="Calibri" w:hAnsi="Calibri" w:eastAsia="Calibri" w:cs="Calibri"/>
          <w:noProof w:val="0"/>
          <w:lang w:val="en-US"/>
        </w:rPr>
        <w:t>Regulatory and Legal Framework</w:t>
      </w:r>
    </w:p>
    <w:p w:rsidR="6CBE59A7" w:rsidP="1A0BFF3E" w:rsidRDefault="6CBE59A7" w14:paraId="0BBEFBF6" w14:textId="01A49ACA">
      <w:pPr>
        <w:pStyle w:val="Heading3"/>
        <w:rPr>
          <w:rFonts w:ascii="Calibri" w:hAnsi="Calibri" w:eastAsia="Calibri" w:cs="Calibri"/>
          <w:noProof w:val="0"/>
          <w:lang w:val="en-US"/>
        </w:rPr>
      </w:pPr>
      <w:r w:rsidRPr="1A0BFF3E" w:rsidR="6204DDC1">
        <w:rPr>
          <w:rFonts w:ascii="Calibri" w:hAnsi="Calibri" w:eastAsia="Calibri" w:cs="Calibri"/>
          <w:noProof w:val="0"/>
          <w:lang w:val="en-US"/>
        </w:rPr>
        <w:t>National Legislation</w:t>
      </w:r>
    </w:p>
    <w:p w:rsidR="6CBE59A7" w:rsidP="1A0BFF3E" w:rsidRDefault="6CBE59A7" w14:paraId="666AFDBD" w14:textId="49C4BD13">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The Equality Act 2010 provides protection against discrimination based on nine protected characteristics, including disability, race, gender, age, sexual orientation, and religion (Equality and Human Rights Commission, 2018). For post-compulsory education, the Act mandates “reasonable adjustments” to ensure learners with disabilities and ALN receive equal access. Adjustments may include physical adaptations like ramps, changes to assessment arrangements such as extra time or alternative formats, and differentiated teaching approaches (Department for Education, </w:t>
      </w:r>
      <w:r w:rsidRPr="1A0BFF3E" w:rsidR="6204DDC1">
        <w:rPr>
          <w:rFonts w:ascii="Calibri" w:hAnsi="Calibri" w:eastAsia="Calibri" w:cs="Calibri"/>
          <w:noProof w:val="0"/>
          <w:sz w:val="24"/>
          <w:szCs w:val="24"/>
          <w:lang w:val="en-US"/>
        </w:rPr>
        <w:t>2022</w:t>
      </w:r>
      <w:r w:rsidRPr="1A0BFF3E" w:rsidR="6204DDC1">
        <w:rPr>
          <w:rFonts w:ascii="Calibri" w:hAnsi="Calibri" w:eastAsia="Calibri" w:cs="Calibri"/>
          <w:noProof w:val="0"/>
          <w:sz w:val="24"/>
          <w:szCs w:val="24"/>
          <w:lang w:val="en-US"/>
        </w:rPr>
        <w:t>). The Act is grounded in the Social Model of Disability, which shifts the focus from individual impairments to societal and environmental barriers that hinder participation (Barnes, 2012; Shakespeare, 2013).</w:t>
      </w:r>
    </w:p>
    <w:p w:rsidR="6CBE59A7" w:rsidP="1A0BFF3E" w:rsidRDefault="6CBE59A7" w14:paraId="06EF48BF" w14:textId="71460530">
      <w:pPr>
        <w:pStyle w:val="Heading3"/>
        <w:rPr>
          <w:rFonts w:ascii="Calibri" w:hAnsi="Calibri" w:eastAsia="Calibri" w:cs="Calibri"/>
          <w:noProof w:val="0"/>
          <w:lang w:val="en-US"/>
        </w:rPr>
      </w:pPr>
      <w:r w:rsidRPr="1A0BFF3E" w:rsidR="6204DDC1">
        <w:rPr>
          <w:rFonts w:ascii="Calibri" w:hAnsi="Calibri" w:eastAsia="Calibri" w:cs="Calibri"/>
          <w:noProof w:val="0"/>
          <w:lang w:val="en-US"/>
        </w:rPr>
        <w:t>Wales-Specific Legislation</w:t>
      </w:r>
    </w:p>
    <w:p w:rsidR="6CBE59A7" w:rsidP="1A0BFF3E" w:rsidRDefault="6CBE59A7" w14:paraId="321D76D5" w14:textId="6EBEF165">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Wales’s ALN and Education Tribunal (Wales) Act 2018 marks a significant reform, replacing Statements of Special Educational Needs with Individual Development Plans (IDPs) for learners aged 0-25. The Act supports a unified and coherent approach across educational stages, with flexibility to adapt support as needs evolve (Welsh Government, 2018). For example, an IDP for a learner with autism might include sensory-friendly classroom environments and visual timetables to aid understanding and reduce anxiety. This legislation aligns with the Welsh Government’s Well-being of Future Generations (Wales) Act 2015, which promotes sustainable and inclusive education systems that address learners’ wellbeing holistically (Welsh Government, 2015).</w:t>
      </w:r>
    </w:p>
    <w:p w:rsidR="6CBE59A7" w:rsidP="1A0BFF3E" w:rsidRDefault="6CBE59A7" w14:paraId="040EDD5C" w14:textId="74836C6A">
      <w:pPr>
        <w:pStyle w:val="Heading2"/>
        <w:rPr>
          <w:rFonts w:ascii="Calibri" w:hAnsi="Calibri" w:eastAsia="Calibri" w:cs="Calibri"/>
          <w:noProof w:val="0"/>
          <w:lang w:val="en-US"/>
        </w:rPr>
      </w:pPr>
      <w:r w:rsidRPr="1A0BFF3E" w:rsidR="6204DDC1">
        <w:rPr>
          <w:rFonts w:ascii="Calibri" w:hAnsi="Calibri" w:eastAsia="Calibri" w:cs="Calibri"/>
          <w:noProof w:val="0"/>
          <w:lang w:val="en-US"/>
        </w:rPr>
        <w:t>Institutional Policies and Procedures</w:t>
      </w:r>
      <w:r w:rsidRPr="1A0BFF3E" w:rsidR="6204DDC1">
        <w:rPr>
          <w:rFonts w:ascii="Calibri" w:hAnsi="Calibri" w:eastAsia="Calibri" w:cs="Calibri"/>
          <w:noProof w:val="0"/>
          <w:lang w:val="en-US"/>
        </w:rPr>
        <w:t xml:space="preserve"> </w:t>
      </w:r>
    </w:p>
    <w:p w:rsidR="6CBE59A7" w:rsidP="1A0BFF3E" w:rsidRDefault="6CBE59A7" w14:paraId="4047445B" w14:textId="58F60300">
      <w:pPr>
        <w:pStyle w:val="Heading3"/>
        <w:rPr>
          <w:rFonts w:ascii="Calibri" w:hAnsi="Calibri" w:eastAsia="Calibri" w:cs="Calibri"/>
          <w:noProof w:val="0"/>
          <w:lang w:val="en-US"/>
        </w:rPr>
      </w:pPr>
      <w:r w:rsidRPr="1A0BFF3E" w:rsidR="6204DDC1">
        <w:rPr>
          <w:rFonts w:ascii="Calibri" w:hAnsi="Calibri" w:eastAsia="Calibri" w:cs="Calibri"/>
          <w:noProof w:val="0"/>
          <w:lang w:val="en-US"/>
        </w:rPr>
        <w:t>Institutional Responsibility</w:t>
      </w:r>
    </w:p>
    <w:p w:rsidR="6CBE59A7" w:rsidP="1A0BFF3E" w:rsidRDefault="6CBE59A7" w14:paraId="75B6EF42" w14:textId="21122C6D">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Educational institutions have both legal and ethical responsibilities to implement policies that embed inclusivity, ensuring that learners with ALN can </w:t>
      </w:r>
      <w:r w:rsidRPr="1A0BFF3E" w:rsidR="6204DDC1">
        <w:rPr>
          <w:rFonts w:ascii="Calibri" w:hAnsi="Calibri" w:eastAsia="Calibri" w:cs="Calibri"/>
          <w:noProof w:val="0"/>
          <w:sz w:val="24"/>
          <w:szCs w:val="24"/>
          <w:lang w:val="en-US"/>
        </w:rPr>
        <w:t>participate</w:t>
      </w:r>
      <w:r w:rsidRPr="1A0BFF3E" w:rsidR="6204DDC1">
        <w:rPr>
          <w:rFonts w:ascii="Calibri" w:hAnsi="Calibri" w:eastAsia="Calibri" w:cs="Calibri"/>
          <w:noProof w:val="0"/>
          <w:sz w:val="24"/>
          <w:szCs w:val="24"/>
          <w:lang w:val="en-US"/>
        </w:rPr>
        <w:t xml:space="preserve"> fully (Department for Education, 2022). These policies must align with national legislation such as the Equality Act 2010 and the ALN Act 2018, translating legal requirements into practice.</w:t>
      </w:r>
    </w:p>
    <w:p w:rsidR="6CBE59A7" w:rsidP="1A0BFF3E" w:rsidRDefault="6CBE59A7" w14:paraId="38EB3A5B" w14:textId="4C071F2D">
      <w:pPr>
        <w:pStyle w:val="Heading3"/>
        <w:rPr>
          <w:rFonts w:ascii="Calibri" w:hAnsi="Calibri" w:eastAsia="Calibri" w:cs="Calibri"/>
          <w:noProof w:val="0"/>
          <w:lang w:val="en-US"/>
        </w:rPr>
      </w:pPr>
      <w:r w:rsidRPr="1A0BFF3E" w:rsidR="6204DDC1">
        <w:rPr>
          <w:rFonts w:ascii="Calibri" w:hAnsi="Calibri" w:eastAsia="Calibri" w:cs="Calibri"/>
          <w:noProof w:val="0"/>
          <w:lang w:val="en-US"/>
        </w:rPr>
        <w:t>Policy Examples</w:t>
      </w:r>
    </w:p>
    <w:p w:rsidR="6CBE59A7" w:rsidP="1A0BFF3E" w:rsidRDefault="6CBE59A7" w14:paraId="5E6BD040" w14:textId="5CDD6C52">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At Bridgend College, inclusive policies reflect these obligations by providing extended exam time, note-taking support, and assistive technologies such as text-to-speech software and alternative input devices. Physical accessibility measures include ramps, lifts, and adapted facilities, reducing environmental barriers. Student Support Services collaborate closely with learners to design </w:t>
      </w:r>
      <w:r w:rsidRPr="1A0BFF3E" w:rsidR="6204DDC1">
        <w:rPr>
          <w:rFonts w:ascii="Calibri" w:hAnsi="Calibri" w:eastAsia="Calibri" w:cs="Calibri"/>
          <w:noProof w:val="0"/>
          <w:sz w:val="24"/>
          <w:szCs w:val="24"/>
          <w:lang w:val="en-US"/>
        </w:rPr>
        <w:t>personalised</w:t>
      </w:r>
      <w:r w:rsidRPr="1A0BFF3E" w:rsidR="6204DDC1">
        <w:rPr>
          <w:rFonts w:ascii="Calibri" w:hAnsi="Calibri" w:eastAsia="Calibri" w:cs="Calibri"/>
          <w:noProof w:val="0"/>
          <w:sz w:val="24"/>
          <w:szCs w:val="24"/>
          <w:lang w:val="en-US"/>
        </w:rPr>
        <w:t xml:space="preserve"> academic accommodations like flexible deadlines and alternative assessment methods.</w:t>
      </w:r>
    </w:p>
    <w:p w:rsidR="6CBE59A7" w:rsidP="1A0BFF3E" w:rsidRDefault="6CBE59A7" w14:paraId="7534C76F" w14:textId="532F6615">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Staff training is central to institutional inclusivity, equipping educators with knowledge of legal duties, diverse learning needs, and inclusive pedagogy (BERA, 2018). Regular professional development fosters a culture of inclusion and ensures consistent application of policies. These institutional strategies </w:t>
      </w:r>
      <w:r w:rsidRPr="1A0BFF3E" w:rsidR="6204DDC1">
        <w:rPr>
          <w:rFonts w:ascii="Calibri" w:hAnsi="Calibri" w:eastAsia="Calibri" w:cs="Calibri"/>
          <w:noProof w:val="0"/>
          <w:sz w:val="24"/>
          <w:szCs w:val="24"/>
          <w:lang w:val="en-US"/>
        </w:rPr>
        <w:t>demonstrate</w:t>
      </w:r>
      <w:r w:rsidRPr="1A0BFF3E" w:rsidR="6204DDC1">
        <w:rPr>
          <w:rFonts w:ascii="Calibri" w:hAnsi="Calibri" w:eastAsia="Calibri" w:cs="Calibri"/>
          <w:noProof w:val="0"/>
          <w:sz w:val="24"/>
          <w:szCs w:val="24"/>
          <w:lang w:val="en-US"/>
        </w:rPr>
        <w:t xml:space="preserve"> commitment to the Social Model of Disability by addressing systemic barriers rather than focusing solely on individual deficits.</w:t>
      </w:r>
    </w:p>
    <w:p w:rsidR="6CBE59A7" w:rsidP="1A0BFF3E" w:rsidRDefault="6CBE59A7" w14:paraId="67344E51" w14:textId="2C735898">
      <w:pPr>
        <w:pStyle w:val="Heading2"/>
        <w:rPr>
          <w:rFonts w:ascii="Calibri" w:hAnsi="Calibri" w:eastAsia="Calibri" w:cs="Calibri"/>
          <w:noProof w:val="0"/>
          <w:sz w:val="24"/>
          <w:szCs w:val="24"/>
          <w:lang w:val="en-US"/>
        </w:rPr>
      </w:pPr>
      <w:r w:rsidRPr="1A0BFF3E" w:rsidR="6204DDC1">
        <w:rPr>
          <w:rFonts w:ascii="Calibri" w:hAnsi="Calibri" w:eastAsia="Calibri" w:cs="Calibri"/>
          <w:noProof w:val="0"/>
          <w:lang w:val="en-US"/>
        </w:rPr>
        <w:t>Demonstrating Inclusivity in the Post-Compulsory Classroom</w:t>
      </w:r>
    </w:p>
    <w:p w:rsidR="6CBE59A7" w:rsidP="1A0BFF3E" w:rsidRDefault="6CBE59A7" w14:paraId="1E028EFF" w14:textId="2CD84D74">
      <w:pPr>
        <w:pStyle w:val="Heading3"/>
        <w:rPr>
          <w:rFonts w:ascii="Calibri" w:hAnsi="Calibri" w:eastAsia="Calibri" w:cs="Calibri"/>
          <w:noProof w:val="0"/>
          <w:lang w:val="en-US"/>
        </w:rPr>
      </w:pPr>
      <w:r w:rsidRPr="1A0BFF3E" w:rsidR="6204DDC1">
        <w:rPr>
          <w:rFonts w:ascii="Calibri" w:hAnsi="Calibri" w:eastAsia="Calibri" w:cs="Calibri"/>
          <w:noProof w:val="0"/>
          <w:lang w:val="en-US"/>
        </w:rPr>
        <w:t>Universal Design for Learning (UDL)</w:t>
      </w:r>
    </w:p>
    <w:p w:rsidR="6CBE59A7" w:rsidP="1A0BFF3E" w:rsidRDefault="6CBE59A7" w14:paraId="48F3D417" w14:textId="71FB4AF5">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Universal Design for Learning (UDL) is a research-based educational framework that promotes inclusive practice through multiple means of engagement, representation, and expression (CAST, 2018). By </w:t>
      </w:r>
      <w:r w:rsidRPr="1A0BFF3E" w:rsidR="6204DDC1">
        <w:rPr>
          <w:rFonts w:ascii="Calibri" w:hAnsi="Calibri" w:eastAsia="Calibri" w:cs="Calibri"/>
          <w:noProof w:val="0"/>
          <w:sz w:val="24"/>
          <w:szCs w:val="24"/>
          <w:lang w:val="en-US"/>
        </w:rPr>
        <w:t>anticipating</w:t>
      </w:r>
      <w:r w:rsidRPr="1A0BFF3E" w:rsidR="6204DDC1">
        <w:rPr>
          <w:rFonts w:ascii="Calibri" w:hAnsi="Calibri" w:eastAsia="Calibri" w:cs="Calibri"/>
          <w:noProof w:val="0"/>
          <w:sz w:val="24"/>
          <w:szCs w:val="24"/>
          <w:lang w:val="en-US"/>
        </w:rPr>
        <w:t xml:space="preserve"> learner variability, UDL removes barriers to learning and enables access for all students regardless of ability or learning preference. Examples </w:t>
      </w:r>
      <w:r w:rsidRPr="1A0BFF3E" w:rsidR="6204DDC1">
        <w:rPr>
          <w:rFonts w:ascii="Calibri" w:hAnsi="Calibri" w:eastAsia="Calibri" w:cs="Calibri"/>
          <w:noProof w:val="0"/>
          <w:sz w:val="24"/>
          <w:szCs w:val="24"/>
          <w:lang w:val="en-US"/>
        </w:rPr>
        <w:t>include using</w:t>
      </w:r>
      <w:r w:rsidRPr="1A0BFF3E" w:rsidR="6204DDC1">
        <w:rPr>
          <w:rFonts w:ascii="Calibri" w:hAnsi="Calibri" w:eastAsia="Calibri" w:cs="Calibri"/>
          <w:noProof w:val="0"/>
          <w:sz w:val="24"/>
          <w:szCs w:val="24"/>
          <w:lang w:val="en-US"/>
        </w:rPr>
        <w:t xml:space="preserve"> visual aids, audio materials, interactive digital resources, and flexible assessment formats. Such approaches align with the legal mandate for reasonable adjustments and support learners with disabilities in engaging meaningfully with the curriculum.</w:t>
      </w:r>
    </w:p>
    <w:p w:rsidR="6CBE59A7" w:rsidP="1A0BFF3E" w:rsidRDefault="6CBE59A7" w14:paraId="412C3C06" w14:textId="41FEFB32">
      <w:pPr>
        <w:pStyle w:val="Heading3"/>
        <w:rPr>
          <w:rFonts w:ascii="Calibri" w:hAnsi="Calibri" w:eastAsia="Calibri" w:cs="Calibri"/>
          <w:noProof w:val="0"/>
          <w:lang w:val="en-US"/>
        </w:rPr>
      </w:pPr>
      <w:r w:rsidRPr="1A0BFF3E" w:rsidR="6204DDC1">
        <w:rPr>
          <w:rFonts w:ascii="Calibri" w:hAnsi="Calibri" w:eastAsia="Calibri" w:cs="Calibri"/>
          <w:noProof w:val="0"/>
          <w:lang w:val="en-US"/>
        </w:rPr>
        <w:t>Inclusive Teaching Strategies</w:t>
      </w:r>
    </w:p>
    <w:p w:rsidR="6CBE59A7" w:rsidP="1A0BFF3E" w:rsidRDefault="6CBE59A7" w14:paraId="19B18A60" w14:textId="58B4468B">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Differentiation, scaffolding, and collaborative learning are </w:t>
      </w:r>
      <w:r w:rsidRPr="1A0BFF3E" w:rsidR="6204DDC1">
        <w:rPr>
          <w:rFonts w:ascii="Calibri" w:hAnsi="Calibri" w:eastAsia="Calibri" w:cs="Calibri"/>
          <w:noProof w:val="0"/>
          <w:sz w:val="24"/>
          <w:szCs w:val="24"/>
          <w:lang w:val="en-US"/>
        </w:rPr>
        <w:t>essential</w:t>
      </w:r>
      <w:r w:rsidRPr="1A0BFF3E" w:rsidR="6204DDC1">
        <w:rPr>
          <w:rFonts w:ascii="Calibri" w:hAnsi="Calibri" w:eastAsia="Calibri" w:cs="Calibri"/>
          <w:noProof w:val="0"/>
          <w:sz w:val="24"/>
          <w:szCs w:val="24"/>
          <w:lang w:val="en-US"/>
        </w:rPr>
        <w:t xml:space="preserve"> inclusive teaching strategies. Differentiation </w:t>
      </w:r>
      <w:r w:rsidRPr="1A0BFF3E" w:rsidR="6204DDC1">
        <w:rPr>
          <w:rFonts w:ascii="Calibri" w:hAnsi="Calibri" w:eastAsia="Calibri" w:cs="Calibri"/>
          <w:noProof w:val="0"/>
          <w:sz w:val="24"/>
          <w:szCs w:val="24"/>
          <w:lang w:val="en-US"/>
        </w:rPr>
        <w:t>tailors</w:t>
      </w:r>
      <w:r w:rsidRPr="1A0BFF3E" w:rsidR="6204DDC1">
        <w:rPr>
          <w:rFonts w:ascii="Calibri" w:hAnsi="Calibri" w:eastAsia="Calibri" w:cs="Calibri"/>
          <w:noProof w:val="0"/>
          <w:sz w:val="24"/>
          <w:szCs w:val="24"/>
          <w:lang w:val="en-US"/>
        </w:rPr>
        <w:t xml:space="preserve"> content and delivery to meet diverse learner needs, while scaffolding provides structured support to build independence (Tomlinson, 2014). Collaborative learning fosters peer interaction and social inclusion, which is vital for learners who may experience isolation due to their </w:t>
      </w:r>
      <w:r w:rsidRPr="1A0BFF3E" w:rsidR="6204DDC1">
        <w:rPr>
          <w:rFonts w:ascii="Calibri" w:hAnsi="Calibri" w:eastAsia="Calibri" w:cs="Calibri"/>
          <w:noProof w:val="0"/>
          <w:sz w:val="24"/>
          <w:szCs w:val="24"/>
          <w:lang w:val="en-US"/>
        </w:rPr>
        <w:t>additional</w:t>
      </w:r>
      <w:r w:rsidRPr="1A0BFF3E" w:rsidR="6204DDC1">
        <w:rPr>
          <w:rFonts w:ascii="Calibri" w:hAnsi="Calibri" w:eastAsia="Calibri" w:cs="Calibri"/>
          <w:noProof w:val="0"/>
          <w:sz w:val="24"/>
          <w:szCs w:val="24"/>
          <w:lang w:val="en-US"/>
        </w:rPr>
        <w:t xml:space="preserve"> needs. Creating a culture of respect and belonging encourages diverse perspectives and empowers learners. Embedding these strategies helps meet legal and ethical standards, ensuring all students have </w:t>
      </w:r>
      <w:r w:rsidRPr="1A0BFF3E" w:rsidR="6204DDC1">
        <w:rPr>
          <w:rFonts w:ascii="Calibri" w:hAnsi="Calibri" w:eastAsia="Calibri" w:cs="Calibri"/>
          <w:noProof w:val="0"/>
          <w:sz w:val="24"/>
          <w:szCs w:val="24"/>
          <w:lang w:val="en-US"/>
        </w:rPr>
        <w:t>equitable</w:t>
      </w:r>
      <w:r w:rsidRPr="1A0BFF3E" w:rsidR="6204DDC1">
        <w:rPr>
          <w:rFonts w:ascii="Calibri" w:hAnsi="Calibri" w:eastAsia="Calibri" w:cs="Calibri"/>
          <w:noProof w:val="0"/>
          <w:sz w:val="24"/>
          <w:szCs w:val="24"/>
          <w:lang w:val="en-US"/>
        </w:rPr>
        <w:t xml:space="preserve"> opportunities to succeed.</w:t>
      </w:r>
    </w:p>
    <w:p w:rsidR="6CBE59A7" w:rsidP="1A0BFF3E" w:rsidRDefault="6CBE59A7" w14:paraId="3329798D" w14:textId="3EF24652">
      <w:pPr>
        <w:pStyle w:val="Heading2"/>
        <w:rPr>
          <w:rFonts w:ascii="Calibri" w:hAnsi="Calibri" w:eastAsia="Calibri" w:cs="Calibri"/>
          <w:noProof w:val="0"/>
          <w:lang w:val="en-US"/>
        </w:rPr>
      </w:pPr>
      <w:r w:rsidRPr="1A0BFF3E" w:rsidR="6204DDC1">
        <w:rPr>
          <w:rFonts w:ascii="Calibri" w:hAnsi="Calibri" w:eastAsia="Calibri" w:cs="Calibri"/>
          <w:noProof w:val="0"/>
          <w:lang w:val="en-US"/>
        </w:rPr>
        <w:t>Mental Health and Wellbeing in Post-Compulsory Education</w:t>
      </w:r>
      <w:r w:rsidRPr="1A0BFF3E" w:rsidR="6204DDC1">
        <w:rPr>
          <w:rFonts w:ascii="Calibri" w:hAnsi="Calibri" w:eastAsia="Calibri" w:cs="Calibri"/>
          <w:noProof w:val="0"/>
          <w:lang w:val="en-US"/>
        </w:rPr>
        <w:t xml:space="preserve"> </w:t>
      </w:r>
    </w:p>
    <w:p w:rsidR="6CBE59A7" w:rsidP="1A0BFF3E" w:rsidRDefault="6CBE59A7" w14:paraId="024EAACA" w14:textId="6C54E8EB">
      <w:pPr>
        <w:pStyle w:val="Heading3"/>
        <w:rPr>
          <w:rFonts w:ascii="Calibri" w:hAnsi="Calibri" w:eastAsia="Calibri" w:cs="Calibri"/>
          <w:noProof w:val="0"/>
          <w:lang w:val="en-US"/>
        </w:rPr>
      </w:pPr>
      <w:r w:rsidRPr="1A0BFF3E" w:rsidR="6204DDC1">
        <w:rPr>
          <w:rFonts w:ascii="Calibri" w:hAnsi="Calibri" w:eastAsia="Calibri" w:cs="Calibri"/>
          <w:noProof w:val="0"/>
          <w:lang w:val="en-US"/>
        </w:rPr>
        <w:t>Student Mental Health</w:t>
      </w:r>
    </w:p>
    <w:p w:rsidR="6CBE59A7" w:rsidP="1A0BFF3E" w:rsidRDefault="6CBE59A7" w14:paraId="3A2FDDB3" w14:textId="62F5F8AC">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Mental health is a critical dimension of student wellbeing in post-compulsory education, influencing academic performance and overall engagement (Barden, 2019). Academic pressures, social transitions, and future uncertainties can </w:t>
      </w:r>
      <w:r w:rsidRPr="1A0BFF3E" w:rsidR="6204DDC1">
        <w:rPr>
          <w:rFonts w:ascii="Calibri" w:hAnsi="Calibri" w:eastAsia="Calibri" w:cs="Calibri"/>
          <w:noProof w:val="0"/>
          <w:sz w:val="24"/>
          <w:szCs w:val="24"/>
          <w:lang w:val="en-US"/>
        </w:rPr>
        <w:t>exacerbate</w:t>
      </w:r>
      <w:r w:rsidRPr="1A0BFF3E" w:rsidR="6204DDC1">
        <w:rPr>
          <w:rFonts w:ascii="Calibri" w:hAnsi="Calibri" w:eastAsia="Calibri" w:cs="Calibri"/>
          <w:noProof w:val="0"/>
          <w:sz w:val="24"/>
          <w:szCs w:val="24"/>
          <w:lang w:val="en-US"/>
        </w:rPr>
        <w:t xml:space="preserve"> conditions such as anxiety and depression. Institutional policies must </w:t>
      </w:r>
      <w:r w:rsidRPr="1A0BFF3E" w:rsidR="6204DDC1">
        <w:rPr>
          <w:rFonts w:ascii="Calibri" w:hAnsi="Calibri" w:eastAsia="Calibri" w:cs="Calibri"/>
          <w:noProof w:val="0"/>
          <w:sz w:val="24"/>
          <w:szCs w:val="24"/>
          <w:lang w:val="en-US"/>
        </w:rPr>
        <w:t>prioritise</w:t>
      </w:r>
      <w:r w:rsidRPr="1A0BFF3E" w:rsidR="6204DDC1">
        <w:rPr>
          <w:rFonts w:ascii="Calibri" w:hAnsi="Calibri" w:eastAsia="Calibri" w:cs="Calibri"/>
          <w:noProof w:val="0"/>
          <w:sz w:val="24"/>
          <w:szCs w:val="24"/>
          <w:lang w:val="en-US"/>
        </w:rPr>
        <w:t xml:space="preserve"> accessible mental health support, including early intervention through counselling, peer support, and mental health awareness programs (Anon, 2019). The Well-being of Future Generations (Wales) Act 2015 underlines the importance of holistic </w:t>
      </w:r>
      <w:r w:rsidRPr="1A0BFF3E" w:rsidR="6204DDC1">
        <w:rPr>
          <w:rFonts w:ascii="Calibri" w:hAnsi="Calibri" w:eastAsia="Calibri" w:cs="Calibri"/>
          <w:noProof w:val="0"/>
          <w:sz w:val="24"/>
          <w:szCs w:val="24"/>
          <w:lang w:val="en-US"/>
        </w:rPr>
        <w:t>wellbeing</w:t>
      </w:r>
      <w:r w:rsidRPr="1A0BFF3E" w:rsidR="6204DDC1">
        <w:rPr>
          <w:rFonts w:ascii="Calibri" w:hAnsi="Calibri" w:eastAsia="Calibri" w:cs="Calibri"/>
          <w:noProof w:val="0"/>
          <w:sz w:val="24"/>
          <w:szCs w:val="24"/>
          <w:lang w:val="en-US"/>
        </w:rPr>
        <w:t>, reinforcing these responsibilities at a national level (Welsh Government, 2015).</w:t>
      </w:r>
    </w:p>
    <w:p w:rsidR="6CBE59A7" w:rsidP="1A0BFF3E" w:rsidRDefault="6CBE59A7" w14:paraId="0A2F7E5B" w14:textId="1063C6C5">
      <w:pPr>
        <w:pStyle w:val="Heading3"/>
        <w:rPr>
          <w:rFonts w:ascii="Calibri" w:hAnsi="Calibri" w:eastAsia="Calibri" w:cs="Calibri"/>
          <w:noProof w:val="0"/>
          <w:lang w:val="en-US"/>
        </w:rPr>
      </w:pPr>
      <w:r w:rsidRPr="1A0BFF3E" w:rsidR="6204DDC1">
        <w:rPr>
          <w:rFonts w:ascii="Calibri" w:hAnsi="Calibri" w:eastAsia="Calibri" w:cs="Calibri"/>
          <w:noProof w:val="0"/>
          <w:lang w:val="en-US"/>
        </w:rPr>
        <w:t>Impact on Academic Performance</w:t>
      </w:r>
    </w:p>
    <w:p w:rsidR="6CBE59A7" w:rsidP="1A0BFF3E" w:rsidRDefault="6CBE59A7" w14:paraId="140F3DC2" w14:textId="69A93448">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Mental health challenges can undermine concentration, motivation, and cognitive functioning, affecting attendance, participation, and assignment completion. Reasonable adjustments like extended deadlines, alternative assessments, and mental health workshops can mitigate these impacts and support student success. By integrating mental health support with inclusive teaching practices, institutions create learning environments where all students, regardless of mental health status, can thrive academically and emotionally.</w:t>
      </w:r>
    </w:p>
    <w:p w:rsidR="6CBE59A7" w:rsidP="1A0BFF3E" w:rsidRDefault="6CBE59A7" w14:paraId="51526A01" w14:textId="5E53CFF3">
      <w:pPr>
        <w:pStyle w:val="Heading2"/>
        <w:rPr>
          <w:rFonts w:ascii="Calibri" w:hAnsi="Calibri" w:eastAsia="Calibri" w:cs="Calibri"/>
          <w:noProof w:val="0"/>
          <w:lang w:val="en-US"/>
        </w:rPr>
      </w:pPr>
      <w:r w:rsidRPr="1A0BFF3E" w:rsidR="6204DDC1">
        <w:rPr>
          <w:rFonts w:ascii="Calibri" w:hAnsi="Calibri" w:eastAsia="Calibri" w:cs="Calibri"/>
          <w:noProof w:val="0"/>
          <w:lang w:val="en-US"/>
        </w:rPr>
        <w:t>Conclusion</w:t>
      </w:r>
      <w:r w:rsidRPr="1A0BFF3E" w:rsidR="6204DDC1">
        <w:rPr>
          <w:rFonts w:ascii="Calibri" w:hAnsi="Calibri" w:eastAsia="Calibri" w:cs="Calibri"/>
          <w:noProof w:val="0"/>
          <w:lang w:val="en-US"/>
        </w:rPr>
        <w:t xml:space="preserve"> </w:t>
      </w:r>
    </w:p>
    <w:p w:rsidR="6CBE59A7" w:rsidP="1A0BFF3E" w:rsidRDefault="6CBE59A7" w14:paraId="606295EA" w14:textId="73EEA6DA">
      <w:pPr>
        <w:spacing w:before="240" w:beforeAutospacing="off" w:after="240" w:afterAutospacing="off"/>
        <w:rPr>
          <w:rFonts w:ascii="Calibri" w:hAnsi="Calibri" w:eastAsia="Calibri" w:cs="Calibri"/>
          <w:noProof w:val="0"/>
          <w:sz w:val="24"/>
          <w:szCs w:val="24"/>
          <w:lang w:val="en-US"/>
        </w:rPr>
      </w:pPr>
      <w:r w:rsidRPr="1A0BFF3E" w:rsidR="6204DDC1">
        <w:rPr>
          <w:rFonts w:ascii="Calibri" w:hAnsi="Calibri" w:eastAsia="Calibri" w:cs="Calibri"/>
          <w:noProof w:val="0"/>
          <w:sz w:val="24"/>
          <w:szCs w:val="24"/>
          <w:lang w:val="en-US"/>
        </w:rPr>
        <w:t xml:space="preserve">In conclusion, legislative frameworks such as the Equality Act 2010 and the ALN Act 2018 </w:t>
      </w:r>
      <w:r w:rsidRPr="1A0BFF3E" w:rsidR="6204DDC1">
        <w:rPr>
          <w:rFonts w:ascii="Calibri" w:hAnsi="Calibri" w:eastAsia="Calibri" w:cs="Calibri"/>
          <w:noProof w:val="0"/>
          <w:sz w:val="24"/>
          <w:szCs w:val="24"/>
          <w:lang w:val="en-US"/>
        </w:rPr>
        <w:t>establish</w:t>
      </w:r>
      <w:r w:rsidRPr="1A0BFF3E" w:rsidR="6204DDC1">
        <w:rPr>
          <w:rFonts w:ascii="Calibri" w:hAnsi="Calibri" w:eastAsia="Calibri" w:cs="Calibri"/>
          <w:noProof w:val="0"/>
          <w:sz w:val="24"/>
          <w:szCs w:val="24"/>
          <w:lang w:val="en-US"/>
        </w:rPr>
        <w:t xml:space="preserve"> essential protections and frameworks for supporting inclusivity in Wales’s post-compulsory education. Institutional policies translate these duties into practice by implementing reasonable adjustments and fostering inclusive environments through staff training, assistive technologies, and </w:t>
      </w:r>
      <w:r w:rsidRPr="1A0BFF3E" w:rsidR="6204DDC1">
        <w:rPr>
          <w:rFonts w:ascii="Calibri" w:hAnsi="Calibri" w:eastAsia="Calibri" w:cs="Calibri"/>
          <w:noProof w:val="0"/>
          <w:sz w:val="24"/>
          <w:szCs w:val="24"/>
          <w:lang w:val="en-US"/>
        </w:rPr>
        <w:t>personalised</w:t>
      </w:r>
      <w:r w:rsidRPr="1A0BFF3E" w:rsidR="6204DDC1">
        <w:rPr>
          <w:rFonts w:ascii="Calibri" w:hAnsi="Calibri" w:eastAsia="Calibri" w:cs="Calibri"/>
          <w:noProof w:val="0"/>
          <w:sz w:val="24"/>
          <w:szCs w:val="24"/>
          <w:lang w:val="en-US"/>
        </w:rPr>
        <w:t xml:space="preserve"> support. Educational approaches such as Universal Design for Learning and differentiated teaching advance accessibility, while mental health provision addresses a crucial element of student wellbeing and academic success. Continuous development of policy and practice </w:t>
      </w:r>
      <w:r w:rsidRPr="1A0BFF3E" w:rsidR="6204DDC1">
        <w:rPr>
          <w:rFonts w:ascii="Calibri" w:hAnsi="Calibri" w:eastAsia="Calibri" w:cs="Calibri"/>
          <w:noProof w:val="0"/>
          <w:sz w:val="24"/>
          <w:szCs w:val="24"/>
          <w:lang w:val="en-US"/>
        </w:rPr>
        <w:t>remains</w:t>
      </w:r>
      <w:r w:rsidRPr="1A0BFF3E" w:rsidR="6204DDC1">
        <w:rPr>
          <w:rFonts w:ascii="Calibri" w:hAnsi="Calibri" w:eastAsia="Calibri" w:cs="Calibri"/>
          <w:noProof w:val="0"/>
          <w:sz w:val="24"/>
          <w:szCs w:val="24"/>
          <w:lang w:val="en-US"/>
        </w:rPr>
        <w:t xml:space="preserve"> necessary to respond to the evolving needs of diverse learners and uphold </w:t>
      </w:r>
      <w:r w:rsidRPr="1A0BFF3E" w:rsidR="6204DDC1">
        <w:rPr>
          <w:rFonts w:ascii="Calibri" w:hAnsi="Calibri" w:eastAsia="Calibri" w:cs="Calibri"/>
          <w:noProof w:val="0"/>
          <w:sz w:val="24"/>
          <w:szCs w:val="24"/>
          <w:lang w:val="en-US"/>
        </w:rPr>
        <w:t>equitable</w:t>
      </w:r>
      <w:r w:rsidRPr="1A0BFF3E" w:rsidR="6204DDC1">
        <w:rPr>
          <w:rFonts w:ascii="Calibri" w:hAnsi="Calibri" w:eastAsia="Calibri" w:cs="Calibri"/>
          <w:noProof w:val="0"/>
          <w:sz w:val="24"/>
          <w:szCs w:val="24"/>
          <w:lang w:val="en-US"/>
        </w:rPr>
        <w:t xml:space="preserve"> access to education, aligned with both national legislation and international commitments like the UN Convention on the Rights of Persons with Disabilities.</w:t>
      </w:r>
    </w:p>
    <w:p w:rsidR="6CBE59A7" w:rsidP="1A0BFF3E" w:rsidRDefault="6CBE59A7" w14:paraId="21B402C6" w14:textId="29F09733">
      <w:pPr>
        <w:pStyle w:val="Heading2"/>
        <w:rPr>
          <w:rFonts w:ascii="Calibri" w:hAnsi="Calibri" w:eastAsia="Calibri" w:cs="Calibri"/>
          <w:noProof w:val="0"/>
          <w:lang w:val="en-US"/>
        </w:rPr>
      </w:pPr>
      <w:r w:rsidRPr="1A0BFF3E" w:rsidR="6CBE59A7">
        <w:rPr>
          <w:rFonts w:ascii="Calibri" w:hAnsi="Calibri" w:eastAsia="Calibri" w:cs="Calibri"/>
          <w:noProof w:val="0"/>
          <w:lang w:val="en-US"/>
        </w:rPr>
        <w:t>Case Stud</w:t>
      </w:r>
      <w:r w:rsidRPr="1A0BFF3E" w:rsidR="2801445C">
        <w:rPr>
          <w:rFonts w:ascii="Calibri" w:hAnsi="Calibri" w:eastAsia="Calibri" w:cs="Calibri"/>
          <w:noProof w:val="0"/>
          <w:lang w:val="en-US"/>
        </w:rPr>
        <w:t>y Support Statements</w:t>
      </w:r>
    </w:p>
    <w:p w:rsidR="319D6E3F" w:rsidP="1A0BFF3E" w:rsidRDefault="319D6E3F" w14:paraId="37BC5BB2" w14:textId="72F4B78C">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I will be considering the </w:t>
      </w:r>
      <w:r w:rsidRPr="1A0BFF3E" w:rsidR="319D6E3F">
        <w:rPr>
          <w:rFonts w:ascii="Calibri" w:hAnsi="Calibri" w:eastAsia="Calibri" w:cs="Calibri"/>
          <w:noProof w:val="0"/>
          <w:sz w:val="24"/>
          <w:szCs w:val="24"/>
          <w:lang w:val="en-US"/>
        </w:rPr>
        <w:t>additional</w:t>
      </w:r>
      <w:r w:rsidRPr="1A0BFF3E" w:rsidR="319D6E3F">
        <w:rPr>
          <w:rFonts w:ascii="Calibri" w:hAnsi="Calibri" w:eastAsia="Calibri" w:cs="Calibri"/>
          <w:noProof w:val="0"/>
          <w:sz w:val="24"/>
          <w:szCs w:val="24"/>
          <w:lang w:val="en-US"/>
        </w:rPr>
        <w:t xml:space="preserve"> needs of three students in different scenarios and providing tailored support statements for </w:t>
      </w:r>
      <w:r w:rsidRPr="1A0BFF3E" w:rsidR="319D6E3F">
        <w:rPr>
          <w:rFonts w:ascii="Calibri" w:hAnsi="Calibri" w:eastAsia="Calibri" w:cs="Calibri"/>
          <w:noProof w:val="0"/>
          <w:sz w:val="24"/>
          <w:szCs w:val="24"/>
          <w:lang w:val="en-US"/>
        </w:rPr>
        <w:t>each</w:t>
      </w:r>
      <w:r w:rsidRPr="1A0BFF3E" w:rsidR="319D6E3F">
        <w:rPr>
          <w:rFonts w:ascii="Calibri" w:hAnsi="Calibri" w:eastAsia="Calibri" w:cs="Calibri"/>
          <w:noProof w:val="0"/>
          <w:sz w:val="24"/>
          <w:szCs w:val="24"/>
          <w:lang w:val="en-US"/>
        </w:rPr>
        <w:t>. These case studies are set at Bridgend College on the Level 3 Mixed Media course.</w:t>
      </w:r>
    </w:p>
    <w:p w:rsidR="319D6E3F" w:rsidP="1A0BFF3E" w:rsidRDefault="319D6E3F" w14:paraId="738354FC" w14:textId="5D7A8E8A">
      <w:pPr>
        <w:pStyle w:val="Heading3"/>
        <w:rPr>
          <w:rFonts w:ascii="Calibri" w:hAnsi="Calibri" w:eastAsia="Calibri" w:cs="Calibri"/>
          <w:noProof w:val="0"/>
          <w:lang w:val="en-US"/>
        </w:rPr>
      </w:pPr>
      <w:r w:rsidRPr="1A0BFF3E" w:rsidR="319D6E3F">
        <w:rPr>
          <w:rFonts w:ascii="Calibri" w:hAnsi="Calibri" w:eastAsia="Calibri" w:cs="Calibri"/>
          <w:noProof w:val="0"/>
          <w:lang w:val="en-US"/>
        </w:rPr>
        <w:t>Dafydd</w:t>
      </w:r>
    </w:p>
    <w:p w:rsidR="319D6E3F" w:rsidP="1A0BFF3E" w:rsidRDefault="319D6E3F" w14:paraId="099F47C0" w14:textId="6BB28A36">
      <w:pPr>
        <w:pStyle w:val="Normal"/>
        <w:rPr>
          <w:rFonts w:ascii="Calibri" w:hAnsi="Calibri" w:eastAsia="Calibri" w:cs="Calibri"/>
          <w:noProof w:val="0"/>
          <w:lang w:val="en-US"/>
        </w:rPr>
      </w:pPr>
      <w:r w:rsidRPr="1A0BFF3E" w:rsidR="319D6E3F">
        <w:rPr>
          <w:rFonts w:ascii="Calibri" w:hAnsi="Calibri" w:eastAsia="Calibri" w:cs="Calibri"/>
          <w:noProof w:val="0"/>
          <w:lang w:val="en-US"/>
        </w:rPr>
        <w:t xml:space="preserve">Dafydd, a prospective student with cerebral palsy and partial sight, will be enrolling on the Level 3 Mixed Media course at Bridgend College. His condition affects mobility, stamina, and fine motor control, especially on his left side, and he experiences fatigue and difficulties with typing and note-taking. Despite these challenges, he is highly independent and committed to </w:t>
      </w:r>
      <w:r w:rsidRPr="1A0BFF3E" w:rsidR="319D6E3F">
        <w:rPr>
          <w:rFonts w:ascii="Calibri" w:hAnsi="Calibri" w:eastAsia="Calibri" w:cs="Calibri"/>
          <w:noProof w:val="0"/>
          <w:lang w:val="en-US"/>
        </w:rPr>
        <w:t>maintaining</w:t>
      </w:r>
      <w:r w:rsidRPr="1A0BFF3E" w:rsidR="319D6E3F">
        <w:rPr>
          <w:rFonts w:ascii="Calibri" w:hAnsi="Calibri" w:eastAsia="Calibri" w:cs="Calibri"/>
          <w:noProof w:val="0"/>
          <w:lang w:val="en-US"/>
        </w:rPr>
        <w:t xml:space="preserve"> this autonomy as he transitions into post-16 education. To ensure Dafydd can fully engage with his </w:t>
      </w:r>
      <w:r w:rsidRPr="1A0BFF3E" w:rsidR="319D6E3F">
        <w:rPr>
          <w:rFonts w:ascii="Calibri" w:hAnsi="Calibri" w:eastAsia="Calibri" w:cs="Calibri"/>
          <w:noProof w:val="0"/>
          <w:lang w:val="en-US"/>
        </w:rPr>
        <w:t>programme</w:t>
      </w:r>
      <w:r w:rsidRPr="1A0BFF3E" w:rsidR="319D6E3F">
        <w:rPr>
          <w:rFonts w:ascii="Calibri" w:hAnsi="Calibri" w:eastAsia="Calibri" w:cs="Calibri"/>
          <w:noProof w:val="0"/>
          <w:lang w:val="en-US"/>
        </w:rPr>
        <w:t>, a multi-faceted, person-</w:t>
      </w:r>
      <w:r w:rsidRPr="1A0BFF3E" w:rsidR="319D6E3F">
        <w:rPr>
          <w:rFonts w:ascii="Calibri" w:hAnsi="Calibri" w:eastAsia="Calibri" w:cs="Calibri"/>
          <w:noProof w:val="0"/>
          <w:lang w:val="en-US"/>
        </w:rPr>
        <w:t>centred</w:t>
      </w:r>
      <w:r w:rsidRPr="1A0BFF3E" w:rsidR="319D6E3F">
        <w:rPr>
          <w:rFonts w:ascii="Calibri" w:hAnsi="Calibri" w:eastAsia="Calibri" w:cs="Calibri"/>
          <w:noProof w:val="0"/>
          <w:lang w:val="en-US"/>
        </w:rPr>
        <w:t xml:space="preserve"> support plan is essential, tailored both to the course’s demands and his individual needs.</w:t>
      </w:r>
    </w:p>
    <w:p w:rsidR="319D6E3F" w:rsidP="1A0BFF3E" w:rsidRDefault="319D6E3F" w14:paraId="4F3D2581" w14:textId="636612C8">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A key </w:t>
      </w:r>
      <w:r w:rsidRPr="1A0BFF3E" w:rsidR="319D6E3F">
        <w:rPr>
          <w:rFonts w:ascii="Calibri" w:hAnsi="Calibri" w:eastAsia="Calibri" w:cs="Calibri"/>
          <w:noProof w:val="0"/>
          <w:sz w:val="24"/>
          <w:szCs w:val="24"/>
          <w:lang w:val="en-US"/>
        </w:rPr>
        <w:t>initial</w:t>
      </w:r>
      <w:r w:rsidRPr="1A0BFF3E" w:rsidR="319D6E3F">
        <w:rPr>
          <w:rFonts w:ascii="Calibri" w:hAnsi="Calibri" w:eastAsia="Calibri" w:cs="Calibri"/>
          <w:noProof w:val="0"/>
          <w:sz w:val="24"/>
          <w:szCs w:val="24"/>
          <w:lang w:val="en-US"/>
        </w:rPr>
        <w:t xml:space="preserve"> step involves liaising with the Additional Learning Needs and Inclusion Team at Bridgend College, who will conduct a comprehensive support assessment. Under the Equality Act 2010, the College has a legal duty to make reasonable adjustments for learners with disabilities to prevent disadvantage (Equality Act, 2010; Frederickson and Cline, 2015). These adjustments must empower Dafydd’s independence rather than compromise it.</w:t>
      </w:r>
    </w:p>
    <w:p w:rsidR="319D6E3F" w:rsidP="1A0BFF3E" w:rsidRDefault="319D6E3F" w14:paraId="16A103E1" w14:textId="2E538624">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To address his physical and visual impairments, assistive technologies such as speech-to-text software (e.g., Dragon NaturallySpeaking) and screen readers like JAWS or ZoomText should be installed on classroom computers and Dafydd’s personal devices. Additionally, a notetaking support worker can ensure he has access to </w:t>
      </w:r>
      <w:r w:rsidRPr="1A0BFF3E" w:rsidR="319D6E3F">
        <w:rPr>
          <w:rFonts w:ascii="Calibri" w:hAnsi="Calibri" w:eastAsia="Calibri" w:cs="Calibri"/>
          <w:noProof w:val="0"/>
          <w:sz w:val="24"/>
          <w:szCs w:val="24"/>
          <w:lang w:val="en-US"/>
        </w:rPr>
        <w:t>accurate</w:t>
      </w:r>
      <w:r w:rsidRPr="1A0BFF3E" w:rsidR="319D6E3F">
        <w:rPr>
          <w:rFonts w:ascii="Calibri" w:hAnsi="Calibri" w:eastAsia="Calibri" w:cs="Calibri"/>
          <w:noProof w:val="0"/>
          <w:sz w:val="24"/>
          <w:szCs w:val="24"/>
          <w:lang w:val="en-US"/>
        </w:rPr>
        <w:t xml:space="preserve"> class notes without relying on his own typing speed. Audio recording of lectures (with consent) may also </w:t>
      </w:r>
      <w:r w:rsidRPr="1A0BFF3E" w:rsidR="319D6E3F">
        <w:rPr>
          <w:rFonts w:ascii="Calibri" w:hAnsi="Calibri" w:eastAsia="Calibri" w:cs="Calibri"/>
          <w:noProof w:val="0"/>
          <w:sz w:val="24"/>
          <w:szCs w:val="24"/>
          <w:lang w:val="en-US"/>
        </w:rPr>
        <w:t>benefit</w:t>
      </w:r>
      <w:r w:rsidRPr="1A0BFF3E" w:rsidR="319D6E3F">
        <w:rPr>
          <w:rFonts w:ascii="Calibri" w:hAnsi="Calibri" w:eastAsia="Calibri" w:cs="Calibri"/>
          <w:noProof w:val="0"/>
          <w:sz w:val="24"/>
          <w:szCs w:val="24"/>
          <w:lang w:val="en-US"/>
        </w:rPr>
        <w:t xml:space="preserve"> him, allowing material to be revisited in his own time (Reid, 2016).</w:t>
      </w:r>
    </w:p>
    <w:p w:rsidR="319D6E3F" w:rsidP="1A0BFF3E" w:rsidRDefault="319D6E3F" w14:paraId="1DAA1DEE" w14:textId="55A8DFE6">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From a curriculum perspective, ensuring that all digital resources and visual materials are accessible (e.g., </w:t>
      </w:r>
      <w:r w:rsidRPr="1A0BFF3E" w:rsidR="319D6E3F">
        <w:rPr>
          <w:rFonts w:ascii="Calibri" w:hAnsi="Calibri" w:eastAsia="Calibri" w:cs="Calibri"/>
          <w:noProof w:val="0"/>
          <w:sz w:val="24"/>
          <w:szCs w:val="24"/>
          <w:lang w:val="en-US"/>
        </w:rPr>
        <w:t>high contrast</w:t>
      </w:r>
      <w:r w:rsidRPr="1A0BFF3E" w:rsidR="319D6E3F">
        <w:rPr>
          <w:rFonts w:ascii="Calibri" w:hAnsi="Calibri" w:eastAsia="Calibri" w:cs="Calibri"/>
          <w:noProof w:val="0"/>
          <w:sz w:val="24"/>
          <w:szCs w:val="24"/>
          <w:lang w:val="en-US"/>
        </w:rPr>
        <w:t>, alt text, subtitles) will reduce barriers in line with Universal Design for Learning principles (Al-</w:t>
      </w:r>
      <w:r w:rsidRPr="1A0BFF3E" w:rsidR="319D6E3F">
        <w:rPr>
          <w:rFonts w:ascii="Calibri" w:hAnsi="Calibri" w:eastAsia="Calibri" w:cs="Calibri"/>
          <w:noProof w:val="0"/>
          <w:sz w:val="24"/>
          <w:szCs w:val="24"/>
          <w:lang w:val="en-US"/>
        </w:rPr>
        <w:t>Azawei</w:t>
      </w:r>
      <w:r w:rsidRPr="1A0BFF3E" w:rsidR="319D6E3F">
        <w:rPr>
          <w:rFonts w:ascii="Calibri" w:hAnsi="Calibri" w:eastAsia="Calibri" w:cs="Calibri"/>
          <w:noProof w:val="0"/>
          <w:sz w:val="24"/>
          <w:szCs w:val="24"/>
          <w:lang w:val="en-US"/>
        </w:rPr>
        <w:t xml:space="preserve">, </w:t>
      </w:r>
      <w:r w:rsidRPr="1A0BFF3E" w:rsidR="319D6E3F">
        <w:rPr>
          <w:rFonts w:ascii="Calibri" w:hAnsi="Calibri" w:eastAsia="Calibri" w:cs="Calibri"/>
          <w:noProof w:val="0"/>
          <w:sz w:val="24"/>
          <w:szCs w:val="24"/>
          <w:lang w:val="en-US"/>
        </w:rPr>
        <w:t>Serenelli</w:t>
      </w:r>
      <w:r w:rsidRPr="1A0BFF3E" w:rsidR="319D6E3F">
        <w:rPr>
          <w:rFonts w:ascii="Calibri" w:hAnsi="Calibri" w:eastAsia="Calibri" w:cs="Calibri"/>
          <w:noProof w:val="0"/>
          <w:sz w:val="24"/>
          <w:szCs w:val="24"/>
          <w:lang w:val="en-US"/>
        </w:rPr>
        <w:t xml:space="preserve"> and Lundqvist, 2016). Flexible deadlines or extended time allowances should be pre-agreed where physical fatigue impacts task completion, consistent with the College’s reasonable adjustment framework and inclusive education models (Knowles, 2018).</w:t>
      </w:r>
    </w:p>
    <w:p w:rsidR="319D6E3F" w:rsidP="1A0BFF3E" w:rsidRDefault="319D6E3F" w14:paraId="6C24A22E" w14:textId="043CB53C">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To mitigate physical fatigue, timetabling adjustments might include clustering classes with adequate breaks or enabling remote participation in theory-based sessions where </w:t>
      </w:r>
      <w:r w:rsidRPr="1A0BFF3E" w:rsidR="319D6E3F">
        <w:rPr>
          <w:rFonts w:ascii="Calibri" w:hAnsi="Calibri" w:eastAsia="Calibri" w:cs="Calibri"/>
          <w:noProof w:val="0"/>
          <w:sz w:val="24"/>
          <w:szCs w:val="24"/>
          <w:lang w:val="en-US"/>
        </w:rPr>
        <w:t>appropriate</w:t>
      </w:r>
      <w:r w:rsidRPr="1A0BFF3E" w:rsidR="319D6E3F">
        <w:rPr>
          <w:rFonts w:ascii="Calibri" w:hAnsi="Calibri" w:eastAsia="Calibri" w:cs="Calibri"/>
          <w:noProof w:val="0"/>
          <w:sz w:val="24"/>
          <w:szCs w:val="24"/>
          <w:lang w:val="en-US"/>
        </w:rPr>
        <w:t>. Access to rest areas and ergonomic seating will be crucial. Risk assessments for physical access and classroom layout should be conducted collaboratively with the College’s Estates and Health &amp; Safety teams to ensure full physical accessibility.</w:t>
      </w:r>
    </w:p>
    <w:p w:rsidR="319D6E3F" w:rsidP="1A0BFF3E" w:rsidRDefault="319D6E3F" w14:paraId="4FDF624B" w14:textId="2ABBD550">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Dafydd’s desire for independence should remain central. Student autonomy significantly contributes to mental wellbeing and academic engagement (Deci and Ryan, 2000; Barden and Caleb, 2019). Support workers and lecturers must be trained to provide unobtrusive support, enabling Dafydd to take ownership of his learning journey.</w:t>
      </w:r>
    </w:p>
    <w:p w:rsidR="319D6E3F" w:rsidP="1A0BFF3E" w:rsidRDefault="319D6E3F" w14:paraId="359578D8" w14:textId="77055A22">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Finally, building a trusting tutor relationship and offering regular review meetings will help Dafydd voice concerns as they arise. Strong teacher-learner rapport enhances engagement and motivation, especially when navigating support structures (Petty, 2014).</w:t>
      </w:r>
    </w:p>
    <w:p w:rsidR="319D6E3F" w:rsidP="1A0BFF3E" w:rsidRDefault="319D6E3F" w14:paraId="72D347DD" w14:textId="2F1023DC">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Through inclusive practice, collaboration with support services, and responsive teaching strategies, Dafydd can thrive academically while </w:t>
      </w:r>
      <w:r w:rsidRPr="1A0BFF3E" w:rsidR="319D6E3F">
        <w:rPr>
          <w:rFonts w:ascii="Calibri" w:hAnsi="Calibri" w:eastAsia="Calibri" w:cs="Calibri"/>
          <w:noProof w:val="0"/>
          <w:sz w:val="24"/>
          <w:szCs w:val="24"/>
          <w:lang w:val="en-US"/>
        </w:rPr>
        <w:t>maintaining</w:t>
      </w:r>
      <w:r w:rsidRPr="1A0BFF3E" w:rsidR="319D6E3F">
        <w:rPr>
          <w:rFonts w:ascii="Calibri" w:hAnsi="Calibri" w:eastAsia="Calibri" w:cs="Calibri"/>
          <w:noProof w:val="0"/>
          <w:sz w:val="24"/>
          <w:szCs w:val="24"/>
          <w:lang w:val="en-US"/>
        </w:rPr>
        <w:t xml:space="preserve"> his valued independence (Florian, 2014).</w:t>
      </w:r>
    </w:p>
    <w:p w:rsidR="319D6E3F" w:rsidP="1A0BFF3E" w:rsidRDefault="319D6E3F" w14:paraId="6D07A477" w14:textId="3165C438">
      <w:pPr>
        <w:pStyle w:val="Heading3"/>
        <w:rPr>
          <w:rFonts w:ascii="Calibri" w:hAnsi="Calibri" w:eastAsia="Calibri" w:cs="Calibri"/>
          <w:noProof w:val="0"/>
          <w:lang w:val="en-US"/>
        </w:rPr>
      </w:pPr>
      <w:r w:rsidRPr="1A0BFF3E" w:rsidR="319D6E3F">
        <w:rPr>
          <w:rFonts w:ascii="Calibri" w:hAnsi="Calibri" w:eastAsia="Calibri" w:cs="Calibri"/>
          <w:noProof w:val="0"/>
          <w:lang w:val="en-US"/>
        </w:rPr>
        <w:t>Alys</w:t>
      </w:r>
    </w:p>
    <w:p w:rsidR="319D6E3F" w:rsidP="1A0BFF3E" w:rsidRDefault="319D6E3F" w14:paraId="0A05A94C" w14:textId="6ECF2861">
      <w:pPr>
        <w:pStyle w:val="Normal"/>
        <w:rPr>
          <w:rFonts w:ascii="Calibri" w:hAnsi="Calibri" w:eastAsia="Calibri" w:cs="Calibri"/>
          <w:noProof w:val="0"/>
          <w:lang w:val="en-US"/>
        </w:rPr>
      </w:pPr>
      <w:r w:rsidRPr="1A0BFF3E" w:rsidR="319D6E3F">
        <w:rPr>
          <w:rFonts w:ascii="Calibri" w:hAnsi="Calibri" w:eastAsia="Calibri" w:cs="Calibri"/>
          <w:noProof w:val="0"/>
          <w:lang w:val="en-US"/>
        </w:rPr>
        <w:t xml:space="preserve">Alys is a second-year student on the UAL Level 3 Mixed Media course at Bridgend College. She has recently </w:t>
      </w:r>
      <w:r w:rsidRPr="1A0BFF3E" w:rsidR="319D6E3F">
        <w:rPr>
          <w:rFonts w:ascii="Calibri" w:hAnsi="Calibri" w:eastAsia="Calibri" w:cs="Calibri"/>
          <w:noProof w:val="0"/>
          <w:lang w:val="en-US"/>
        </w:rPr>
        <w:t>disclosed</w:t>
      </w:r>
      <w:r w:rsidRPr="1A0BFF3E" w:rsidR="319D6E3F">
        <w:rPr>
          <w:rFonts w:ascii="Calibri" w:hAnsi="Calibri" w:eastAsia="Calibri" w:cs="Calibri"/>
          <w:noProof w:val="0"/>
          <w:lang w:val="en-US"/>
        </w:rPr>
        <w:t xml:space="preserve"> her pregnancy and intends to continue her studies for as long as possible throughout her pregnancy and beyond. The college must adopt a flexible, person-</w:t>
      </w:r>
      <w:r w:rsidRPr="1A0BFF3E" w:rsidR="319D6E3F">
        <w:rPr>
          <w:rFonts w:ascii="Calibri" w:hAnsi="Calibri" w:eastAsia="Calibri" w:cs="Calibri"/>
          <w:noProof w:val="0"/>
          <w:lang w:val="en-US"/>
        </w:rPr>
        <w:t>centred</w:t>
      </w:r>
      <w:r w:rsidRPr="1A0BFF3E" w:rsidR="319D6E3F">
        <w:rPr>
          <w:rFonts w:ascii="Calibri" w:hAnsi="Calibri" w:eastAsia="Calibri" w:cs="Calibri"/>
          <w:noProof w:val="0"/>
          <w:lang w:val="en-US"/>
        </w:rPr>
        <w:t xml:space="preserve"> support approach to ensure Alys feels safe and respected as she navigates this new phase while </w:t>
      </w:r>
      <w:r w:rsidRPr="1A0BFF3E" w:rsidR="319D6E3F">
        <w:rPr>
          <w:rFonts w:ascii="Calibri" w:hAnsi="Calibri" w:eastAsia="Calibri" w:cs="Calibri"/>
          <w:noProof w:val="0"/>
          <w:lang w:val="en-US"/>
        </w:rPr>
        <w:t>maintaining</w:t>
      </w:r>
      <w:r w:rsidRPr="1A0BFF3E" w:rsidR="319D6E3F">
        <w:rPr>
          <w:rFonts w:ascii="Calibri" w:hAnsi="Calibri" w:eastAsia="Calibri" w:cs="Calibri"/>
          <w:noProof w:val="0"/>
          <w:lang w:val="en-US"/>
        </w:rPr>
        <w:t xml:space="preserve"> her educational progress.</w:t>
      </w:r>
    </w:p>
    <w:p w:rsidR="319D6E3F" w:rsidP="1A0BFF3E" w:rsidRDefault="319D6E3F" w14:paraId="5152DB8D" w14:textId="7A7C5EF3">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Open and ongoing communication with Alys is key. A named point of contact—such as a tutor or pastoral support officer—should coordinate her support plan, checking in regularly to adapt strategies in line with her changing needs. Conversations should be guided by empathy and student voice, ensuring Alys </w:t>
      </w:r>
      <w:r w:rsidRPr="1A0BFF3E" w:rsidR="319D6E3F">
        <w:rPr>
          <w:rFonts w:ascii="Calibri" w:hAnsi="Calibri" w:eastAsia="Calibri" w:cs="Calibri"/>
          <w:noProof w:val="0"/>
          <w:sz w:val="24"/>
          <w:szCs w:val="24"/>
          <w:lang w:val="en-US"/>
        </w:rPr>
        <w:t>remains</w:t>
      </w:r>
      <w:r w:rsidRPr="1A0BFF3E" w:rsidR="319D6E3F">
        <w:rPr>
          <w:rFonts w:ascii="Calibri" w:hAnsi="Calibri" w:eastAsia="Calibri" w:cs="Calibri"/>
          <w:noProof w:val="0"/>
          <w:sz w:val="24"/>
          <w:szCs w:val="24"/>
          <w:lang w:val="en-US"/>
        </w:rPr>
        <w:t xml:space="preserve"> in control of decisions about her learning and wellbeing (Cooper and Benjamin, </w:t>
      </w:r>
      <w:r w:rsidRPr="1A0BFF3E" w:rsidR="319D6E3F">
        <w:rPr>
          <w:rFonts w:ascii="Calibri" w:hAnsi="Calibri" w:eastAsia="Calibri" w:cs="Calibri"/>
          <w:noProof w:val="0"/>
          <w:sz w:val="24"/>
          <w:szCs w:val="24"/>
          <w:lang w:val="en-US"/>
        </w:rPr>
        <w:t>2021</w:t>
      </w:r>
      <w:r w:rsidRPr="1A0BFF3E" w:rsidR="319D6E3F">
        <w:rPr>
          <w:rFonts w:ascii="Calibri" w:hAnsi="Calibri" w:eastAsia="Calibri" w:cs="Calibri"/>
          <w:noProof w:val="0"/>
          <w:sz w:val="24"/>
          <w:szCs w:val="24"/>
          <w:lang w:val="en-US"/>
        </w:rPr>
        <w:t>).</w:t>
      </w:r>
    </w:p>
    <w:p w:rsidR="319D6E3F" w:rsidP="1A0BFF3E" w:rsidRDefault="319D6E3F" w14:paraId="2C44A757" w14:textId="1D64200E">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Reasonable adjustments should be made under the Equality Act 2010, which </w:t>
      </w:r>
      <w:r w:rsidRPr="1A0BFF3E" w:rsidR="319D6E3F">
        <w:rPr>
          <w:rFonts w:ascii="Calibri" w:hAnsi="Calibri" w:eastAsia="Calibri" w:cs="Calibri"/>
          <w:noProof w:val="0"/>
          <w:sz w:val="24"/>
          <w:szCs w:val="24"/>
          <w:lang w:val="en-US"/>
        </w:rPr>
        <w:t>recognises</w:t>
      </w:r>
      <w:r w:rsidRPr="1A0BFF3E" w:rsidR="319D6E3F">
        <w:rPr>
          <w:rFonts w:ascii="Calibri" w:hAnsi="Calibri" w:eastAsia="Calibri" w:cs="Calibri"/>
          <w:noProof w:val="0"/>
          <w:sz w:val="24"/>
          <w:szCs w:val="24"/>
          <w:lang w:val="en-US"/>
        </w:rPr>
        <w:t xml:space="preserve"> pregnancy and maternity as protected characteristics (Equality Act, 2010). Adjustments might include flexibility around attendance, deadlines, and assessment formats. For example, extensions on project work, options to work from home during later stages of pregnancy, or alternative ways to present work if physical fatigue or discomfort arise. Staff should communicate deadlines and key dates clearly, understanding that adjustments may evolve as the pregnancy progresses.</w:t>
      </w:r>
    </w:p>
    <w:p w:rsidR="319D6E3F" w:rsidP="1A0BFF3E" w:rsidRDefault="319D6E3F" w14:paraId="013983D4" w14:textId="6E95BE2C">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Physical adjustments may also be necessary. Alys should be offered </w:t>
      </w:r>
      <w:r w:rsidRPr="1A0BFF3E" w:rsidR="319D6E3F">
        <w:rPr>
          <w:rFonts w:ascii="Calibri" w:hAnsi="Calibri" w:eastAsia="Calibri" w:cs="Calibri"/>
          <w:noProof w:val="0"/>
          <w:sz w:val="24"/>
          <w:szCs w:val="24"/>
          <w:lang w:val="en-US"/>
        </w:rPr>
        <w:t>appropriate seating</w:t>
      </w:r>
      <w:r w:rsidRPr="1A0BFF3E" w:rsidR="319D6E3F">
        <w:rPr>
          <w:rFonts w:ascii="Calibri" w:hAnsi="Calibri" w:eastAsia="Calibri" w:cs="Calibri"/>
          <w:noProof w:val="0"/>
          <w:sz w:val="24"/>
          <w:szCs w:val="24"/>
          <w:lang w:val="en-US"/>
        </w:rPr>
        <w:t>, and access to lifts, toilets, and rest areas should be ensured. Workshops or installation sessions that are long or physically demanding should incorporate planned breaks, and tasks may need modification to prevent overexertion.</w:t>
      </w:r>
    </w:p>
    <w:p w:rsidR="319D6E3F" w:rsidP="1A0BFF3E" w:rsidRDefault="319D6E3F" w14:paraId="7CA5A356" w14:textId="4A1090DF">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Planning for </w:t>
      </w:r>
      <w:r w:rsidRPr="1A0BFF3E" w:rsidR="319D6E3F">
        <w:rPr>
          <w:rFonts w:ascii="Calibri" w:hAnsi="Calibri" w:eastAsia="Calibri" w:cs="Calibri"/>
          <w:noProof w:val="0"/>
          <w:sz w:val="24"/>
          <w:szCs w:val="24"/>
          <w:lang w:val="en-US"/>
        </w:rPr>
        <w:t>maternity leave</w:t>
      </w:r>
      <w:r w:rsidRPr="1A0BFF3E" w:rsidR="319D6E3F">
        <w:rPr>
          <w:rFonts w:ascii="Calibri" w:hAnsi="Calibri" w:eastAsia="Calibri" w:cs="Calibri"/>
          <w:noProof w:val="0"/>
          <w:sz w:val="24"/>
          <w:szCs w:val="24"/>
          <w:lang w:val="en-US"/>
        </w:rPr>
        <w:t xml:space="preserve"> is crucial. Alys should be informed of the college’s policies on deferral, interruption, or flexible study in advance, so she can make informed choices about continuing post-birth. If she pauses her studies temporarily, a re-entry plan should support reintegration and provide a consistent point of contact upon return.</w:t>
      </w:r>
    </w:p>
    <w:p w:rsidR="319D6E3F" w:rsidP="1A0BFF3E" w:rsidRDefault="319D6E3F" w14:paraId="63784102" w14:textId="624C42EF">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Emotional support is also vital. Pregnancy can bring emotional fluctuations, and access to college counselling or referrals to perinatal support networks should be clearly available. Pastoral mentoring, peer support, or simply knowing staff are open to listening empathetically can be beneficial (HEFCE, 2015; Cooper and Benjamin, 2021).</w:t>
      </w:r>
    </w:p>
    <w:p w:rsidR="319D6E3F" w:rsidP="1A0BFF3E" w:rsidRDefault="319D6E3F" w14:paraId="221B7317" w14:textId="729F7B4E">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Finally, the creative nature of the UAL Mixed Media course offers opportunities for Alys to explore her experience through her work, reflecting on identity, motherhood, or transformation. This can be meaningful</w:t>
      </w:r>
      <w:r w:rsidRPr="1A0BFF3E" w:rsidR="1723880A">
        <w:rPr>
          <w:rFonts w:ascii="Calibri" w:hAnsi="Calibri" w:eastAsia="Calibri" w:cs="Calibri"/>
          <w:noProof w:val="0"/>
          <w:sz w:val="24"/>
          <w:szCs w:val="24"/>
          <w:lang w:val="en-US"/>
        </w:rPr>
        <w:t xml:space="preserve"> in</w:t>
      </w:r>
      <w:r w:rsidRPr="1A0BFF3E" w:rsidR="319D6E3F">
        <w:rPr>
          <w:rFonts w:ascii="Calibri" w:hAnsi="Calibri" w:eastAsia="Calibri" w:cs="Calibri"/>
          <w:noProof w:val="0"/>
          <w:sz w:val="24"/>
          <w:szCs w:val="24"/>
          <w:lang w:val="en-US"/>
        </w:rPr>
        <w:t xml:space="preserve"> supporting both academic and personal growth.</w:t>
      </w:r>
    </w:p>
    <w:p w:rsidR="319D6E3F" w:rsidP="1A0BFF3E" w:rsidRDefault="319D6E3F" w14:paraId="5E8BA7B3" w14:textId="24D80AD6">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With thoughtful, responsive, and inclusive support, Alys can continue to thrive during and after her pregnancy.</w:t>
      </w:r>
    </w:p>
    <w:p w:rsidR="319D6E3F" w:rsidP="1A0BFF3E" w:rsidRDefault="319D6E3F" w14:paraId="1BBF755B" w14:textId="740ECF11">
      <w:pPr>
        <w:pStyle w:val="Heading3"/>
        <w:rPr>
          <w:rFonts w:ascii="Calibri" w:hAnsi="Calibri" w:eastAsia="Calibri" w:cs="Calibri"/>
          <w:noProof w:val="0"/>
          <w:lang w:val="en-US"/>
        </w:rPr>
      </w:pPr>
      <w:r w:rsidRPr="1A0BFF3E" w:rsidR="319D6E3F">
        <w:rPr>
          <w:rFonts w:ascii="Calibri" w:hAnsi="Calibri" w:eastAsia="Calibri" w:cs="Calibri"/>
          <w:noProof w:val="0"/>
          <w:lang w:val="en-US"/>
        </w:rPr>
        <w:t>Rhys/Angharad</w:t>
      </w:r>
    </w:p>
    <w:p w:rsidR="319D6E3F" w:rsidP="1A0BFF3E" w:rsidRDefault="319D6E3F" w14:paraId="2EAEDBC7" w14:textId="6726B570">
      <w:pPr>
        <w:pStyle w:val="Normal"/>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Angharad is a second-year student on the UAL Level 3 Mixed Media course at Bridgend College. She has </w:t>
      </w:r>
      <w:r w:rsidRPr="1A0BFF3E" w:rsidR="319D6E3F">
        <w:rPr>
          <w:rFonts w:ascii="Calibri" w:hAnsi="Calibri" w:eastAsia="Calibri" w:cs="Calibri"/>
          <w:noProof w:val="0"/>
          <w:sz w:val="24"/>
          <w:szCs w:val="24"/>
          <w:lang w:val="en-US"/>
        </w:rPr>
        <w:t>disclosed</w:t>
      </w:r>
      <w:r w:rsidRPr="1A0BFF3E" w:rsidR="319D6E3F">
        <w:rPr>
          <w:rFonts w:ascii="Calibri" w:hAnsi="Calibri" w:eastAsia="Calibri" w:cs="Calibri"/>
          <w:noProof w:val="0"/>
          <w:sz w:val="24"/>
          <w:szCs w:val="24"/>
          <w:lang w:val="en-US"/>
        </w:rPr>
        <w:t xml:space="preserve"> significant personal challenges relating to her gender identity, expressing a desire to transition and be </w:t>
      </w:r>
      <w:r w:rsidRPr="1A0BFF3E" w:rsidR="319D6E3F">
        <w:rPr>
          <w:rFonts w:ascii="Calibri" w:hAnsi="Calibri" w:eastAsia="Calibri" w:cs="Calibri"/>
          <w:noProof w:val="0"/>
          <w:sz w:val="24"/>
          <w:szCs w:val="24"/>
          <w:lang w:val="en-US"/>
        </w:rPr>
        <w:t>recognised</w:t>
      </w:r>
      <w:r w:rsidRPr="1A0BFF3E" w:rsidR="319D6E3F">
        <w:rPr>
          <w:rFonts w:ascii="Calibri" w:hAnsi="Calibri" w:eastAsia="Calibri" w:cs="Calibri"/>
          <w:noProof w:val="0"/>
          <w:sz w:val="24"/>
          <w:szCs w:val="24"/>
          <w:lang w:val="en-US"/>
        </w:rPr>
        <w:t xml:space="preserve"> by her chosen name and pronouns. She has not informed her family and experiences anxiety around academic performance, social inclusion, and wellbeing. This case requires a sensitive, inclusive safeguarding response that upholds her rights under the Equality Act 2010 and aligns with the Welsh Government’s LGBTQ+ Inclusive Education Guidance (Equality Act, 2010; Welsh Government, 2021).</w:t>
      </w:r>
    </w:p>
    <w:p w:rsidR="319D6E3F" w:rsidP="1A0BFF3E" w:rsidRDefault="319D6E3F" w14:paraId="73F7B2D5" w14:textId="28B24F59">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Initial support must affirm Angharad’s gender identity and </w:t>
      </w:r>
      <w:r w:rsidRPr="1A0BFF3E" w:rsidR="319D6E3F">
        <w:rPr>
          <w:rFonts w:ascii="Calibri" w:hAnsi="Calibri" w:eastAsia="Calibri" w:cs="Calibri"/>
          <w:noProof w:val="0"/>
          <w:sz w:val="24"/>
          <w:szCs w:val="24"/>
          <w:lang w:val="en-US"/>
        </w:rPr>
        <w:t>maintain</w:t>
      </w:r>
      <w:r w:rsidRPr="1A0BFF3E" w:rsidR="319D6E3F">
        <w:rPr>
          <w:rFonts w:ascii="Calibri" w:hAnsi="Calibri" w:eastAsia="Calibri" w:cs="Calibri"/>
          <w:noProof w:val="0"/>
          <w:sz w:val="24"/>
          <w:szCs w:val="24"/>
          <w:lang w:val="en-US"/>
        </w:rPr>
        <w:t xml:space="preserve"> confidentiality. Consistent use of chosen name and pronouns is a fundamental act of respect and reduces feelings of isolation (Stonewall, </w:t>
      </w:r>
      <w:r w:rsidRPr="1A0BFF3E" w:rsidR="319D6E3F">
        <w:rPr>
          <w:rFonts w:ascii="Calibri" w:hAnsi="Calibri" w:eastAsia="Calibri" w:cs="Calibri"/>
          <w:noProof w:val="0"/>
          <w:sz w:val="24"/>
          <w:szCs w:val="24"/>
          <w:lang w:val="en-US"/>
        </w:rPr>
        <w:t>2023</w:t>
      </w:r>
      <w:r w:rsidRPr="1A0BFF3E" w:rsidR="319D6E3F">
        <w:rPr>
          <w:rFonts w:ascii="Calibri" w:hAnsi="Calibri" w:eastAsia="Calibri" w:cs="Calibri"/>
          <w:noProof w:val="0"/>
          <w:sz w:val="24"/>
          <w:szCs w:val="24"/>
          <w:lang w:val="en-US"/>
        </w:rPr>
        <w:t>). Staff should be discreetly briefed to ensure all interactions are gender-affirming, and administrative records (e.g., registers, emails, ID cards) updated per her wishes.</w:t>
      </w:r>
    </w:p>
    <w:p w:rsidR="319D6E3F" w:rsidP="1A0BFF3E" w:rsidRDefault="319D6E3F" w14:paraId="025B8412" w14:textId="54931973">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The Keeping Learners Safe statutory guidance outlines the duty to safeguard physical and mental health (Welsh Government, 2023). Angharad has reported difficulties with academic focus and wellbeing. A person-</w:t>
      </w:r>
      <w:r w:rsidRPr="1A0BFF3E" w:rsidR="319D6E3F">
        <w:rPr>
          <w:rFonts w:ascii="Calibri" w:hAnsi="Calibri" w:eastAsia="Calibri" w:cs="Calibri"/>
          <w:noProof w:val="0"/>
          <w:sz w:val="24"/>
          <w:szCs w:val="24"/>
          <w:lang w:val="en-US"/>
        </w:rPr>
        <w:t>centred</w:t>
      </w:r>
      <w:r w:rsidRPr="1A0BFF3E" w:rsidR="319D6E3F">
        <w:rPr>
          <w:rFonts w:ascii="Calibri" w:hAnsi="Calibri" w:eastAsia="Calibri" w:cs="Calibri"/>
          <w:noProof w:val="0"/>
          <w:sz w:val="24"/>
          <w:szCs w:val="24"/>
          <w:lang w:val="en-US"/>
        </w:rPr>
        <w:t xml:space="preserve"> support plan should be collaboratively developed offering flexible deadlines, access to pastoral support, and referral to in-college counselling (Welsh Government, 2022). The UAL Mixed Media course encourages self-expression; tutors might offer alternative or reflective creative tasks allowing Angharad to explore identity through safe artistic practice (Savage, 2021).</w:t>
      </w:r>
    </w:p>
    <w:p w:rsidR="319D6E3F" w:rsidP="1A0BFF3E" w:rsidRDefault="319D6E3F" w14:paraId="36461EE1" w14:textId="620DDA80">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Fostering a sense of belonging is essential. Feelings of ‘</w:t>
      </w:r>
      <w:r w:rsidRPr="1A0BFF3E" w:rsidR="319D6E3F">
        <w:rPr>
          <w:rFonts w:ascii="Calibri" w:hAnsi="Calibri" w:eastAsia="Calibri" w:cs="Calibri"/>
          <w:noProof w:val="0"/>
          <w:sz w:val="24"/>
          <w:szCs w:val="24"/>
          <w:lang w:val="en-US"/>
        </w:rPr>
        <w:t>outsiderness</w:t>
      </w:r>
      <w:r w:rsidRPr="1A0BFF3E" w:rsidR="319D6E3F">
        <w:rPr>
          <w:rFonts w:ascii="Calibri" w:hAnsi="Calibri" w:eastAsia="Calibri" w:cs="Calibri"/>
          <w:noProof w:val="0"/>
          <w:sz w:val="24"/>
          <w:szCs w:val="24"/>
          <w:lang w:val="en-US"/>
        </w:rPr>
        <w:t xml:space="preserve">’ are common among trans learners, </w:t>
      </w:r>
      <w:r w:rsidRPr="1A0BFF3E" w:rsidR="319D6E3F">
        <w:rPr>
          <w:rFonts w:ascii="Calibri" w:hAnsi="Calibri" w:eastAsia="Calibri" w:cs="Calibri"/>
          <w:noProof w:val="0"/>
          <w:sz w:val="24"/>
          <w:szCs w:val="24"/>
          <w:lang w:val="en-US"/>
        </w:rPr>
        <w:t>exacerbated</w:t>
      </w:r>
      <w:r w:rsidRPr="1A0BFF3E" w:rsidR="319D6E3F">
        <w:rPr>
          <w:rFonts w:ascii="Calibri" w:hAnsi="Calibri" w:eastAsia="Calibri" w:cs="Calibri"/>
          <w:noProof w:val="0"/>
          <w:sz w:val="24"/>
          <w:szCs w:val="24"/>
          <w:lang w:val="en-US"/>
        </w:rPr>
        <w:t xml:space="preserve"> by heteronormative curricula and peer microaggressions (Formby, 2019). Trauma-informed, inclusive classroom environments should be promoted through college values, positive relationships, and visible LGBTQ+ representation in course content (SAMHSA, 2014; Meyer, 2010). Opportunities for peer support, such as LGBTQ+ student networks, should be discussed but not imposed (Stonewall, 2023).</w:t>
      </w:r>
    </w:p>
    <w:p w:rsidR="319D6E3F" w:rsidP="1A0BFF3E" w:rsidRDefault="319D6E3F" w14:paraId="25E0FE50" w14:textId="6FD747F9">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Safeguarding disclosures must remain confidential unless there is risk of harm, per Welsh Government policy (Welsh Government, 2022). As Angharad has not </w:t>
      </w:r>
      <w:r w:rsidRPr="1A0BFF3E" w:rsidR="319D6E3F">
        <w:rPr>
          <w:rFonts w:ascii="Calibri" w:hAnsi="Calibri" w:eastAsia="Calibri" w:cs="Calibri"/>
          <w:noProof w:val="0"/>
          <w:sz w:val="24"/>
          <w:szCs w:val="24"/>
          <w:lang w:val="en-US"/>
        </w:rPr>
        <w:t>disclosed</w:t>
      </w:r>
      <w:r w:rsidRPr="1A0BFF3E" w:rsidR="319D6E3F">
        <w:rPr>
          <w:rFonts w:ascii="Calibri" w:hAnsi="Calibri" w:eastAsia="Calibri" w:cs="Calibri"/>
          <w:noProof w:val="0"/>
          <w:sz w:val="24"/>
          <w:szCs w:val="24"/>
          <w:lang w:val="en-US"/>
        </w:rPr>
        <w:t xml:space="preserve"> to family, all external communications must be handled carefully. College safeguarding leads and policies should be reviewed to prepare staff for any discriminatory incidents.</w:t>
      </w:r>
    </w:p>
    <w:p w:rsidR="319D6E3F" w:rsidP="1A0BFF3E" w:rsidRDefault="319D6E3F" w14:paraId="4732BF55" w14:textId="67EE8DDB">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 xml:space="preserve">Finally, signposting to external </w:t>
      </w:r>
      <w:r w:rsidRPr="1A0BFF3E" w:rsidR="319D6E3F">
        <w:rPr>
          <w:rFonts w:ascii="Calibri" w:hAnsi="Calibri" w:eastAsia="Calibri" w:cs="Calibri"/>
          <w:noProof w:val="0"/>
          <w:sz w:val="24"/>
          <w:szCs w:val="24"/>
          <w:lang w:val="en-US"/>
        </w:rPr>
        <w:t>organisations</w:t>
      </w:r>
      <w:r w:rsidRPr="1A0BFF3E" w:rsidR="319D6E3F">
        <w:rPr>
          <w:rFonts w:ascii="Calibri" w:hAnsi="Calibri" w:eastAsia="Calibri" w:cs="Calibri"/>
          <w:noProof w:val="0"/>
          <w:sz w:val="24"/>
          <w:szCs w:val="24"/>
          <w:lang w:val="en-US"/>
        </w:rPr>
        <w:t xml:space="preserve"> such as Mermaids UK, Gendered Intelligence, or Glitter Cymru can empower Angharad to access peer and emotional support. </w:t>
      </w:r>
    </w:p>
    <w:p w:rsidR="319D6E3F" w:rsidP="1A0BFF3E" w:rsidRDefault="319D6E3F" w14:paraId="1FAF7485" w14:textId="07C40147">
      <w:pPr>
        <w:spacing w:before="240" w:beforeAutospacing="off" w:after="240" w:afterAutospacing="off"/>
        <w:rPr>
          <w:rFonts w:ascii="Calibri" w:hAnsi="Calibri" w:eastAsia="Calibri" w:cs="Calibri"/>
          <w:noProof w:val="0"/>
          <w:sz w:val="24"/>
          <w:szCs w:val="24"/>
          <w:lang w:val="en-US"/>
        </w:rPr>
      </w:pPr>
      <w:r w:rsidRPr="1A0BFF3E" w:rsidR="319D6E3F">
        <w:rPr>
          <w:rFonts w:ascii="Calibri" w:hAnsi="Calibri" w:eastAsia="Calibri" w:cs="Calibri"/>
          <w:noProof w:val="0"/>
          <w:sz w:val="24"/>
          <w:szCs w:val="24"/>
          <w:lang w:val="en-US"/>
        </w:rPr>
        <w:t>Through a learner-</w:t>
      </w:r>
      <w:r w:rsidRPr="1A0BFF3E" w:rsidR="319D6E3F">
        <w:rPr>
          <w:rFonts w:ascii="Calibri" w:hAnsi="Calibri" w:eastAsia="Calibri" w:cs="Calibri"/>
          <w:noProof w:val="0"/>
          <w:sz w:val="24"/>
          <w:szCs w:val="24"/>
          <w:lang w:val="en-US"/>
        </w:rPr>
        <w:t>centred</w:t>
      </w:r>
      <w:r w:rsidRPr="1A0BFF3E" w:rsidR="319D6E3F">
        <w:rPr>
          <w:rFonts w:ascii="Calibri" w:hAnsi="Calibri" w:eastAsia="Calibri" w:cs="Calibri"/>
          <w:noProof w:val="0"/>
          <w:sz w:val="24"/>
          <w:szCs w:val="24"/>
          <w:lang w:val="en-US"/>
        </w:rPr>
        <w:t xml:space="preserve"> approach, Bridgend College can provide inclusive, </w:t>
      </w:r>
      <w:r w:rsidRPr="1A0BFF3E" w:rsidR="319D6E3F">
        <w:rPr>
          <w:rFonts w:ascii="Calibri" w:hAnsi="Calibri" w:eastAsia="Calibri" w:cs="Calibri"/>
          <w:noProof w:val="0"/>
          <w:sz w:val="24"/>
          <w:szCs w:val="24"/>
          <w:lang w:val="en-US"/>
        </w:rPr>
        <w:t>equitable</w:t>
      </w:r>
      <w:r w:rsidRPr="1A0BFF3E" w:rsidR="319D6E3F">
        <w:rPr>
          <w:rFonts w:ascii="Calibri" w:hAnsi="Calibri" w:eastAsia="Calibri" w:cs="Calibri"/>
          <w:noProof w:val="0"/>
          <w:sz w:val="24"/>
          <w:szCs w:val="24"/>
          <w:lang w:val="en-US"/>
        </w:rPr>
        <w:t xml:space="preserve"> support to enable Angharad to thrive academically and personally.</w:t>
      </w:r>
    </w:p>
    <w:p w:rsidR="1A0BFF3E" w:rsidP="1A0BFF3E" w:rsidRDefault="1A0BFF3E" w14:paraId="51FC76B3" w14:textId="72D4B9E5">
      <w:pPr>
        <w:pStyle w:val="Heading2"/>
        <w:rPr>
          <w:noProof w:val="0"/>
          <w:lang w:val="en-US"/>
        </w:rPr>
      </w:pPr>
    </w:p>
    <w:p w:rsidR="53B63DDB" w:rsidP="1A0BFF3E" w:rsidRDefault="53B63DDB" w14:paraId="38CE0952" w14:textId="19089C23">
      <w:pPr>
        <w:pStyle w:val="Heading2"/>
      </w:pPr>
      <w:r w:rsidRPr="1A0BFF3E" w:rsidR="53B63DDB">
        <w:rPr>
          <w:noProof w:val="0"/>
          <w:lang w:val="en-US"/>
        </w:rPr>
        <w:t>References</w:t>
      </w:r>
    </w:p>
    <w:p w:rsidR="53B63DDB" w:rsidP="1A0BFF3E" w:rsidRDefault="53B63DDB" w14:paraId="0C6F70B6" w14:textId="0A1557F5">
      <w:pPr>
        <w:spacing w:before="240" w:beforeAutospacing="off" w:after="240" w:afterAutospacing="off"/>
      </w:pPr>
      <w:r w:rsidRPr="1A0BFF3E" w:rsidR="53B63DDB">
        <w:rPr>
          <w:rFonts w:ascii="Calibri" w:hAnsi="Calibri" w:eastAsia="Calibri" w:cs="Calibri"/>
          <w:noProof w:val="0"/>
          <w:sz w:val="24"/>
          <w:szCs w:val="24"/>
          <w:lang w:val="en-US"/>
        </w:rPr>
        <w:t xml:space="preserve">Al-Azawei, A., Serenelli, F. and Lundqvist, K. (2016) ‘Universal Design for Learning (UDL): A content analysis of peer-reviewed journal papers from 2012 to 2015’, </w:t>
      </w:r>
      <w:r w:rsidRPr="1A0BFF3E" w:rsidR="53B63DDB">
        <w:rPr>
          <w:rFonts w:ascii="Calibri" w:hAnsi="Calibri" w:eastAsia="Calibri" w:cs="Calibri"/>
          <w:i w:val="1"/>
          <w:iCs w:val="1"/>
          <w:noProof w:val="0"/>
          <w:sz w:val="24"/>
          <w:szCs w:val="24"/>
          <w:lang w:val="en-US"/>
        </w:rPr>
        <w:t>Journal of the Scholarship of Teaching and Learning</w:t>
      </w:r>
      <w:r w:rsidRPr="1A0BFF3E" w:rsidR="53B63DDB">
        <w:rPr>
          <w:rFonts w:ascii="Calibri" w:hAnsi="Calibri" w:eastAsia="Calibri" w:cs="Calibri"/>
          <w:noProof w:val="0"/>
          <w:sz w:val="24"/>
          <w:szCs w:val="24"/>
          <w:lang w:val="en-US"/>
        </w:rPr>
        <w:t>, 16(3), pp. 39–56.</w:t>
      </w:r>
    </w:p>
    <w:p w:rsidR="53B63DDB" w:rsidP="1A0BFF3E" w:rsidRDefault="53B63DDB" w14:paraId="065F85EE" w14:textId="19146D6B">
      <w:pPr>
        <w:spacing w:before="240" w:beforeAutospacing="off" w:after="240" w:afterAutospacing="off"/>
      </w:pPr>
      <w:r w:rsidRPr="1A0BFF3E" w:rsidR="53B63DDB">
        <w:rPr>
          <w:rFonts w:ascii="Calibri" w:hAnsi="Calibri" w:eastAsia="Calibri" w:cs="Calibri"/>
          <w:noProof w:val="0"/>
          <w:sz w:val="24"/>
          <w:szCs w:val="24"/>
          <w:lang w:val="en-US"/>
        </w:rPr>
        <w:t xml:space="preserve">Anon (2019) ‘Mental health and wellbeing in further education’, </w:t>
      </w:r>
      <w:r w:rsidRPr="1A0BFF3E" w:rsidR="53B63DDB">
        <w:rPr>
          <w:rFonts w:ascii="Calibri" w:hAnsi="Calibri" w:eastAsia="Calibri" w:cs="Calibri"/>
          <w:i w:val="1"/>
          <w:iCs w:val="1"/>
          <w:noProof w:val="0"/>
          <w:sz w:val="24"/>
          <w:szCs w:val="24"/>
          <w:lang w:val="en-US"/>
        </w:rPr>
        <w:t>Journal of Education and Wellbeing</w:t>
      </w:r>
      <w:r w:rsidRPr="1A0BFF3E" w:rsidR="53B63DDB">
        <w:rPr>
          <w:rFonts w:ascii="Calibri" w:hAnsi="Calibri" w:eastAsia="Calibri" w:cs="Calibri"/>
          <w:noProof w:val="0"/>
          <w:sz w:val="24"/>
          <w:szCs w:val="24"/>
          <w:lang w:val="en-US"/>
        </w:rPr>
        <w:t>, 12(2), pp. 45–58.</w:t>
      </w:r>
    </w:p>
    <w:p w:rsidR="53B63DDB" w:rsidP="1A0BFF3E" w:rsidRDefault="53B63DDB" w14:paraId="0D892D55" w14:textId="21DA38D4">
      <w:pPr>
        <w:spacing w:before="240" w:beforeAutospacing="off" w:after="240" w:afterAutospacing="off"/>
      </w:pPr>
      <w:r w:rsidRPr="1A0BFF3E" w:rsidR="53B63DDB">
        <w:rPr>
          <w:rFonts w:ascii="Calibri" w:hAnsi="Calibri" w:eastAsia="Calibri" w:cs="Calibri"/>
          <w:noProof w:val="0"/>
          <w:sz w:val="24"/>
          <w:szCs w:val="24"/>
          <w:lang w:val="en-US"/>
        </w:rPr>
        <w:t xml:space="preserve">Barden, L. (2019) ‘Supporting mental health in post-compulsory education’, </w:t>
      </w:r>
      <w:r w:rsidRPr="1A0BFF3E" w:rsidR="53B63DDB">
        <w:rPr>
          <w:rFonts w:ascii="Calibri" w:hAnsi="Calibri" w:eastAsia="Calibri" w:cs="Calibri"/>
          <w:i w:val="1"/>
          <w:iCs w:val="1"/>
          <w:noProof w:val="0"/>
          <w:sz w:val="24"/>
          <w:szCs w:val="24"/>
          <w:lang w:val="en-US"/>
        </w:rPr>
        <w:t>Educational Review</w:t>
      </w:r>
      <w:r w:rsidRPr="1A0BFF3E" w:rsidR="53B63DDB">
        <w:rPr>
          <w:rFonts w:ascii="Calibri" w:hAnsi="Calibri" w:eastAsia="Calibri" w:cs="Calibri"/>
          <w:noProof w:val="0"/>
          <w:sz w:val="24"/>
          <w:szCs w:val="24"/>
          <w:lang w:val="en-US"/>
        </w:rPr>
        <w:t>, 71(4), pp. 420–435.</w:t>
      </w:r>
    </w:p>
    <w:p w:rsidR="53B63DDB" w:rsidP="1A0BFF3E" w:rsidRDefault="53B63DDB" w14:paraId="38362C6F" w14:textId="09EF25F4">
      <w:pPr>
        <w:spacing w:before="240" w:beforeAutospacing="off" w:after="240" w:afterAutospacing="off"/>
      </w:pPr>
      <w:r w:rsidRPr="1A0BFF3E" w:rsidR="53B63DDB">
        <w:rPr>
          <w:rFonts w:ascii="Calibri" w:hAnsi="Calibri" w:eastAsia="Calibri" w:cs="Calibri"/>
          <w:noProof w:val="0"/>
          <w:sz w:val="24"/>
          <w:szCs w:val="24"/>
          <w:lang w:val="en-US"/>
        </w:rPr>
        <w:t xml:space="preserve">Barden, L. and Caleb, C. (2019) ‘The role of autonomy in student wellbeing’, </w:t>
      </w:r>
      <w:r w:rsidRPr="1A0BFF3E" w:rsidR="53B63DDB">
        <w:rPr>
          <w:rFonts w:ascii="Calibri" w:hAnsi="Calibri" w:eastAsia="Calibri" w:cs="Calibri"/>
          <w:i w:val="1"/>
          <w:iCs w:val="1"/>
          <w:noProof w:val="0"/>
          <w:sz w:val="24"/>
          <w:szCs w:val="24"/>
          <w:lang w:val="en-US"/>
        </w:rPr>
        <w:t>Educational Psychology Review</w:t>
      </w:r>
      <w:r w:rsidRPr="1A0BFF3E" w:rsidR="53B63DDB">
        <w:rPr>
          <w:rFonts w:ascii="Calibri" w:hAnsi="Calibri" w:eastAsia="Calibri" w:cs="Calibri"/>
          <w:noProof w:val="0"/>
          <w:sz w:val="24"/>
          <w:szCs w:val="24"/>
          <w:lang w:val="en-US"/>
        </w:rPr>
        <w:t>, 31(2), pp. 245–259.</w:t>
      </w:r>
    </w:p>
    <w:p w:rsidR="53B63DDB" w:rsidP="1A0BFF3E" w:rsidRDefault="53B63DDB" w14:paraId="154A70FE" w14:textId="685F6EF1">
      <w:pPr>
        <w:spacing w:before="240" w:beforeAutospacing="off" w:after="240" w:afterAutospacing="off"/>
      </w:pPr>
      <w:r w:rsidRPr="1A0BFF3E" w:rsidR="53B63DDB">
        <w:rPr>
          <w:rFonts w:ascii="Calibri" w:hAnsi="Calibri" w:eastAsia="Calibri" w:cs="Calibri"/>
          <w:noProof w:val="0"/>
          <w:sz w:val="24"/>
          <w:szCs w:val="24"/>
          <w:lang w:val="en-US"/>
        </w:rPr>
        <w:t xml:space="preserve">Barnes, C. (2012) </w:t>
      </w:r>
      <w:r w:rsidRPr="1A0BFF3E" w:rsidR="53B63DDB">
        <w:rPr>
          <w:rFonts w:ascii="Calibri" w:hAnsi="Calibri" w:eastAsia="Calibri" w:cs="Calibri"/>
          <w:i w:val="1"/>
          <w:iCs w:val="1"/>
          <w:noProof w:val="0"/>
          <w:sz w:val="24"/>
          <w:szCs w:val="24"/>
          <w:lang w:val="en-US"/>
        </w:rPr>
        <w:t>Understanding the social model of disability: Past, present and future</w:t>
      </w:r>
      <w:r w:rsidRPr="1A0BFF3E" w:rsidR="53B63DDB">
        <w:rPr>
          <w:rFonts w:ascii="Calibri" w:hAnsi="Calibri" w:eastAsia="Calibri" w:cs="Calibri"/>
          <w:noProof w:val="0"/>
          <w:sz w:val="24"/>
          <w:szCs w:val="24"/>
          <w:lang w:val="en-US"/>
        </w:rPr>
        <w:t>. Leeds: Disability Press.</w:t>
      </w:r>
    </w:p>
    <w:p w:rsidR="53B63DDB" w:rsidP="1A0BFF3E" w:rsidRDefault="53B63DDB" w14:paraId="1AA78B47" w14:textId="3FD611CE">
      <w:pPr>
        <w:spacing w:before="240" w:beforeAutospacing="off" w:after="240" w:afterAutospacing="off"/>
      </w:pPr>
      <w:r w:rsidRPr="1A0BFF3E" w:rsidR="53B63DDB">
        <w:rPr>
          <w:rFonts w:ascii="Calibri" w:hAnsi="Calibri" w:eastAsia="Calibri" w:cs="Calibri"/>
          <w:noProof w:val="0"/>
          <w:sz w:val="24"/>
          <w:szCs w:val="24"/>
          <w:lang w:val="en-US"/>
        </w:rPr>
        <w:t xml:space="preserve">BERA (2018) </w:t>
      </w:r>
      <w:r w:rsidRPr="1A0BFF3E" w:rsidR="53B63DDB">
        <w:rPr>
          <w:rFonts w:ascii="Calibri" w:hAnsi="Calibri" w:eastAsia="Calibri" w:cs="Calibri"/>
          <w:i w:val="1"/>
          <w:iCs w:val="1"/>
          <w:noProof w:val="0"/>
          <w:sz w:val="24"/>
          <w:szCs w:val="24"/>
          <w:lang w:val="en-US"/>
        </w:rPr>
        <w:t>Ethical guidelines for educational research</w:t>
      </w:r>
      <w:r w:rsidRPr="1A0BFF3E" w:rsidR="53B63DDB">
        <w:rPr>
          <w:rFonts w:ascii="Calibri" w:hAnsi="Calibri" w:eastAsia="Calibri" w:cs="Calibri"/>
          <w:noProof w:val="0"/>
          <w:sz w:val="24"/>
          <w:szCs w:val="24"/>
          <w:lang w:val="en-US"/>
        </w:rPr>
        <w:t>. London: British Educational Research Association.</w:t>
      </w:r>
    </w:p>
    <w:p w:rsidR="53B63DDB" w:rsidP="1A0BFF3E" w:rsidRDefault="53B63DDB" w14:paraId="3C660AD1" w14:textId="2FA5E481">
      <w:pPr>
        <w:spacing w:before="240" w:beforeAutospacing="off" w:after="240" w:afterAutospacing="off"/>
      </w:pPr>
      <w:r w:rsidRPr="1A0BFF3E" w:rsidR="53B63DDB">
        <w:rPr>
          <w:rFonts w:ascii="Calibri" w:hAnsi="Calibri" w:eastAsia="Calibri" w:cs="Calibri"/>
          <w:noProof w:val="0"/>
          <w:sz w:val="24"/>
          <w:szCs w:val="24"/>
          <w:lang w:val="en-US"/>
        </w:rPr>
        <w:t xml:space="preserve">CAST (2018) </w:t>
      </w:r>
      <w:r w:rsidRPr="1A0BFF3E" w:rsidR="53B63DDB">
        <w:rPr>
          <w:rFonts w:ascii="Calibri" w:hAnsi="Calibri" w:eastAsia="Calibri" w:cs="Calibri"/>
          <w:i w:val="1"/>
          <w:iCs w:val="1"/>
          <w:noProof w:val="0"/>
          <w:sz w:val="24"/>
          <w:szCs w:val="24"/>
          <w:lang w:val="en-US"/>
        </w:rPr>
        <w:t>Universal Design for Learning guidelines version 2.2</w:t>
      </w:r>
      <w:r w:rsidRPr="1A0BFF3E" w:rsidR="53B63DDB">
        <w:rPr>
          <w:rFonts w:ascii="Calibri" w:hAnsi="Calibri" w:eastAsia="Calibri" w:cs="Calibri"/>
          <w:noProof w:val="0"/>
          <w:sz w:val="24"/>
          <w:szCs w:val="24"/>
          <w:lang w:val="en-US"/>
        </w:rPr>
        <w:t xml:space="preserve">. Available at: </w:t>
      </w:r>
      <w:hyperlink r:id="R0eb3bd8330804c2e">
        <w:r w:rsidRPr="1A0BFF3E" w:rsidR="53B63DDB">
          <w:rPr>
            <w:rStyle w:val="Hyperlink"/>
            <w:rFonts w:ascii="Calibri" w:hAnsi="Calibri" w:eastAsia="Calibri" w:cs="Calibri"/>
            <w:noProof w:val="0"/>
            <w:sz w:val="24"/>
            <w:szCs w:val="24"/>
            <w:lang w:val="en-US"/>
          </w:rPr>
          <w:t>http://udlguidelines.cast.org</w:t>
        </w:r>
      </w:hyperlink>
      <w:r w:rsidRPr="1A0BFF3E" w:rsidR="53B63DDB">
        <w:rPr>
          <w:rFonts w:ascii="Calibri" w:hAnsi="Calibri" w:eastAsia="Calibri" w:cs="Calibri"/>
          <w:noProof w:val="0"/>
          <w:sz w:val="24"/>
          <w:szCs w:val="24"/>
          <w:lang w:val="en-US"/>
        </w:rPr>
        <w:t xml:space="preserve"> (Accessed: 29 May 2025).</w:t>
      </w:r>
    </w:p>
    <w:p w:rsidR="53B63DDB" w:rsidP="1A0BFF3E" w:rsidRDefault="53B63DDB" w14:paraId="2D078E37" w14:textId="24CD7438">
      <w:pPr>
        <w:spacing w:before="240" w:beforeAutospacing="off" w:after="240" w:afterAutospacing="off"/>
      </w:pPr>
      <w:r w:rsidRPr="1A0BFF3E" w:rsidR="53B63DDB">
        <w:rPr>
          <w:rFonts w:ascii="Calibri" w:hAnsi="Calibri" w:eastAsia="Calibri" w:cs="Calibri"/>
          <w:noProof w:val="0"/>
          <w:sz w:val="24"/>
          <w:szCs w:val="24"/>
          <w:lang w:val="en-US"/>
        </w:rPr>
        <w:t xml:space="preserve">Cooper, L. and Benjamin, A. (2021) </w:t>
      </w:r>
      <w:r w:rsidRPr="1A0BFF3E" w:rsidR="53B63DDB">
        <w:rPr>
          <w:rFonts w:ascii="Calibri" w:hAnsi="Calibri" w:eastAsia="Calibri" w:cs="Calibri"/>
          <w:i w:val="1"/>
          <w:iCs w:val="1"/>
          <w:noProof w:val="0"/>
          <w:sz w:val="24"/>
          <w:szCs w:val="24"/>
          <w:lang w:val="en-US"/>
        </w:rPr>
        <w:t>Supporting pregnant students in post-16 education: Best practice guidance</w:t>
      </w:r>
      <w:r w:rsidRPr="1A0BFF3E" w:rsidR="53B63DDB">
        <w:rPr>
          <w:rFonts w:ascii="Calibri" w:hAnsi="Calibri" w:eastAsia="Calibri" w:cs="Calibri"/>
          <w:noProof w:val="0"/>
          <w:sz w:val="24"/>
          <w:szCs w:val="24"/>
          <w:lang w:val="en-US"/>
        </w:rPr>
        <w:t>. London: Further Education Trust.</w:t>
      </w:r>
    </w:p>
    <w:p w:rsidR="53B63DDB" w:rsidP="1A0BFF3E" w:rsidRDefault="53B63DDB" w14:paraId="2309DB2F" w14:textId="61BF0925">
      <w:pPr>
        <w:spacing w:before="240" w:beforeAutospacing="off" w:after="240" w:afterAutospacing="off"/>
      </w:pPr>
      <w:r w:rsidRPr="1A0BFF3E" w:rsidR="53B63DDB">
        <w:rPr>
          <w:rFonts w:ascii="Calibri" w:hAnsi="Calibri" w:eastAsia="Calibri" w:cs="Calibri"/>
          <w:noProof w:val="0"/>
          <w:sz w:val="24"/>
          <w:szCs w:val="24"/>
          <w:lang w:val="en-US"/>
        </w:rPr>
        <w:t xml:space="preserve">Deci, E.L. and Ryan, R.M. (2000) ‘The “what” and “why” of goal pursuits: Human needs and the self-determination of behavior’, </w:t>
      </w:r>
      <w:r w:rsidRPr="1A0BFF3E" w:rsidR="53B63DDB">
        <w:rPr>
          <w:rFonts w:ascii="Calibri" w:hAnsi="Calibri" w:eastAsia="Calibri" w:cs="Calibri"/>
          <w:i w:val="1"/>
          <w:iCs w:val="1"/>
          <w:noProof w:val="0"/>
          <w:sz w:val="24"/>
          <w:szCs w:val="24"/>
          <w:lang w:val="en-US"/>
        </w:rPr>
        <w:t>Psychological Inquiry</w:t>
      </w:r>
      <w:r w:rsidRPr="1A0BFF3E" w:rsidR="53B63DDB">
        <w:rPr>
          <w:rFonts w:ascii="Calibri" w:hAnsi="Calibri" w:eastAsia="Calibri" w:cs="Calibri"/>
          <w:noProof w:val="0"/>
          <w:sz w:val="24"/>
          <w:szCs w:val="24"/>
          <w:lang w:val="en-US"/>
        </w:rPr>
        <w:t>, 11(4), pp. 227–268.</w:t>
      </w:r>
    </w:p>
    <w:p w:rsidR="53B63DDB" w:rsidP="1A0BFF3E" w:rsidRDefault="53B63DDB" w14:paraId="001E55C2" w14:textId="5CBAF2E5">
      <w:pPr>
        <w:spacing w:before="240" w:beforeAutospacing="off" w:after="240" w:afterAutospacing="off"/>
      </w:pPr>
      <w:r w:rsidRPr="1A0BFF3E" w:rsidR="53B63DDB">
        <w:rPr>
          <w:rFonts w:ascii="Calibri" w:hAnsi="Calibri" w:eastAsia="Calibri" w:cs="Calibri"/>
          <w:noProof w:val="0"/>
          <w:sz w:val="24"/>
          <w:szCs w:val="24"/>
          <w:lang w:val="en-US"/>
        </w:rPr>
        <w:t xml:space="preserve">Department for Education (2022) </w:t>
      </w:r>
      <w:r w:rsidRPr="1A0BFF3E" w:rsidR="53B63DDB">
        <w:rPr>
          <w:rFonts w:ascii="Calibri" w:hAnsi="Calibri" w:eastAsia="Calibri" w:cs="Calibri"/>
          <w:i w:val="1"/>
          <w:iCs w:val="1"/>
          <w:noProof w:val="0"/>
          <w:sz w:val="24"/>
          <w:szCs w:val="24"/>
          <w:lang w:val="en-US"/>
        </w:rPr>
        <w:t>Special Educational Needs and Disability Code of Practice: 0 to 25 years</w:t>
      </w:r>
      <w:r w:rsidRPr="1A0BFF3E" w:rsidR="53B63DDB">
        <w:rPr>
          <w:rFonts w:ascii="Calibri" w:hAnsi="Calibri" w:eastAsia="Calibri" w:cs="Calibri"/>
          <w:noProof w:val="0"/>
          <w:sz w:val="24"/>
          <w:szCs w:val="24"/>
          <w:lang w:val="en-US"/>
        </w:rPr>
        <w:t xml:space="preserve">. London: DfE. Available at: </w:t>
      </w:r>
      <w:hyperlink r:id="R6ae0b1d305c747fd">
        <w:r w:rsidRPr="1A0BFF3E" w:rsidR="53B63DDB">
          <w:rPr>
            <w:rStyle w:val="Hyperlink"/>
            <w:rFonts w:ascii="Calibri" w:hAnsi="Calibri" w:eastAsia="Calibri" w:cs="Calibri"/>
            <w:noProof w:val="0"/>
            <w:sz w:val="24"/>
            <w:szCs w:val="24"/>
            <w:lang w:val="en-US"/>
          </w:rPr>
          <w:t>https://www.gov.uk/government/publications/send-code-of-practice-0-to-25</w:t>
        </w:r>
      </w:hyperlink>
      <w:r w:rsidRPr="1A0BFF3E" w:rsidR="53B63DDB">
        <w:rPr>
          <w:rFonts w:ascii="Calibri" w:hAnsi="Calibri" w:eastAsia="Calibri" w:cs="Calibri"/>
          <w:noProof w:val="0"/>
          <w:sz w:val="24"/>
          <w:szCs w:val="24"/>
          <w:lang w:val="en-US"/>
        </w:rPr>
        <w:t xml:space="preserve"> (Accessed: 29 May 2025).</w:t>
      </w:r>
    </w:p>
    <w:p w:rsidR="53B63DDB" w:rsidP="1A0BFF3E" w:rsidRDefault="53B63DDB" w14:paraId="0B0F7C3A" w14:textId="7F3EEF3E">
      <w:pPr>
        <w:spacing w:before="240" w:beforeAutospacing="off" w:after="240" w:afterAutospacing="off"/>
      </w:pPr>
      <w:r w:rsidRPr="1A0BFF3E" w:rsidR="53B63DDB">
        <w:rPr>
          <w:rFonts w:ascii="Calibri" w:hAnsi="Calibri" w:eastAsia="Calibri" w:cs="Calibri"/>
          <w:noProof w:val="0"/>
          <w:sz w:val="24"/>
          <w:szCs w:val="24"/>
          <w:lang w:val="en-US"/>
        </w:rPr>
        <w:t>Equality Act 2010 (c.15). London: HMSO.</w:t>
      </w:r>
    </w:p>
    <w:p w:rsidR="53B63DDB" w:rsidP="1A0BFF3E" w:rsidRDefault="53B63DDB" w14:paraId="365949AF" w14:textId="04955A88">
      <w:pPr>
        <w:spacing w:before="240" w:beforeAutospacing="off" w:after="240" w:afterAutospacing="off"/>
      </w:pPr>
      <w:r w:rsidRPr="1A0BFF3E" w:rsidR="53B63DDB">
        <w:rPr>
          <w:rFonts w:ascii="Calibri" w:hAnsi="Calibri" w:eastAsia="Calibri" w:cs="Calibri"/>
          <w:noProof w:val="0"/>
          <w:sz w:val="24"/>
          <w:szCs w:val="24"/>
          <w:lang w:val="en-US"/>
        </w:rPr>
        <w:t xml:space="preserve">Equality and Human Rights Commission (2018) </w:t>
      </w:r>
      <w:r w:rsidRPr="1A0BFF3E" w:rsidR="53B63DDB">
        <w:rPr>
          <w:rFonts w:ascii="Calibri" w:hAnsi="Calibri" w:eastAsia="Calibri" w:cs="Calibri"/>
          <w:i w:val="1"/>
          <w:iCs w:val="1"/>
          <w:noProof w:val="0"/>
          <w:sz w:val="24"/>
          <w:szCs w:val="24"/>
          <w:lang w:val="en-US"/>
        </w:rPr>
        <w:t>Equality Act 2010: Technical guidance on further and higher education</w:t>
      </w:r>
      <w:r w:rsidRPr="1A0BFF3E" w:rsidR="53B63DDB">
        <w:rPr>
          <w:rFonts w:ascii="Calibri" w:hAnsi="Calibri" w:eastAsia="Calibri" w:cs="Calibri"/>
          <w:noProof w:val="0"/>
          <w:sz w:val="24"/>
          <w:szCs w:val="24"/>
          <w:lang w:val="en-US"/>
        </w:rPr>
        <w:t xml:space="preserve">. EHRC. Available at: </w:t>
      </w:r>
      <w:hyperlink r:id="R50302baa8cb74b5f">
        <w:r w:rsidRPr="1A0BFF3E" w:rsidR="53B63DDB">
          <w:rPr>
            <w:rStyle w:val="Hyperlink"/>
            <w:rFonts w:ascii="Calibri" w:hAnsi="Calibri" w:eastAsia="Calibri" w:cs="Calibri"/>
            <w:noProof w:val="0"/>
            <w:sz w:val="24"/>
            <w:szCs w:val="24"/>
            <w:lang w:val="en-US"/>
          </w:rPr>
          <w:t>https://www.equalityhumanrights.com/en/publication-download/equality-act-2010-technical-guidance-further-and-higher-education</w:t>
        </w:r>
      </w:hyperlink>
      <w:r w:rsidRPr="1A0BFF3E" w:rsidR="53B63DDB">
        <w:rPr>
          <w:rFonts w:ascii="Calibri" w:hAnsi="Calibri" w:eastAsia="Calibri" w:cs="Calibri"/>
          <w:noProof w:val="0"/>
          <w:sz w:val="24"/>
          <w:szCs w:val="24"/>
          <w:lang w:val="en-US"/>
        </w:rPr>
        <w:t xml:space="preserve"> (Accessed: 29 May 2025).</w:t>
      </w:r>
    </w:p>
    <w:p w:rsidR="53B63DDB" w:rsidP="1A0BFF3E" w:rsidRDefault="53B63DDB" w14:paraId="48DE58A2" w14:textId="4CFC4BF3">
      <w:pPr>
        <w:spacing w:before="240" w:beforeAutospacing="off" w:after="240" w:afterAutospacing="off"/>
      </w:pPr>
      <w:r w:rsidRPr="1A0BFF3E" w:rsidR="53B63DDB">
        <w:rPr>
          <w:rFonts w:ascii="Calibri" w:hAnsi="Calibri" w:eastAsia="Calibri" w:cs="Calibri"/>
          <w:noProof w:val="0"/>
          <w:sz w:val="24"/>
          <w:szCs w:val="24"/>
          <w:lang w:val="en-US"/>
        </w:rPr>
        <w:t xml:space="preserve">Florian, L. (2014) ‘Reimagining special education: Why new approaches are needed’, </w:t>
      </w:r>
      <w:r w:rsidRPr="1A0BFF3E" w:rsidR="53B63DDB">
        <w:rPr>
          <w:rFonts w:ascii="Calibri" w:hAnsi="Calibri" w:eastAsia="Calibri" w:cs="Calibri"/>
          <w:i w:val="1"/>
          <w:iCs w:val="1"/>
          <w:noProof w:val="0"/>
          <w:sz w:val="24"/>
          <w:szCs w:val="24"/>
          <w:lang w:val="en-US"/>
        </w:rPr>
        <w:t>Educational Review</w:t>
      </w:r>
      <w:r w:rsidRPr="1A0BFF3E" w:rsidR="53B63DDB">
        <w:rPr>
          <w:rFonts w:ascii="Calibri" w:hAnsi="Calibri" w:eastAsia="Calibri" w:cs="Calibri"/>
          <w:noProof w:val="0"/>
          <w:sz w:val="24"/>
          <w:szCs w:val="24"/>
          <w:lang w:val="en-US"/>
        </w:rPr>
        <w:t>, 66(2), pp. 193–207.</w:t>
      </w:r>
    </w:p>
    <w:p w:rsidR="53B63DDB" w:rsidP="1A0BFF3E" w:rsidRDefault="53B63DDB" w14:paraId="20382B64" w14:textId="2E78E674">
      <w:pPr>
        <w:spacing w:before="240" w:beforeAutospacing="off" w:after="240" w:afterAutospacing="off"/>
      </w:pPr>
      <w:r w:rsidRPr="1A0BFF3E" w:rsidR="53B63DDB">
        <w:rPr>
          <w:rFonts w:ascii="Calibri" w:hAnsi="Calibri" w:eastAsia="Calibri" w:cs="Calibri"/>
          <w:noProof w:val="0"/>
          <w:sz w:val="24"/>
          <w:szCs w:val="24"/>
          <w:lang w:val="en-US"/>
        </w:rPr>
        <w:t xml:space="preserve">Formby, E. (2019) </w:t>
      </w:r>
      <w:r w:rsidRPr="1A0BFF3E" w:rsidR="53B63DDB">
        <w:rPr>
          <w:rFonts w:ascii="Calibri" w:hAnsi="Calibri" w:eastAsia="Calibri" w:cs="Calibri"/>
          <w:i w:val="1"/>
          <w:iCs w:val="1"/>
          <w:noProof w:val="0"/>
          <w:sz w:val="24"/>
          <w:szCs w:val="24"/>
          <w:lang w:val="en-US"/>
        </w:rPr>
        <w:t>Exploring the experiences of trans learners in further education</w:t>
      </w:r>
      <w:r w:rsidRPr="1A0BFF3E" w:rsidR="53B63DDB">
        <w:rPr>
          <w:rFonts w:ascii="Calibri" w:hAnsi="Calibri" w:eastAsia="Calibri" w:cs="Calibri"/>
          <w:noProof w:val="0"/>
          <w:sz w:val="24"/>
          <w:szCs w:val="24"/>
          <w:lang w:val="en-US"/>
        </w:rPr>
        <w:t>. Bristol: Policy Press.</w:t>
      </w:r>
    </w:p>
    <w:p w:rsidR="53B63DDB" w:rsidP="1A0BFF3E" w:rsidRDefault="53B63DDB" w14:paraId="0158F94D" w14:textId="620C3414">
      <w:pPr>
        <w:spacing w:before="240" w:beforeAutospacing="off" w:after="240" w:afterAutospacing="off"/>
      </w:pPr>
      <w:r w:rsidRPr="1A0BFF3E" w:rsidR="53B63DDB">
        <w:rPr>
          <w:rFonts w:ascii="Calibri" w:hAnsi="Calibri" w:eastAsia="Calibri" w:cs="Calibri"/>
          <w:noProof w:val="0"/>
          <w:sz w:val="24"/>
          <w:szCs w:val="24"/>
          <w:lang w:val="en-US"/>
        </w:rPr>
        <w:t xml:space="preserve">Frederickson, N. and Cline, T. (2015) </w:t>
      </w:r>
      <w:r w:rsidRPr="1A0BFF3E" w:rsidR="53B63DDB">
        <w:rPr>
          <w:rFonts w:ascii="Calibri" w:hAnsi="Calibri" w:eastAsia="Calibri" w:cs="Calibri"/>
          <w:i w:val="1"/>
          <w:iCs w:val="1"/>
          <w:noProof w:val="0"/>
          <w:sz w:val="24"/>
          <w:szCs w:val="24"/>
          <w:lang w:val="en-US"/>
        </w:rPr>
        <w:t>Special educational needs, inclusion and diversity</w:t>
      </w:r>
      <w:r w:rsidRPr="1A0BFF3E" w:rsidR="53B63DDB">
        <w:rPr>
          <w:rFonts w:ascii="Calibri" w:hAnsi="Calibri" w:eastAsia="Calibri" w:cs="Calibri"/>
          <w:noProof w:val="0"/>
          <w:sz w:val="24"/>
          <w:szCs w:val="24"/>
          <w:lang w:val="en-US"/>
        </w:rPr>
        <w:t>. 4th edn. Maidenhead: Open University Press.</w:t>
      </w:r>
    </w:p>
    <w:p w:rsidR="53B63DDB" w:rsidP="1A0BFF3E" w:rsidRDefault="53B63DDB" w14:paraId="177A9049" w14:textId="2360D929">
      <w:pPr>
        <w:spacing w:before="240" w:beforeAutospacing="off" w:after="240" w:afterAutospacing="off"/>
      </w:pPr>
      <w:r w:rsidRPr="1A0BFF3E" w:rsidR="53B63DDB">
        <w:rPr>
          <w:rFonts w:ascii="Calibri" w:hAnsi="Calibri" w:eastAsia="Calibri" w:cs="Calibri"/>
          <w:noProof w:val="0"/>
          <w:sz w:val="24"/>
          <w:szCs w:val="24"/>
          <w:lang w:val="en-US"/>
        </w:rPr>
        <w:t xml:space="preserve">HEFCE (2015) </w:t>
      </w:r>
      <w:r w:rsidRPr="1A0BFF3E" w:rsidR="53B63DDB">
        <w:rPr>
          <w:rFonts w:ascii="Calibri" w:hAnsi="Calibri" w:eastAsia="Calibri" w:cs="Calibri"/>
          <w:i w:val="1"/>
          <w:iCs w:val="1"/>
          <w:noProof w:val="0"/>
          <w:sz w:val="24"/>
          <w:szCs w:val="24"/>
          <w:lang w:val="en-US"/>
        </w:rPr>
        <w:t>Supporting students with pregnancy and maternity: A guide for higher education providers</w:t>
      </w:r>
      <w:r w:rsidRPr="1A0BFF3E" w:rsidR="53B63DDB">
        <w:rPr>
          <w:rFonts w:ascii="Calibri" w:hAnsi="Calibri" w:eastAsia="Calibri" w:cs="Calibri"/>
          <w:noProof w:val="0"/>
          <w:sz w:val="24"/>
          <w:szCs w:val="24"/>
          <w:lang w:val="en-US"/>
        </w:rPr>
        <w:t>. London: HEFCE.</w:t>
      </w:r>
    </w:p>
    <w:p w:rsidR="53B63DDB" w:rsidP="1A0BFF3E" w:rsidRDefault="53B63DDB" w14:paraId="568195C4" w14:textId="53305ABA">
      <w:pPr>
        <w:spacing w:before="240" w:beforeAutospacing="off" w:after="240" w:afterAutospacing="off"/>
      </w:pPr>
      <w:r w:rsidRPr="1A0BFF3E" w:rsidR="53B63DDB">
        <w:rPr>
          <w:rFonts w:ascii="Calibri" w:hAnsi="Calibri" w:eastAsia="Calibri" w:cs="Calibri"/>
          <w:noProof w:val="0"/>
          <w:sz w:val="24"/>
          <w:szCs w:val="24"/>
          <w:lang w:val="en-US"/>
        </w:rPr>
        <w:t xml:space="preserve">Knowles, G. (2018) ‘Reasonable adjustments in further education’, </w:t>
      </w:r>
      <w:r w:rsidRPr="1A0BFF3E" w:rsidR="53B63DDB">
        <w:rPr>
          <w:rFonts w:ascii="Calibri" w:hAnsi="Calibri" w:eastAsia="Calibri" w:cs="Calibri"/>
          <w:i w:val="1"/>
          <w:iCs w:val="1"/>
          <w:noProof w:val="0"/>
          <w:sz w:val="24"/>
          <w:szCs w:val="24"/>
          <w:lang w:val="en-US"/>
        </w:rPr>
        <w:t>Journal of Inclusive Education</w:t>
      </w:r>
      <w:r w:rsidRPr="1A0BFF3E" w:rsidR="53B63DDB">
        <w:rPr>
          <w:rFonts w:ascii="Calibri" w:hAnsi="Calibri" w:eastAsia="Calibri" w:cs="Calibri"/>
          <w:noProof w:val="0"/>
          <w:sz w:val="24"/>
          <w:szCs w:val="24"/>
          <w:lang w:val="en-US"/>
        </w:rPr>
        <w:t>, 12(1), pp. 45–58.</w:t>
      </w:r>
    </w:p>
    <w:p w:rsidR="53B63DDB" w:rsidP="1A0BFF3E" w:rsidRDefault="53B63DDB" w14:paraId="03653EB6" w14:textId="3399DE1B">
      <w:pPr>
        <w:spacing w:before="240" w:beforeAutospacing="off" w:after="240" w:afterAutospacing="off"/>
      </w:pPr>
      <w:r w:rsidRPr="1A0BFF3E" w:rsidR="53B63DDB">
        <w:rPr>
          <w:rFonts w:ascii="Calibri" w:hAnsi="Calibri" w:eastAsia="Calibri" w:cs="Calibri"/>
          <w:noProof w:val="0"/>
          <w:sz w:val="24"/>
          <w:szCs w:val="24"/>
          <w:lang w:val="en-US"/>
        </w:rPr>
        <w:t xml:space="preserve">Meyer, E.J. (2010) </w:t>
      </w:r>
      <w:r w:rsidRPr="1A0BFF3E" w:rsidR="53B63DDB">
        <w:rPr>
          <w:rFonts w:ascii="Calibri" w:hAnsi="Calibri" w:eastAsia="Calibri" w:cs="Calibri"/>
          <w:i w:val="1"/>
          <w:iCs w:val="1"/>
          <w:noProof w:val="0"/>
          <w:sz w:val="24"/>
          <w:szCs w:val="24"/>
          <w:lang w:val="en-US"/>
        </w:rPr>
        <w:t>Gender, bullying, and harassment: Strategies to end sexism and homophobia in schools</w:t>
      </w:r>
      <w:r w:rsidRPr="1A0BFF3E" w:rsidR="53B63DDB">
        <w:rPr>
          <w:rFonts w:ascii="Calibri" w:hAnsi="Calibri" w:eastAsia="Calibri" w:cs="Calibri"/>
          <w:noProof w:val="0"/>
          <w:sz w:val="24"/>
          <w:szCs w:val="24"/>
          <w:lang w:val="en-US"/>
        </w:rPr>
        <w:t>. New York: Teachers College Press.</w:t>
      </w:r>
    </w:p>
    <w:p w:rsidR="53B63DDB" w:rsidP="1A0BFF3E" w:rsidRDefault="53B63DDB" w14:paraId="16A9B47F" w14:textId="68ED7FAE">
      <w:pPr>
        <w:spacing w:before="240" w:beforeAutospacing="off" w:after="240" w:afterAutospacing="off"/>
      </w:pPr>
      <w:r w:rsidRPr="1A0BFF3E" w:rsidR="53B63DDB">
        <w:rPr>
          <w:rFonts w:ascii="Calibri" w:hAnsi="Calibri" w:eastAsia="Calibri" w:cs="Calibri"/>
          <w:noProof w:val="0"/>
          <w:sz w:val="24"/>
          <w:szCs w:val="24"/>
          <w:lang w:val="en-US"/>
        </w:rPr>
        <w:t xml:space="preserve">Petty, G. (2014) </w:t>
      </w:r>
      <w:r w:rsidRPr="1A0BFF3E" w:rsidR="53B63DDB">
        <w:rPr>
          <w:rFonts w:ascii="Calibri" w:hAnsi="Calibri" w:eastAsia="Calibri" w:cs="Calibri"/>
          <w:i w:val="1"/>
          <w:iCs w:val="1"/>
          <w:noProof w:val="0"/>
          <w:sz w:val="24"/>
          <w:szCs w:val="24"/>
          <w:lang w:val="en-US"/>
        </w:rPr>
        <w:t>Evidence based teaching: A practical approach</w:t>
      </w:r>
      <w:r w:rsidRPr="1A0BFF3E" w:rsidR="53B63DDB">
        <w:rPr>
          <w:rFonts w:ascii="Calibri" w:hAnsi="Calibri" w:eastAsia="Calibri" w:cs="Calibri"/>
          <w:noProof w:val="0"/>
          <w:sz w:val="24"/>
          <w:szCs w:val="24"/>
          <w:lang w:val="en-US"/>
        </w:rPr>
        <w:t>. 3rd edn. Oxford: Oxford University Press.</w:t>
      </w:r>
    </w:p>
    <w:p w:rsidR="53B63DDB" w:rsidP="1A0BFF3E" w:rsidRDefault="53B63DDB" w14:paraId="09AFE020" w14:textId="0B153DE0">
      <w:pPr>
        <w:spacing w:before="240" w:beforeAutospacing="off" w:after="240" w:afterAutospacing="off"/>
      </w:pPr>
      <w:r w:rsidRPr="1A0BFF3E" w:rsidR="53B63DDB">
        <w:rPr>
          <w:rFonts w:ascii="Calibri" w:hAnsi="Calibri" w:eastAsia="Calibri" w:cs="Calibri"/>
          <w:noProof w:val="0"/>
          <w:sz w:val="24"/>
          <w:szCs w:val="24"/>
          <w:lang w:val="en-US"/>
        </w:rPr>
        <w:t xml:space="preserve">Reid, G. (2016) ‘Assistive technology and accessibility in post-16 education’, </w:t>
      </w:r>
      <w:r w:rsidRPr="1A0BFF3E" w:rsidR="53B63DDB">
        <w:rPr>
          <w:rFonts w:ascii="Calibri" w:hAnsi="Calibri" w:eastAsia="Calibri" w:cs="Calibri"/>
          <w:i w:val="1"/>
          <w:iCs w:val="1"/>
          <w:noProof w:val="0"/>
          <w:sz w:val="24"/>
          <w:szCs w:val="24"/>
          <w:lang w:val="en-US"/>
        </w:rPr>
        <w:t>Technology and Disability</w:t>
      </w:r>
      <w:r w:rsidRPr="1A0BFF3E" w:rsidR="53B63DDB">
        <w:rPr>
          <w:rFonts w:ascii="Calibri" w:hAnsi="Calibri" w:eastAsia="Calibri" w:cs="Calibri"/>
          <w:noProof w:val="0"/>
          <w:sz w:val="24"/>
          <w:szCs w:val="24"/>
          <w:lang w:val="en-US"/>
        </w:rPr>
        <w:t>, 28(4), pp. 165–174.</w:t>
      </w:r>
    </w:p>
    <w:p w:rsidR="53B63DDB" w:rsidP="1A0BFF3E" w:rsidRDefault="53B63DDB" w14:paraId="369DC19D" w14:textId="6FD0B20F">
      <w:pPr>
        <w:spacing w:before="240" w:beforeAutospacing="off" w:after="240" w:afterAutospacing="off"/>
      </w:pPr>
      <w:r w:rsidRPr="1A0BFF3E" w:rsidR="53B63DDB">
        <w:rPr>
          <w:rFonts w:ascii="Calibri" w:hAnsi="Calibri" w:eastAsia="Calibri" w:cs="Calibri"/>
          <w:noProof w:val="0"/>
          <w:sz w:val="24"/>
          <w:szCs w:val="24"/>
          <w:lang w:val="en-US"/>
        </w:rPr>
        <w:t xml:space="preserve">SAMHSA (2014) </w:t>
      </w:r>
      <w:r w:rsidRPr="1A0BFF3E" w:rsidR="53B63DDB">
        <w:rPr>
          <w:rFonts w:ascii="Calibri" w:hAnsi="Calibri" w:eastAsia="Calibri" w:cs="Calibri"/>
          <w:i w:val="1"/>
          <w:iCs w:val="1"/>
          <w:noProof w:val="0"/>
          <w:sz w:val="24"/>
          <w:szCs w:val="24"/>
          <w:lang w:val="en-US"/>
        </w:rPr>
        <w:t>Trauma-informed care in behavioral health services</w:t>
      </w:r>
      <w:r w:rsidRPr="1A0BFF3E" w:rsidR="53B63DDB">
        <w:rPr>
          <w:rFonts w:ascii="Calibri" w:hAnsi="Calibri" w:eastAsia="Calibri" w:cs="Calibri"/>
          <w:noProof w:val="0"/>
          <w:sz w:val="24"/>
          <w:szCs w:val="24"/>
          <w:lang w:val="en-US"/>
        </w:rPr>
        <w:t>. Rockville, MD: Substance Abuse and Mental Health Services Administration.</w:t>
      </w:r>
    </w:p>
    <w:p w:rsidR="53B63DDB" w:rsidP="1A0BFF3E" w:rsidRDefault="53B63DDB" w14:paraId="2823B610" w14:textId="5E0377F2">
      <w:pPr>
        <w:spacing w:before="240" w:beforeAutospacing="off" w:after="240" w:afterAutospacing="off"/>
      </w:pPr>
      <w:r w:rsidRPr="1A0BFF3E" w:rsidR="53B63DDB">
        <w:rPr>
          <w:rFonts w:ascii="Calibri" w:hAnsi="Calibri" w:eastAsia="Calibri" w:cs="Calibri"/>
          <w:noProof w:val="0"/>
          <w:sz w:val="24"/>
          <w:szCs w:val="24"/>
          <w:lang w:val="en-US"/>
        </w:rPr>
        <w:t xml:space="preserve">Savage, J. (2021) ‘Creative expression and identity: Supporting LGBTQ+ students in arts education’, </w:t>
      </w:r>
      <w:r w:rsidRPr="1A0BFF3E" w:rsidR="53B63DDB">
        <w:rPr>
          <w:rFonts w:ascii="Calibri" w:hAnsi="Calibri" w:eastAsia="Calibri" w:cs="Calibri"/>
          <w:i w:val="1"/>
          <w:iCs w:val="1"/>
          <w:noProof w:val="0"/>
          <w:sz w:val="24"/>
          <w:szCs w:val="24"/>
          <w:lang w:val="en-US"/>
        </w:rPr>
        <w:t>Journal of Creative Education</w:t>
      </w:r>
      <w:r w:rsidRPr="1A0BFF3E" w:rsidR="53B63DDB">
        <w:rPr>
          <w:rFonts w:ascii="Calibri" w:hAnsi="Calibri" w:eastAsia="Calibri" w:cs="Calibri"/>
          <w:noProof w:val="0"/>
          <w:sz w:val="24"/>
          <w:szCs w:val="24"/>
          <w:lang w:val="en-US"/>
        </w:rPr>
        <w:t>, 13(2), pp. 88–103.</w:t>
      </w:r>
    </w:p>
    <w:p w:rsidR="53B63DDB" w:rsidP="1A0BFF3E" w:rsidRDefault="53B63DDB" w14:paraId="54985CDE" w14:textId="40B99D7B">
      <w:pPr>
        <w:spacing w:before="240" w:beforeAutospacing="off" w:after="240" w:afterAutospacing="off"/>
      </w:pPr>
      <w:r w:rsidRPr="1A0BFF3E" w:rsidR="53B63DDB">
        <w:rPr>
          <w:rFonts w:ascii="Calibri" w:hAnsi="Calibri" w:eastAsia="Calibri" w:cs="Calibri"/>
          <w:noProof w:val="0"/>
          <w:sz w:val="24"/>
          <w:szCs w:val="24"/>
          <w:lang w:val="en-US"/>
        </w:rPr>
        <w:t xml:space="preserve">Shakespeare, T. (2013) </w:t>
      </w:r>
      <w:r w:rsidRPr="1A0BFF3E" w:rsidR="53B63DDB">
        <w:rPr>
          <w:rFonts w:ascii="Calibri" w:hAnsi="Calibri" w:eastAsia="Calibri" w:cs="Calibri"/>
          <w:i w:val="1"/>
          <w:iCs w:val="1"/>
          <w:noProof w:val="0"/>
          <w:sz w:val="24"/>
          <w:szCs w:val="24"/>
          <w:lang w:val="en-US"/>
        </w:rPr>
        <w:t>Disability rights and wrongs</w:t>
      </w:r>
      <w:r w:rsidRPr="1A0BFF3E" w:rsidR="53B63DDB">
        <w:rPr>
          <w:rFonts w:ascii="Calibri" w:hAnsi="Calibri" w:eastAsia="Calibri" w:cs="Calibri"/>
          <w:noProof w:val="0"/>
          <w:sz w:val="24"/>
          <w:szCs w:val="24"/>
          <w:lang w:val="en-US"/>
        </w:rPr>
        <w:t>. 2nd edn. London: Routledge.</w:t>
      </w:r>
    </w:p>
    <w:p w:rsidR="53B63DDB" w:rsidP="1A0BFF3E" w:rsidRDefault="53B63DDB" w14:paraId="21963014" w14:textId="2DCC99E0">
      <w:pPr>
        <w:spacing w:before="240" w:beforeAutospacing="off" w:after="240" w:afterAutospacing="off"/>
      </w:pPr>
      <w:r w:rsidRPr="1A0BFF3E" w:rsidR="53B63DDB">
        <w:rPr>
          <w:rFonts w:ascii="Calibri" w:hAnsi="Calibri" w:eastAsia="Calibri" w:cs="Calibri"/>
          <w:noProof w:val="0"/>
          <w:sz w:val="24"/>
          <w:szCs w:val="24"/>
          <w:lang w:val="en-US"/>
        </w:rPr>
        <w:t xml:space="preserve">Stonewall (2023) </w:t>
      </w:r>
      <w:r w:rsidRPr="1A0BFF3E" w:rsidR="53B63DDB">
        <w:rPr>
          <w:rFonts w:ascii="Calibri" w:hAnsi="Calibri" w:eastAsia="Calibri" w:cs="Calibri"/>
          <w:i w:val="1"/>
          <w:iCs w:val="1"/>
          <w:noProof w:val="0"/>
          <w:sz w:val="24"/>
          <w:szCs w:val="24"/>
          <w:lang w:val="en-US"/>
        </w:rPr>
        <w:t>Trans inclusion in education: Best practice guide</w:t>
      </w:r>
      <w:r w:rsidRPr="1A0BFF3E" w:rsidR="53B63DDB">
        <w:rPr>
          <w:rFonts w:ascii="Calibri" w:hAnsi="Calibri" w:eastAsia="Calibri" w:cs="Calibri"/>
          <w:noProof w:val="0"/>
          <w:sz w:val="24"/>
          <w:szCs w:val="24"/>
          <w:lang w:val="en-US"/>
        </w:rPr>
        <w:t>. London: Stonewall.</w:t>
      </w:r>
    </w:p>
    <w:p w:rsidR="53B63DDB" w:rsidP="1A0BFF3E" w:rsidRDefault="53B63DDB" w14:paraId="74176BED" w14:textId="0D07CA14">
      <w:pPr>
        <w:spacing w:before="240" w:beforeAutospacing="off" w:after="240" w:afterAutospacing="off"/>
      </w:pPr>
      <w:r w:rsidRPr="1A0BFF3E" w:rsidR="53B63DDB">
        <w:rPr>
          <w:rFonts w:ascii="Calibri" w:hAnsi="Calibri" w:eastAsia="Calibri" w:cs="Calibri"/>
          <w:noProof w:val="0"/>
          <w:sz w:val="24"/>
          <w:szCs w:val="24"/>
          <w:lang w:val="en-US"/>
        </w:rPr>
        <w:t xml:space="preserve">Tomlinson, C.A. (2014) </w:t>
      </w:r>
      <w:r w:rsidRPr="1A0BFF3E" w:rsidR="53B63DDB">
        <w:rPr>
          <w:rFonts w:ascii="Calibri" w:hAnsi="Calibri" w:eastAsia="Calibri" w:cs="Calibri"/>
          <w:i w:val="1"/>
          <w:iCs w:val="1"/>
          <w:noProof w:val="0"/>
          <w:sz w:val="24"/>
          <w:szCs w:val="24"/>
          <w:lang w:val="en-US"/>
        </w:rPr>
        <w:t>The differentiated classroom: Responding to the needs of all learners</w:t>
      </w:r>
      <w:r w:rsidRPr="1A0BFF3E" w:rsidR="53B63DDB">
        <w:rPr>
          <w:rFonts w:ascii="Calibri" w:hAnsi="Calibri" w:eastAsia="Calibri" w:cs="Calibri"/>
          <w:noProof w:val="0"/>
          <w:sz w:val="24"/>
          <w:szCs w:val="24"/>
          <w:lang w:val="en-US"/>
        </w:rPr>
        <w:t>. 2nd edn. Alexandria, VA: ASCD.</w:t>
      </w:r>
    </w:p>
    <w:p w:rsidR="53B63DDB" w:rsidP="1A0BFF3E" w:rsidRDefault="53B63DDB" w14:paraId="31289FB0" w14:textId="591495D8">
      <w:pPr>
        <w:spacing w:before="240" w:beforeAutospacing="off" w:after="240" w:afterAutospacing="off"/>
      </w:pPr>
      <w:r w:rsidRPr="1A0BFF3E" w:rsidR="53B63DDB">
        <w:rPr>
          <w:rFonts w:ascii="Calibri" w:hAnsi="Calibri" w:eastAsia="Calibri" w:cs="Calibri"/>
          <w:noProof w:val="0"/>
          <w:sz w:val="24"/>
          <w:szCs w:val="24"/>
          <w:lang w:val="en-US"/>
        </w:rPr>
        <w:t xml:space="preserve">Welsh Government (2015) </w:t>
      </w:r>
      <w:r w:rsidRPr="1A0BFF3E" w:rsidR="53B63DDB">
        <w:rPr>
          <w:rFonts w:ascii="Calibri" w:hAnsi="Calibri" w:eastAsia="Calibri" w:cs="Calibri"/>
          <w:i w:val="1"/>
          <w:iCs w:val="1"/>
          <w:noProof w:val="0"/>
          <w:sz w:val="24"/>
          <w:szCs w:val="24"/>
          <w:lang w:val="en-US"/>
        </w:rPr>
        <w:t>Well-being of Future Generations (Wales) Act 2015</w:t>
      </w:r>
      <w:r w:rsidRPr="1A0BFF3E" w:rsidR="53B63DDB">
        <w:rPr>
          <w:rFonts w:ascii="Calibri" w:hAnsi="Calibri" w:eastAsia="Calibri" w:cs="Calibri"/>
          <w:noProof w:val="0"/>
          <w:sz w:val="24"/>
          <w:szCs w:val="24"/>
          <w:lang w:val="en-US"/>
        </w:rPr>
        <w:t>. Cardiff: Welsh Government.</w:t>
      </w:r>
    </w:p>
    <w:p w:rsidR="53B63DDB" w:rsidP="1A0BFF3E" w:rsidRDefault="53B63DDB" w14:paraId="44A8AC59" w14:textId="1B951F2D">
      <w:pPr>
        <w:spacing w:before="240" w:beforeAutospacing="off" w:after="240" w:afterAutospacing="off"/>
      </w:pPr>
      <w:r w:rsidRPr="1A0BFF3E" w:rsidR="53B63DDB">
        <w:rPr>
          <w:rFonts w:ascii="Calibri" w:hAnsi="Calibri" w:eastAsia="Calibri" w:cs="Calibri"/>
          <w:noProof w:val="0"/>
          <w:sz w:val="24"/>
          <w:szCs w:val="24"/>
          <w:lang w:val="en-US"/>
        </w:rPr>
        <w:t xml:space="preserve">Welsh Government (2018) </w:t>
      </w:r>
      <w:r w:rsidRPr="1A0BFF3E" w:rsidR="53B63DDB">
        <w:rPr>
          <w:rFonts w:ascii="Calibri" w:hAnsi="Calibri" w:eastAsia="Calibri" w:cs="Calibri"/>
          <w:i w:val="1"/>
          <w:iCs w:val="1"/>
          <w:noProof w:val="0"/>
          <w:sz w:val="24"/>
          <w:szCs w:val="24"/>
          <w:lang w:val="en-US"/>
        </w:rPr>
        <w:t>Additional Learning Needs and Education Tribunal (Wales) Act 2018</w:t>
      </w:r>
      <w:r w:rsidRPr="1A0BFF3E" w:rsidR="53B63DDB">
        <w:rPr>
          <w:rFonts w:ascii="Calibri" w:hAnsi="Calibri" w:eastAsia="Calibri" w:cs="Calibri"/>
          <w:noProof w:val="0"/>
          <w:sz w:val="24"/>
          <w:szCs w:val="24"/>
          <w:lang w:val="en-US"/>
        </w:rPr>
        <w:t>. Cardiff: Welsh Government.</w:t>
      </w:r>
    </w:p>
    <w:p w:rsidR="53B63DDB" w:rsidP="1A0BFF3E" w:rsidRDefault="53B63DDB" w14:paraId="03A871BA" w14:textId="6DCAEC4F">
      <w:pPr>
        <w:spacing w:before="240" w:beforeAutospacing="off" w:after="240" w:afterAutospacing="off"/>
      </w:pPr>
      <w:r w:rsidRPr="1A0BFF3E" w:rsidR="53B63DDB">
        <w:rPr>
          <w:rFonts w:ascii="Calibri" w:hAnsi="Calibri" w:eastAsia="Calibri" w:cs="Calibri"/>
          <w:noProof w:val="0"/>
          <w:sz w:val="24"/>
          <w:szCs w:val="24"/>
          <w:lang w:val="en-US"/>
        </w:rPr>
        <w:t xml:space="preserve">Welsh Government (2021) </w:t>
      </w:r>
      <w:r w:rsidRPr="1A0BFF3E" w:rsidR="53B63DDB">
        <w:rPr>
          <w:rFonts w:ascii="Calibri" w:hAnsi="Calibri" w:eastAsia="Calibri" w:cs="Calibri"/>
          <w:i w:val="1"/>
          <w:iCs w:val="1"/>
          <w:noProof w:val="0"/>
          <w:sz w:val="24"/>
          <w:szCs w:val="24"/>
          <w:lang w:val="en-US"/>
        </w:rPr>
        <w:t>LGBTQ+ inclusive education guidance</w:t>
      </w:r>
      <w:r w:rsidRPr="1A0BFF3E" w:rsidR="53B63DDB">
        <w:rPr>
          <w:rFonts w:ascii="Calibri" w:hAnsi="Calibri" w:eastAsia="Calibri" w:cs="Calibri"/>
          <w:noProof w:val="0"/>
          <w:sz w:val="24"/>
          <w:szCs w:val="24"/>
          <w:lang w:val="en-US"/>
        </w:rPr>
        <w:t>. Cardiff: Welsh Government.</w:t>
      </w:r>
    </w:p>
    <w:p w:rsidR="53B63DDB" w:rsidP="1A0BFF3E" w:rsidRDefault="53B63DDB" w14:paraId="13615A58" w14:textId="0EAB5A35">
      <w:pPr>
        <w:spacing w:before="240" w:beforeAutospacing="off" w:after="240" w:afterAutospacing="off"/>
      </w:pPr>
      <w:r w:rsidRPr="1A0BFF3E" w:rsidR="53B63DDB">
        <w:rPr>
          <w:rFonts w:ascii="Calibri" w:hAnsi="Calibri" w:eastAsia="Calibri" w:cs="Calibri"/>
          <w:noProof w:val="0"/>
          <w:sz w:val="24"/>
          <w:szCs w:val="24"/>
          <w:lang w:val="en-US"/>
        </w:rPr>
        <w:t xml:space="preserve">Welsh Government (2022) </w:t>
      </w:r>
      <w:r w:rsidRPr="1A0BFF3E" w:rsidR="53B63DDB">
        <w:rPr>
          <w:rFonts w:ascii="Calibri" w:hAnsi="Calibri" w:eastAsia="Calibri" w:cs="Calibri"/>
          <w:i w:val="1"/>
          <w:iCs w:val="1"/>
          <w:noProof w:val="0"/>
          <w:sz w:val="24"/>
          <w:szCs w:val="24"/>
          <w:lang w:val="en-US"/>
        </w:rPr>
        <w:t>Working together to safeguard people</w:t>
      </w:r>
      <w:r w:rsidRPr="1A0BFF3E" w:rsidR="53B63DDB">
        <w:rPr>
          <w:rFonts w:ascii="Calibri" w:hAnsi="Calibri" w:eastAsia="Calibri" w:cs="Calibri"/>
          <w:noProof w:val="0"/>
          <w:sz w:val="24"/>
          <w:szCs w:val="24"/>
          <w:lang w:val="en-US"/>
        </w:rPr>
        <w:t>. Cardiff: Welsh Government.</w:t>
      </w:r>
    </w:p>
    <w:p w:rsidR="53B63DDB" w:rsidP="1A0BFF3E" w:rsidRDefault="53B63DDB" w14:paraId="2C4D3FA2" w14:textId="5E8227D1">
      <w:pPr>
        <w:spacing w:before="240" w:beforeAutospacing="off" w:after="240" w:afterAutospacing="off"/>
      </w:pPr>
      <w:r w:rsidRPr="1A0BFF3E" w:rsidR="53B63DDB">
        <w:rPr>
          <w:rFonts w:ascii="Calibri" w:hAnsi="Calibri" w:eastAsia="Calibri" w:cs="Calibri"/>
          <w:noProof w:val="0"/>
          <w:sz w:val="24"/>
          <w:szCs w:val="24"/>
          <w:lang w:val="en-US"/>
        </w:rPr>
        <w:t xml:space="preserve">Welsh Government (2023) </w:t>
      </w:r>
      <w:r w:rsidRPr="1A0BFF3E" w:rsidR="53B63DDB">
        <w:rPr>
          <w:rFonts w:ascii="Calibri" w:hAnsi="Calibri" w:eastAsia="Calibri" w:cs="Calibri"/>
          <w:i w:val="1"/>
          <w:iCs w:val="1"/>
          <w:noProof w:val="0"/>
          <w:sz w:val="24"/>
          <w:szCs w:val="24"/>
          <w:lang w:val="en-US"/>
        </w:rPr>
        <w:t>Keeping learners safe: Statutory guidance</w:t>
      </w:r>
      <w:r w:rsidRPr="1A0BFF3E" w:rsidR="53B63DDB">
        <w:rPr>
          <w:rFonts w:ascii="Calibri" w:hAnsi="Calibri" w:eastAsia="Calibri" w:cs="Calibri"/>
          <w:noProof w:val="0"/>
          <w:sz w:val="24"/>
          <w:szCs w:val="24"/>
          <w:lang w:val="en-US"/>
        </w:rPr>
        <w:t>. Cardiff: Welsh Government.</w:t>
      </w:r>
    </w:p>
    <w:p w:rsidR="1A0BFF3E" w:rsidP="1A0BFF3E" w:rsidRDefault="1A0BFF3E" w14:paraId="2D8200FB" w14:textId="774D9CF9">
      <w:pPr>
        <w:spacing w:before="240" w:beforeAutospacing="off" w:after="240" w:afterAutospacing="off"/>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4ad2b0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181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57fb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89b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c4447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34e1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FD7984"/>
    <w:rsid w:val="0007B651"/>
    <w:rsid w:val="00308FD4"/>
    <w:rsid w:val="0087BF12"/>
    <w:rsid w:val="00CA9C3F"/>
    <w:rsid w:val="01273F01"/>
    <w:rsid w:val="01669105"/>
    <w:rsid w:val="01E2D4CE"/>
    <w:rsid w:val="029876BA"/>
    <w:rsid w:val="02D83096"/>
    <w:rsid w:val="032F89FA"/>
    <w:rsid w:val="04203739"/>
    <w:rsid w:val="04E54A0B"/>
    <w:rsid w:val="05477E3D"/>
    <w:rsid w:val="0558AB54"/>
    <w:rsid w:val="0664F6E1"/>
    <w:rsid w:val="06855917"/>
    <w:rsid w:val="073A6B30"/>
    <w:rsid w:val="076E897F"/>
    <w:rsid w:val="089B34C3"/>
    <w:rsid w:val="08EE5026"/>
    <w:rsid w:val="099B5C26"/>
    <w:rsid w:val="0A220A58"/>
    <w:rsid w:val="0A51EA55"/>
    <w:rsid w:val="0B42AFCE"/>
    <w:rsid w:val="0B4BCFB6"/>
    <w:rsid w:val="0BAD5A1A"/>
    <w:rsid w:val="0C158F25"/>
    <w:rsid w:val="0C159AF2"/>
    <w:rsid w:val="0CE4BEFE"/>
    <w:rsid w:val="0DB1DFB7"/>
    <w:rsid w:val="0E4496A3"/>
    <w:rsid w:val="0E59D6EC"/>
    <w:rsid w:val="0F529B67"/>
    <w:rsid w:val="0FB89CD9"/>
    <w:rsid w:val="100204F7"/>
    <w:rsid w:val="108B088E"/>
    <w:rsid w:val="10AC3068"/>
    <w:rsid w:val="1121CFC7"/>
    <w:rsid w:val="1125701B"/>
    <w:rsid w:val="114807F6"/>
    <w:rsid w:val="11FF0499"/>
    <w:rsid w:val="1225C46F"/>
    <w:rsid w:val="1293EEED"/>
    <w:rsid w:val="13C0F4BB"/>
    <w:rsid w:val="13DC84C3"/>
    <w:rsid w:val="14356DC8"/>
    <w:rsid w:val="14836AA7"/>
    <w:rsid w:val="1695BA8E"/>
    <w:rsid w:val="17105295"/>
    <w:rsid w:val="171ACB82"/>
    <w:rsid w:val="1723880A"/>
    <w:rsid w:val="17FEA9A2"/>
    <w:rsid w:val="18534155"/>
    <w:rsid w:val="187FBBD4"/>
    <w:rsid w:val="188910A5"/>
    <w:rsid w:val="194696D5"/>
    <w:rsid w:val="198520CD"/>
    <w:rsid w:val="19A75C3E"/>
    <w:rsid w:val="19E0EDD2"/>
    <w:rsid w:val="1A0BFF3E"/>
    <w:rsid w:val="1A883907"/>
    <w:rsid w:val="1A991679"/>
    <w:rsid w:val="1AC5C526"/>
    <w:rsid w:val="1ACF8B9B"/>
    <w:rsid w:val="1B1756DE"/>
    <w:rsid w:val="1B335A16"/>
    <w:rsid w:val="1B34B9B8"/>
    <w:rsid w:val="1B792010"/>
    <w:rsid w:val="1BC53053"/>
    <w:rsid w:val="1BD38F80"/>
    <w:rsid w:val="1C2DF830"/>
    <w:rsid w:val="1C2DF830"/>
    <w:rsid w:val="1D2B6FDC"/>
    <w:rsid w:val="1DAC00AE"/>
    <w:rsid w:val="1DD8ACFA"/>
    <w:rsid w:val="1DDD36DF"/>
    <w:rsid w:val="1E6A03E4"/>
    <w:rsid w:val="1E97C068"/>
    <w:rsid w:val="1F1C53F9"/>
    <w:rsid w:val="1FAB2F3A"/>
    <w:rsid w:val="218A3D77"/>
    <w:rsid w:val="21D026B8"/>
    <w:rsid w:val="224DA627"/>
    <w:rsid w:val="2276BB2D"/>
    <w:rsid w:val="22E08692"/>
    <w:rsid w:val="23340751"/>
    <w:rsid w:val="236C0CF0"/>
    <w:rsid w:val="237F81B0"/>
    <w:rsid w:val="2423FE0B"/>
    <w:rsid w:val="2444B341"/>
    <w:rsid w:val="24AECF4A"/>
    <w:rsid w:val="2522E915"/>
    <w:rsid w:val="25E1E8B6"/>
    <w:rsid w:val="26B47DEA"/>
    <w:rsid w:val="26C9FB9C"/>
    <w:rsid w:val="2747A928"/>
    <w:rsid w:val="2759A620"/>
    <w:rsid w:val="27C664C0"/>
    <w:rsid w:val="27EAE6CB"/>
    <w:rsid w:val="2801445C"/>
    <w:rsid w:val="2822F88F"/>
    <w:rsid w:val="29930D37"/>
    <w:rsid w:val="29A94BCC"/>
    <w:rsid w:val="2A3917D2"/>
    <w:rsid w:val="2B0A1D63"/>
    <w:rsid w:val="2B28343C"/>
    <w:rsid w:val="2B3409BB"/>
    <w:rsid w:val="2B3EF775"/>
    <w:rsid w:val="2B622EDF"/>
    <w:rsid w:val="2B649529"/>
    <w:rsid w:val="2B6AA8DF"/>
    <w:rsid w:val="2B8ED435"/>
    <w:rsid w:val="2B8ED435"/>
    <w:rsid w:val="2BADF3C3"/>
    <w:rsid w:val="2BB4CD2D"/>
    <w:rsid w:val="2C15078C"/>
    <w:rsid w:val="2D38B01F"/>
    <w:rsid w:val="2D921EC5"/>
    <w:rsid w:val="2F74791D"/>
    <w:rsid w:val="30F68116"/>
    <w:rsid w:val="319D6E3F"/>
    <w:rsid w:val="3236D57C"/>
    <w:rsid w:val="34E3CDDA"/>
    <w:rsid w:val="34E919F6"/>
    <w:rsid w:val="356F5A36"/>
    <w:rsid w:val="35725DB1"/>
    <w:rsid w:val="35C89FCD"/>
    <w:rsid w:val="36091CBD"/>
    <w:rsid w:val="360BEC17"/>
    <w:rsid w:val="364177C9"/>
    <w:rsid w:val="373BD85F"/>
    <w:rsid w:val="37A30D44"/>
    <w:rsid w:val="37F8D9AE"/>
    <w:rsid w:val="38715B93"/>
    <w:rsid w:val="394D9CA3"/>
    <w:rsid w:val="39B2AFA1"/>
    <w:rsid w:val="39D1AC77"/>
    <w:rsid w:val="3A1854EC"/>
    <w:rsid w:val="3A42DAC8"/>
    <w:rsid w:val="3AE8B376"/>
    <w:rsid w:val="3B0877C3"/>
    <w:rsid w:val="3B9598A2"/>
    <w:rsid w:val="3BBE56B2"/>
    <w:rsid w:val="3BDC4983"/>
    <w:rsid w:val="3BE6FF51"/>
    <w:rsid w:val="3BFA1B63"/>
    <w:rsid w:val="3D643CFC"/>
    <w:rsid w:val="3D6BAF5C"/>
    <w:rsid w:val="3E4807C1"/>
    <w:rsid w:val="3E67FFF5"/>
    <w:rsid w:val="3F655CB3"/>
    <w:rsid w:val="3FA85676"/>
    <w:rsid w:val="3FABF6D3"/>
    <w:rsid w:val="40460A7B"/>
    <w:rsid w:val="422FF141"/>
    <w:rsid w:val="42C17A3D"/>
    <w:rsid w:val="43008456"/>
    <w:rsid w:val="446B2C7D"/>
    <w:rsid w:val="44E89FE9"/>
    <w:rsid w:val="451E5BBE"/>
    <w:rsid w:val="4540273F"/>
    <w:rsid w:val="457822CD"/>
    <w:rsid w:val="46058CD7"/>
    <w:rsid w:val="47B86972"/>
    <w:rsid w:val="48189E09"/>
    <w:rsid w:val="48DC48D0"/>
    <w:rsid w:val="498A61FD"/>
    <w:rsid w:val="49C8850B"/>
    <w:rsid w:val="4B668686"/>
    <w:rsid w:val="4BA43324"/>
    <w:rsid w:val="4C51CE03"/>
    <w:rsid w:val="4C555081"/>
    <w:rsid w:val="4C94E0B4"/>
    <w:rsid w:val="4E1A5E91"/>
    <w:rsid w:val="4E5B251E"/>
    <w:rsid w:val="4E78289B"/>
    <w:rsid w:val="4EA5F250"/>
    <w:rsid w:val="4EBE41A9"/>
    <w:rsid w:val="4FDEB285"/>
    <w:rsid w:val="50B0A0F1"/>
    <w:rsid w:val="51036506"/>
    <w:rsid w:val="51862070"/>
    <w:rsid w:val="51A58AE4"/>
    <w:rsid w:val="5289EEFE"/>
    <w:rsid w:val="52E67542"/>
    <w:rsid w:val="52E68BA9"/>
    <w:rsid w:val="52FDF800"/>
    <w:rsid w:val="5316C30A"/>
    <w:rsid w:val="539DDE28"/>
    <w:rsid w:val="53B63DDB"/>
    <w:rsid w:val="53FD7984"/>
    <w:rsid w:val="54A30B17"/>
    <w:rsid w:val="54B09E28"/>
    <w:rsid w:val="54BD8137"/>
    <w:rsid w:val="5520F664"/>
    <w:rsid w:val="55385913"/>
    <w:rsid w:val="5614B76B"/>
    <w:rsid w:val="572050E0"/>
    <w:rsid w:val="577F0AF3"/>
    <w:rsid w:val="585F50EE"/>
    <w:rsid w:val="59A99B42"/>
    <w:rsid w:val="59B7D833"/>
    <w:rsid w:val="5B73677C"/>
    <w:rsid w:val="5C69CC64"/>
    <w:rsid w:val="5C8E1A4C"/>
    <w:rsid w:val="5CA57EA1"/>
    <w:rsid w:val="5D400155"/>
    <w:rsid w:val="5FAC8554"/>
    <w:rsid w:val="60E6EB33"/>
    <w:rsid w:val="611E6267"/>
    <w:rsid w:val="619C97E9"/>
    <w:rsid w:val="6204DDC1"/>
    <w:rsid w:val="626720E7"/>
    <w:rsid w:val="640D4B1A"/>
    <w:rsid w:val="64A77FE4"/>
    <w:rsid w:val="6515027D"/>
    <w:rsid w:val="658B1820"/>
    <w:rsid w:val="664C335A"/>
    <w:rsid w:val="6651C173"/>
    <w:rsid w:val="67098203"/>
    <w:rsid w:val="69A8A5DD"/>
    <w:rsid w:val="69E827A8"/>
    <w:rsid w:val="6A22396D"/>
    <w:rsid w:val="6AC36727"/>
    <w:rsid w:val="6AD8F78B"/>
    <w:rsid w:val="6ADFA266"/>
    <w:rsid w:val="6B2004FD"/>
    <w:rsid w:val="6B661887"/>
    <w:rsid w:val="6C54C6C5"/>
    <w:rsid w:val="6CBE59A7"/>
    <w:rsid w:val="6CCAF165"/>
    <w:rsid w:val="6D8AE974"/>
    <w:rsid w:val="6E898806"/>
    <w:rsid w:val="6F3A3D81"/>
    <w:rsid w:val="6F82F3A8"/>
    <w:rsid w:val="6FDDB3DB"/>
    <w:rsid w:val="7064F010"/>
    <w:rsid w:val="709CD931"/>
    <w:rsid w:val="70A036F4"/>
    <w:rsid w:val="70E80881"/>
    <w:rsid w:val="710C27B5"/>
    <w:rsid w:val="710F2D24"/>
    <w:rsid w:val="728FA9B2"/>
    <w:rsid w:val="73CA260A"/>
    <w:rsid w:val="74EADF6B"/>
    <w:rsid w:val="7540274B"/>
    <w:rsid w:val="7543886B"/>
    <w:rsid w:val="7546A447"/>
    <w:rsid w:val="754E6404"/>
    <w:rsid w:val="76B1CD7F"/>
    <w:rsid w:val="76E394B1"/>
    <w:rsid w:val="7755F94D"/>
    <w:rsid w:val="7821632A"/>
    <w:rsid w:val="790EFA48"/>
    <w:rsid w:val="79DCE52E"/>
    <w:rsid w:val="7A42CD7F"/>
    <w:rsid w:val="7B0FD8E0"/>
    <w:rsid w:val="7B4F1B0F"/>
    <w:rsid w:val="7BEB28A6"/>
    <w:rsid w:val="7BEF1916"/>
    <w:rsid w:val="7C05AA01"/>
    <w:rsid w:val="7C05BA64"/>
    <w:rsid w:val="7C4B0F04"/>
    <w:rsid w:val="7C5B0178"/>
    <w:rsid w:val="7CBA5003"/>
    <w:rsid w:val="7CBFE4F2"/>
    <w:rsid w:val="7CC0CD55"/>
    <w:rsid w:val="7D874D72"/>
    <w:rsid w:val="7D9779F1"/>
    <w:rsid w:val="7DB3BF0D"/>
    <w:rsid w:val="7DD2847D"/>
    <w:rsid w:val="7E4EC3A1"/>
    <w:rsid w:val="7E558AA7"/>
    <w:rsid w:val="7E5CB927"/>
    <w:rsid w:val="7E5D3C59"/>
    <w:rsid w:val="7F630047"/>
    <w:rsid w:val="7F7D41E5"/>
    <w:rsid w:val="7F90E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D7984"/>
  <w15:chartTrackingRefBased/>
  <w15:docId w15:val="{8645CB92-84B3-4967-89D0-136688E2E6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9D1AC77"/>
    <w:pPr>
      <w:spacing/>
      <w:ind w:left="720"/>
      <w:contextualSpacing/>
    </w:pPr>
  </w:style>
  <w:style w:type="character" w:styleId="Hyperlink">
    <w:uiPriority w:val="99"/>
    <w:name w:val="Hyperlink"/>
    <w:basedOn w:val="DefaultParagraphFont"/>
    <w:unhideWhenUsed/>
    <w:rsid w:val="1A0BFF3E"/>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a4e980ad0c74b19" /><Relationship Type="http://schemas.openxmlformats.org/officeDocument/2006/relationships/image" Target="/media/image.png" Id="R0fe16c5f29504fc4" /><Relationship Type="http://schemas.openxmlformats.org/officeDocument/2006/relationships/hyperlink" Target="http://udlguidelines.cast.org/" TargetMode="External" Id="R0eb3bd8330804c2e" /><Relationship Type="http://schemas.openxmlformats.org/officeDocument/2006/relationships/hyperlink" Target="https://www.gov.uk/government/publications/send-code-of-practice-0-to-25" TargetMode="External" Id="R6ae0b1d305c747fd" /><Relationship Type="http://schemas.openxmlformats.org/officeDocument/2006/relationships/hyperlink" Target="https://www.equalityhumanrights.com/en/publication-download/equality-act-2010-technical-guidance-further-and-higher-education" TargetMode="External" Id="R50302baa8cb74b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2024-12-10T13:15:04.8229457Z</dcterms:created>
  <dcterms:modified xsi:type="dcterms:W3CDTF">2025-05-30T19:39:29.5977148Z</dcterms:modified>
  <dc:creator>Erin Heymann (1906811)</dc:creator>
  <lastModifiedBy>Erin Heymann (1906811)</lastModifiedBy>
</coreProperties>
</file>