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330ED" w14:textId="24649EDB" w:rsidR="008A111D" w:rsidRDefault="008A111D">
      <w:r w:rsidRPr="008A111D">
        <w:rPr>
          <w:noProof/>
        </w:rPr>
        <w:drawing>
          <wp:anchor distT="0" distB="0" distL="114300" distR="114300" simplePos="0" relativeHeight="251658240" behindDoc="0" locked="0" layoutInCell="1" allowOverlap="1" wp14:anchorId="4F289617" wp14:editId="4E342045">
            <wp:simplePos x="0" y="0"/>
            <wp:positionH relativeFrom="column">
              <wp:posOffset>-571500</wp:posOffset>
            </wp:positionH>
            <wp:positionV relativeFrom="paragraph">
              <wp:posOffset>-541655</wp:posOffset>
            </wp:positionV>
            <wp:extent cx="2026920" cy="797691"/>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26920" cy="797691"/>
                    </a:xfrm>
                    <a:prstGeom prst="rect">
                      <a:avLst/>
                    </a:prstGeom>
                  </pic:spPr>
                </pic:pic>
              </a:graphicData>
            </a:graphic>
            <wp14:sizeRelH relativeFrom="page">
              <wp14:pctWidth>0</wp14:pctWidth>
            </wp14:sizeRelH>
            <wp14:sizeRelV relativeFrom="page">
              <wp14:pctHeight>0</wp14:pctHeight>
            </wp14:sizeRelV>
          </wp:anchor>
        </w:drawing>
      </w:r>
    </w:p>
    <w:p w14:paraId="135D98FF" w14:textId="42F33441" w:rsidR="008A111D" w:rsidRDefault="008A111D"/>
    <w:p w14:paraId="4145811A" w14:textId="77777777" w:rsidR="008A111D" w:rsidRDefault="008A111D"/>
    <w:p w14:paraId="3DB21309" w14:textId="77777777" w:rsidR="008A111D" w:rsidRDefault="008A111D"/>
    <w:p w14:paraId="1D5C1B9C" w14:textId="77777777" w:rsidR="008A111D" w:rsidRDefault="008A111D"/>
    <w:p w14:paraId="0676E2AF" w14:textId="77777777" w:rsidR="008A111D" w:rsidRDefault="008A111D"/>
    <w:p w14:paraId="43677F03" w14:textId="7665B5C6" w:rsidR="008A111D" w:rsidRDefault="008A111D" w:rsidP="008A111D">
      <w:pPr>
        <w:jc w:val="center"/>
        <w:rPr>
          <w:rFonts w:ascii="Arial" w:hAnsi="Arial" w:cs="Arial"/>
          <w:b/>
          <w:bCs/>
          <w:sz w:val="32"/>
          <w:szCs w:val="32"/>
        </w:rPr>
      </w:pPr>
      <w:r w:rsidRPr="008A111D">
        <w:rPr>
          <w:rFonts w:ascii="Arial" w:hAnsi="Arial" w:cs="Arial"/>
          <w:b/>
          <w:bCs/>
          <w:sz w:val="32"/>
          <w:szCs w:val="32"/>
        </w:rPr>
        <w:t>Certificate of Higher Education Skills for the Workplace (Health &amp; Social Care)</w:t>
      </w:r>
    </w:p>
    <w:p w14:paraId="36FB5D8C" w14:textId="77777777" w:rsidR="008A111D" w:rsidRPr="008A111D" w:rsidRDefault="008A111D" w:rsidP="008A111D">
      <w:pPr>
        <w:jc w:val="center"/>
        <w:rPr>
          <w:rFonts w:ascii="Arial" w:hAnsi="Arial" w:cs="Arial"/>
          <w:b/>
          <w:bCs/>
          <w:sz w:val="32"/>
          <w:szCs w:val="32"/>
        </w:rPr>
      </w:pPr>
    </w:p>
    <w:p w14:paraId="7221AD1D" w14:textId="647AFED4" w:rsidR="008A111D" w:rsidRPr="008A111D" w:rsidRDefault="008A111D" w:rsidP="008A111D">
      <w:pPr>
        <w:jc w:val="center"/>
        <w:rPr>
          <w:rFonts w:ascii="Arial" w:hAnsi="Arial" w:cs="Arial"/>
          <w:b/>
          <w:bCs/>
          <w:sz w:val="32"/>
          <w:szCs w:val="32"/>
        </w:rPr>
      </w:pPr>
      <w:r w:rsidRPr="008A111D">
        <w:rPr>
          <w:rFonts w:ascii="Arial" w:hAnsi="Arial" w:cs="Arial"/>
          <w:b/>
          <w:bCs/>
          <w:sz w:val="32"/>
          <w:szCs w:val="32"/>
        </w:rPr>
        <w:t>LCHS4003</w:t>
      </w:r>
    </w:p>
    <w:p w14:paraId="6945DA6D" w14:textId="00CF496C" w:rsidR="008A111D" w:rsidRPr="008A111D" w:rsidRDefault="008A111D" w:rsidP="008A111D">
      <w:pPr>
        <w:jc w:val="center"/>
        <w:rPr>
          <w:rFonts w:ascii="Arial" w:hAnsi="Arial" w:cs="Arial"/>
          <w:b/>
          <w:bCs/>
          <w:sz w:val="32"/>
          <w:szCs w:val="32"/>
        </w:rPr>
      </w:pPr>
      <w:r w:rsidRPr="008A111D">
        <w:rPr>
          <w:rFonts w:ascii="Arial" w:hAnsi="Arial" w:cs="Arial"/>
          <w:b/>
          <w:bCs/>
          <w:sz w:val="32"/>
          <w:szCs w:val="32"/>
        </w:rPr>
        <w:t>Introduction to Health and Social Care</w:t>
      </w:r>
    </w:p>
    <w:p w14:paraId="2DF3E3E4" w14:textId="728BE55C" w:rsidR="008A111D" w:rsidRDefault="008A111D" w:rsidP="008A111D">
      <w:pPr>
        <w:jc w:val="center"/>
        <w:rPr>
          <w:rFonts w:ascii="Arial" w:hAnsi="Arial" w:cs="Arial"/>
          <w:b/>
          <w:bCs/>
          <w:sz w:val="32"/>
          <w:szCs w:val="32"/>
        </w:rPr>
      </w:pPr>
      <w:r w:rsidRPr="008A111D">
        <w:rPr>
          <w:rFonts w:ascii="Arial" w:hAnsi="Arial" w:cs="Arial"/>
          <w:b/>
          <w:bCs/>
          <w:sz w:val="32"/>
          <w:szCs w:val="32"/>
        </w:rPr>
        <w:t>Component 2 Written Assignment</w:t>
      </w:r>
    </w:p>
    <w:p w14:paraId="79847D44" w14:textId="77777777" w:rsidR="00DA296C" w:rsidRDefault="00DA296C">
      <w:pPr>
        <w:rPr>
          <w:rFonts w:ascii="Arial" w:hAnsi="Arial" w:cs="Arial"/>
          <w:b/>
          <w:bCs/>
          <w:sz w:val="32"/>
          <w:szCs w:val="32"/>
        </w:rPr>
      </w:pPr>
    </w:p>
    <w:p w14:paraId="77D046E6" w14:textId="77777777" w:rsidR="00DA296C" w:rsidRDefault="00DA296C">
      <w:pPr>
        <w:rPr>
          <w:rFonts w:ascii="Arial" w:hAnsi="Arial" w:cs="Arial"/>
          <w:b/>
          <w:bCs/>
          <w:sz w:val="32"/>
          <w:szCs w:val="32"/>
        </w:rPr>
      </w:pPr>
      <w:r>
        <w:rPr>
          <w:rFonts w:ascii="Arial" w:hAnsi="Arial" w:cs="Arial"/>
          <w:b/>
          <w:bCs/>
          <w:sz w:val="32"/>
          <w:szCs w:val="32"/>
        </w:rPr>
        <w:t>Name of Student: Umma Kulsum</w:t>
      </w:r>
    </w:p>
    <w:p w14:paraId="01E7A358" w14:textId="77777777" w:rsidR="00DA296C" w:rsidRDefault="00DA296C">
      <w:pPr>
        <w:rPr>
          <w:rFonts w:ascii="Arial" w:hAnsi="Arial" w:cs="Arial"/>
          <w:b/>
          <w:bCs/>
          <w:sz w:val="32"/>
          <w:szCs w:val="32"/>
        </w:rPr>
      </w:pPr>
      <w:r>
        <w:rPr>
          <w:rFonts w:ascii="Arial" w:hAnsi="Arial" w:cs="Arial"/>
          <w:b/>
          <w:bCs/>
          <w:sz w:val="32"/>
          <w:szCs w:val="32"/>
        </w:rPr>
        <w:t>I.D. Number: 2513410</w:t>
      </w:r>
    </w:p>
    <w:p w14:paraId="7BEAECAF" w14:textId="279840BC" w:rsidR="008A111D" w:rsidRDefault="00DA296C">
      <w:pPr>
        <w:rPr>
          <w:rFonts w:ascii="Arial" w:hAnsi="Arial" w:cs="Arial"/>
          <w:b/>
          <w:bCs/>
          <w:sz w:val="32"/>
          <w:szCs w:val="32"/>
        </w:rPr>
      </w:pPr>
      <w:r>
        <w:rPr>
          <w:rFonts w:ascii="Arial" w:hAnsi="Arial" w:cs="Arial"/>
          <w:b/>
          <w:bCs/>
          <w:sz w:val="32"/>
          <w:szCs w:val="32"/>
        </w:rPr>
        <w:t xml:space="preserve">Name of Tutor: Eleni </w:t>
      </w:r>
      <w:proofErr w:type="spellStart"/>
      <w:r>
        <w:rPr>
          <w:rFonts w:ascii="Arial" w:hAnsi="Arial" w:cs="Arial"/>
          <w:b/>
          <w:bCs/>
          <w:sz w:val="32"/>
          <w:szCs w:val="32"/>
        </w:rPr>
        <w:t>Koutsogeorgou</w:t>
      </w:r>
      <w:proofErr w:type="spellEnd"/>
      <w:r>
        <w:rPr>
          <w:rFonts w:ascii="Arial" w:hAnsi="Arial" w:cs="Arial"/>
          <w:b/>
          <w:bCs/>
          <w:sz w:val="32"/>
          <w:szCs w:val="32"/>
        </w:rPr>
        <w:t>-Andreou</w:t>
      </w:r>
      <w:r w:rsidR="008A111D">
        <w:rPr>
          <w:rFonts w:ascii="Arial" w:hAnsi="Arial" w:cs="Arial"/>
          <w:b/>
          <w:bCs/>
          <w:sz w:val="32"/>
          <w:szCs w:val="32"/>
        </w:rPr>
        <w:br w:type="page"/>
      </w:r>
    </w:p>
    <w:sdt>
      <w:sdtPr>
        <w:rPr>
          <w:rFonts w:asciiTheme="minorHAnsi" w:eastAsiaTheme="minorHAnsi" w:hAnsiTheme="minorHAnsi" w:cstheme="minorBidi"/>
          <w:color w:val="auto"/>
          <w:sz w:val="22"/>
          <w:szCs w:val="22"/>
        </w:rPr>
        <w:id w:val="2015491041"/>
        <w:docPartObj>
          <w:docPartGallery w:val="Table of Contents"/>
          <w:docPartUnique/>
        </w:docPartObj>
      </w:sdtPr>
      <w:sdtEndPr>
        <w:rPr>
          <w:b/>
          <w:bCs/>
          <w:noProof/>
        </w:rPr>
      </w:sdtEndPr>
      <w:sdtContent>
        <w:p w14:paraId="7C18691B" w14:textId="171BD24D" w:rsidR="008A111D" w:rsidRPr="008A111D" w:rsidRDefault="008A111D">
          <w:pPr>
            <w:pStyle w:val="TOCHeading"/>
            <w:rPr>
              <w:rFonts w:ascii="Arial" w:hAnsi="Arial" w:cs="Arial"/>
              <w:b/>
              <w:bCs/>
            </w:rPr>
          </w:pPr>
          <w:r w:rsidRPr="008A111D">
            <w:rPr>
              <w:rFonts w:ascii="Arial" w:hAnsi="Arial" w:cs="Arial"/>
              <w:b/>
              <w:bCs/>
            </w:rPr>
            <w:t>Contents</w:t>
          </w:r>
        </w:p>
        <w:p w14:paraId="63659FE3" w14:textId="0598E971" w:rsidR="008A111D" w:rsidRPr="008A111D" w:rsidRDefault="008A111D">
          <w:pPr>
            <w:pStyle w:val="TOC1"/>
            <w:tabs>
              <w:tab w:val="right" w:leader="dot" w:pos="9016"/>
            </w:tabs>
            <w:rPr>
              <w:rFonts w:ascii="Arial" w:hAnsi="Arial" w:cs="Arial"/>
              <w:noProof/>
            </w:rPr>
          </w:pPr>
          <w:r w:rsidRPr="008A111D">
            <w:rPr>
              <w:rFonts w:ascii="Arial" w:hAnsi="Arial" w:cs="Arial"/>
            </w:rPr>
            <w:fldChar w:fldCharType="begin"/>
          </w:r>
          <w:r w:rsidRPr="008A111D">
            <w:rPr>
              <w:rFonts w:ascii="Arial" w:hAnsi="Arial" w:cs="Arial"/>
            </w:rPr>
            <w:instrText xml:space="preserve"> TOC \o "1-3" \h \z \u </w:instrText>
          </w:r>
          <w:r w:rsidRPr="008A111D">
            <w:rPr>
              <w:rFonts w:ascii="Arial" w:hAnsi="Arial" w:cs="Arial"/>
            </w:rPr>
            <w:fldChar w:fldCharType="separate"/>
          </w:r>
          <w:hyperlink w:anchor="_Toc234717612" w:history="1">
            <w:r w:rsidRPr="008A111D">
              <w:rPr>
                <w:rStyle w:val="Hyperlink"/>
                <w:rFonts w:ascii="Arial" w:hAnsi="Arial" w:cs="Arial"/>
                <w:noProof/>
              </w:rPr>
              <w:t>Introduction</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_Toc234717612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3</w:t>
            </w:r>
            <w:r w:rsidRPr="008A111D">
              <w:rPr>
                <w:rFonts w:ascii="Arial" w:hAnsi="Arial" w:cs="Arial"/>
                <w:noProof/>
                <w:webHidden/>
              </w:rPr>
              <w:fldChar w:fldCharType="end"/>
            </w:r>
          </w:hyperlink>
        </w:p>
        <w:p w14:paraId="4CB3A8B9" w14:textId="2D24C3F6" w:rsidR="008A111D" w:rsidRPr="008A111D" w:rsidRDefault="008A111D">
          <w:pPr>
            <w:pStyle w:val="TOC1"/>
            <w:tabs>
              <w:tab w:val="right" w:leader="dot" w:pos="9016"/>
            </w:tabs>
            <w:rPr>
              <w:rFonts w:ascii="Arial" w:hAnsi="Arial" w:cs="Arial"/>
              <w:noProof/>
            </w:rPr>
          </w:pPr>
          <w:hyperlink w:anchor="_Toc234717613" w:history="1">
            <w:r w:rsidRPr="008A111D">
              <w:rPr>
                <w:rStyle w:val="Hyperlink"/>
                <w:rFonts w:ascii="Arial" w:hAnsi="Arial" w:cs="Arial"/>
                <w:noProof/>
              </w:rPr>
              <w:t>1. The Importance of Effective Communication</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_Toc234717613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3</w:t>
            </w:r>
            <w:r w:rsidRPr="008A111D">
              <w:rPr>
                <w:rFonts w:ascii="Arial" w:hAnsi="Arial" w:cs="Arial"/>
                <w:noProof/>
                <w:webHidden/>
              </w:rPr>
              <w:fldChar w:fldCharType="end"/>
            </w:r>
          </w:hyperlink>
        </w:p>
        <w:p w14:paraId="235C9235" w14:textId="6CEED6DF" w:rsidR="008A111D" w:rsidRPr="008A111D" w:rsidRDefault="008A111D">
          <w:pPr>
            <w:pStyle w:val="TOC1"/>
            <w:tabs>
              <w:tab w:val="right" w:leader="dot" w:pos="9016"/>
            </w:tabs>
            <w:rPr>
              <w:rFonts w:ascii="Arial" w:hAnsi="Arial" w:cs="Arial"/>
              <w:noProof/>
            </w:rPr>
          </w:pPr>
          <w:hyperlink w:anchor="_Toc234717614" w:history="1">
            <w:r w:rsidRPr="008A111D">
              <w:rPr>
                <w:rStyle w:val="Hyperlink"/>
                <w:rFonts w:ascii="Arial" w:hAnsi="Arial" w:cs="Arial"/>
                <w:noProof/>
              </w:rPr>
              <w:t>2. The Importance of Good Administrative Skills</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_Toc234717614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4</w:t>
            </w:r>
            <w:r w:rsidRPr="008A111D">
              <w:rPr>
                <w:rFonts w:ascii="Arial" w:hAnsi="Arial" w:cs="Arial"/>
                <w:noProof/>
                <w:webHidden/>
              </w:rPr>
              <w:fldChar w:fldCharType="end"/>
            </w:r>
          </w:hyperlink>
        </w:p>
        <w:p w14:paraId="3161BC4B" w14:textId="36885997" w:rsidR="008A111D" w:rsidRPr="008A111D" w:rsidRDefault="008A111D">
          <w:pPr>
            <w:pStyle w:val="TOC1"/>
            <w:tabs>
              <w:tab w:val="right" w:leader="dot" w:pos="9016"/>
            </w:tabs>
            <w:rPr>
              <w:rFonts w:ascii="Arial" w:hAnsi="Arial" w:cs="Arial"/>
              <w:noProof/>
            </w:rPr>
          </w:pPr>
          <w:hyperlink w:anchor="_Toc234717615" w:history="1">
            <w:r w:rsidRPr="008A111D">
              <w:rPr>
                <w:rStyle w:val="Hyperlink"/>
                <w:rFonts w:ascii="Arial" w:hAnsi="Arial" w:cs="Arial"/>
                <w:noProof/>
              </w:rPr>
              <w:t>3. Working Collaboratively with Other Professionals</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_Toc234717615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5</w:t>
            </w:r>
            <w:r w:rsidRPr="008A111D">
              <w:rPr>
                <w:rFonts w:ascii="Arial" w:hAnsi="Arial" w:cs="Arial"/>
                <w:noProof/>
                <w:webHidden/>
              </w:rPr>
              <w:fldChar w:fldCharType="end"/>
            </w:r>
          </w:hyperlink>
        </w:p>
        <w:p w14:paraId="0D815633" w14:textId="7B5C37A0" w:rsidR="008A111D" w:rsidRPr="008A111D" w:rsidRDefault="008A111D">
          <w:pPr>
            <w:pStyle w:val="TOC1"/>
            <w:tabs>
              <w:tab w:val="right" w:leader="dot" w:pos="9016"/>
            </w:tabs>
            <w:rPr>
              <w:rFonts w:ascii="Arial" w:hAnsi="Arial" w:cs="Arial"/>
              <w:noProof/>
            </w:rPr>
          </w:pPr>
          <w:hyperlink w:anchor="_Toc234717616" w:history="1">
            <w:r w:rsidRPr="008A111D">
              <w:rPr>
                <w:rStyle w:val="Hyperlink"/>
                <w:rFonts w:ascii="Arial" w:hAnsi="Arial" w:cs="Arial"/>
                <w:noProof/>
              </w:rPr>
              <w:t>Conclusion</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_Toc234717616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6</w:t>
            </w:r>
            <w:r w:rsidRPr="008A111D">
              <w:rPr>
                <w:rFonts w:ascii="Arial" w:hAnsi="Arial" w:cs="Arial"/>
                <w:noProof/>
                <w:webHidden/>
              </w:rPr>
              <w:fldChar w:fldCharType="end"/>
            </w:r>
          </w:hyperlink>
        </w:p>
        <w:p w14:paraId="35D4AAE9" w14:textId="1EED54B6" w:rsidR="008A111D" w:rsidRPr="008A111D" w:rsidRDefault="008A111D">
          <w:pPr>
            <w:pStyle w:val="TOC1"/>
            <w:tabs>
              <w:tab w:val="right" w:leader="dot" w:pos="9016"/>
            </w:tabs>
            <w:rPr>
              <w:rFonts w:ascii="Arial" w:hAnsi="Arial" w:cs="Arial"/>
              <w:noProof/>
            </w:rPr>
          </w:pPr>
          <w:hyperlink w:anchor="_Toc234717617" w:history="1">
            <w:r w:rsidRPr="008A111D">
              <w:rPr>
                <w:rStyle w:val="Hyperlink"/>
                <w:rFonts w:ascii="Arial" w:hAnsi="Arial" w:cs="Arial"/>
                <w:noProof/>
              </w:rPr>
              <w:t>References</w:t>
            </w:r>
            <w:r w:rsidRPr="008A111D">
              <w:rPr>
                <w:rFonts w:ascii="Arial" w:hAnsi="Arial" w:cs="Arial"/>
                <w:noProof/>
                <w:webHidden/>
              </w:rPr>
              <w:tab/>
            </w:r>
            <w:r w:rsidRPr="008A111D">
              <w:rPr>
                <w:rFonts w:ascii="Arial" w:hAnsi="Arial" w:cs="Arial"/>
                <w:noProof/>
                <w:webHidden/>
              </w:rPr>
              <w:fldChar w:fldCharType="begin"/>
            </w:r>
            <w:r w:rsidRPr="008A111D">
              <w:rPr>
                <w:rFonts w:ascii="Arial" w:hAnsi="Arial" w:cs="Arial"/>
                <w:noProof/>
                <w:webHidden/>
              </w:rPr>
              <w:instrText xml:space="preserve"> PAGEREF _Toc234717617 \h </w:instrText>
            </w:r>
            <w:r w:rsidRPr="008A111D">
              <w:rPr>
                <w:rFonts w:ascii="Arial" w:hAnsi="Arial" w:cs="Arial"/>
                <w:noProof/>
                <w:webHidden/>
              </w:rPr>
            </w:r>
            <w:r w:rsidRPr="008A111D">
              <w:rPr>
                <w:rFonts w:ascii="Arial" w:hAnsi="Arial" w:cs="Arial"/>
                <w:noProof/>
                <w:webHidden/>
              </w:rPr>
              <w:fldChar w:fldCharType="separate"/>
            </w:r>
            <w:r w:rsidRPr="008A111D">
              <w:rPr>
                <w:rFonts w:ascii="Arial" w:hAnsi="Arial" w:cs="Arial"/>
                <w:noProof/>
                <w:webHidden/>
              </w:rPr>
              <w:t>7</w:t>
            </w:r>
            <w:r w:rsidRPr="008A111D">
              <w:rPr>
                <w:rFonts w:ascii="Arial" w:hAnsi="Arial" w:cs="Arial"/>
                <w:noProof/>
                <w:webHidden/>
              </w:rPr>
              <w:fldChar w:fldCharType="end"/>
            </w:r>
          </w:hyperlink>
        </w:p>
        <w:p w14:paraId="4F851E47" w14:textId="11D7992B" w:rsidR="008A111D" w:rsidRDefault="008A111D">
          <w:r w:rsidRPr="008A111D">
            <w:rPr>
              <w:rFonts w:ascii="Arial" w:hAnsi="Arial" w:cs="Arial"/>
              <w:b/>
              <w:bCs/>
              <w:noProof/>
            </w:rPr>
            <w:fldChar w:fldCharType="end"/>
          </w:r>
        </w:p>
      </w:sdtContent>
    </w:sdt>
    <w:p w14:paraId="68B13D5C" w14:textId="77777777" w:rsidR="008A111D" w:rsidRPr="008A111D" w:rsidRDefault="008A111D" w:rsidP="008A111D">
      <w:pPr>
        <w:jc w:val="center"/>
        <w:rPr>
          <w:rFonts w:ascii="Arial" w:hAnsi="Arial" w:cs="Arial"/>
          <w:b/>
          <w:bCs/>
          <w:sz w:val="32"/>
          <w:szCs w:val="32"/>
        </w:rPr>
      </w:pPr>
    </w:p>
    <w:p w14:paraId="31EF75C9" w14:textId="3D092F33" w:rsidR="008A111D" w:rsidRDefault="008A111D">
      <w:pPr>
        <w:rPr>
          <w:rFonts w:ascii="Arial" w:eastAsia="Times New Roman" w:hAnsi="Arial" w:cs="Times New Roman"/>
          <w:b/>
          <w:bCs/>
          <w:color w:val="000000" w:themeColor="text1"/>
          <w:kern w:val="36"/>
          <w:sz w:val="32"/>
          <w:szCs w:val="48"/>
        </w:rPr>
      </w:pPr>
      <w:r>
        <w:br w:type="page"/>
      </w:r>
    </w:p>
    <w:p w14:paraId="1BE63E45" w14:textId="602CCE33" w:rsidR="00B44611" w:rsidRPr="008A111D" w:rsidRDefault="00B44611" w:rsidP="008A111D">
      <w:pPr>
        <w:pStyle w:val="Heading1"/>
      </w:pPr>
      <w:bookmarkStart w:id="0" w:name="_Toc234717612"/>
      <w:r w:rsidRPr="008A111D">
        <w:lastRenderedPageBreak/>
        <w:t>Introduction</w:t>
      </w:r>
      <w:bookmarkEnd w:id="0"/>
    </w:p>
    <w:p w14:paraId="7898C62E" w14:textId="14DF72F8" w:rsidR="00B44611" w:rsidRPr="008A111D" w:rsidRDefault="00D63E4C" w:rsidP="008A111D">
      <w:pPr>
        <w:spacing w:before="120" w:after="120" w:line="360" w:lineRule="auto"/>
        <w:jc w:val="both"/>
        <w:rPr>
          <w:rFonts w:ascii="Arial" w:hAnsi="Arial" w:cs="Arial"/>
        </w:rPr>
      </w:pPr>
      <w:r w:rsidRPr="008A111D">
        <w:rPr>
          <w:rFonts w:ascii="Arial" w:hAnsi="Arial" w:cs="Arial"/>
        </w:rPr>
        <w:t>An eighty-four-year-old</w:t>
      </w:r>
      <w:r w:rsidR="00B44611" w:rsidRPr="008A111D">
        <w:rPr>
          <w:rFonts w:ascii="Arial" w:hAnsi="Arial" w:cs="Arial"/>
        </w:rPr>
        <w:t xml:space="preserve"> woman, </w:t>
      </w:r>
      <w:r w:rsidR="00DA296C" w:rsidRPr="008A111D">
        <w:rPr>
          <w:rFonts w:ascii="Arial" w:hAnsi="Arial" w:cs="Arial"/>
        </w:rPr>
        <w:t>Mrs.</w:t>
      </w:r>
      <w:r w:rsidR="00B44611" w:rsidRPr="008A111D">
        <w:rPr>
          <w:rFonts w:ascii="Arial" w:hAnsi="Arial" w:cs="Arial"/>
        </w:rPr>
        <w:t xml:space="preserve"> Thompson, had just returned home following treatment for pneumonia in hospital. She is living in sheltered housing</w:t>
      </w:r>
      <w:r w:rsidRPr="008A111D">
        <w:rPr>
          <w:rFonts w:ascii="Arial" w:hAnsi="Arial" w:cs="Arial"/>
        </w:rPr>
        <w:t>,</w:t>
      </w:r>
      <w:r w:rsidR="00B44611" w:rsidRPr="008A111D">
        <w:rPr>
          <w:rFonts w:ascii="Arial" w:hAnsi="Arial" w:cs="Arial"/>
        </w:rPr>
        <w:t xml:space="preserve"> and visits are provided for her twice a day. She has mild dementia and may forget to take her medication. She recently skipped two days of her medication and was noted to be more confused. It was documented via the service's incident system</w:t>
      </w:r>
      <w:r w:rsidRPr="008A111D">
        <w:rPr>
          <w:rFonts w:ascii="Arial" w:hAnsi="Arial" w:cs="Arial"/>
        </w:rPr>
        <w:t>,</w:t>
      </w:r>
      <w:r w:rsidR="00B44611" w:rsidRPr="008A111D">
        <w:rPr>
          <w:rFonts w:ascii="Arial" w:hAnsi="Arial" w:cs="Arial"/>
        </w:rPr>
        <w:t xml:space="preserve"> and a medicine review was requested. She was also located outside during the colder seasons without proper attire and outfitting. A local council investigation of this concern is ongoing. This report describes what workers need to do and how to communicate with her and her family</w:t>
      </w:r>
      <w:r w:rsidRPr="008A111D">
        <w:rPr>
          <w:rFonts w:ascii="Arial" w:hAnsi="Arial" w:cs="Arial"/>
        </w:rPr>
        <w:t>,</w:t>
      </w:r>
      <w:r w:rsidR="00B44611" w:rsidRPr="008A111D">
        <w:rPr>
          <w:rFonts w:ascii="Arial" w:hAnsi="Arial" w:cs="Arial"/>
        </w:rPr>
        <w:t xml:space="preserve"> how to ensure appropriate documentation is kept and how to protect her information</w:t>
      </w:r>
      <w:r w:rsidRPr="008A111D">
        <w:rPr>
          <w:rFonts w:ascii="Arial" w:hAnsi="Arial" w:cs="Arial"/>
        </w:rPr>
        <w:t xml:space="preserve">, </w:t>
      </w:r>
      <w:r w:rsidR="00B44611" w:rsidRPr="008A111D">
        <w:rPr>
          <w:rFonts w:ascii="Arial" w:hAnsi="Arial" w:cs="Arial"/>
        </w:rPr>
        <w:t>how to work alongside other professionals and respect her dignity, rights, choices, safety and independence.</w:t>
      </w:r>
    </w:p>
    <w:p w14:paraId="0582DF69" w14:textId="1CF4DB96" w:rsidR="00B44611" w:rsidRPr="008A111D" w:rsidRDefault="00B44611" w:rsidP="008A111D">
      <w:pPr>
        <w:pStyle w:val="Heading1"/>
      </w:pPr>
      <w:bookmarkStart w:id="1" w:name="_Toc234717613"/>
      <w:r w:rsidRPr="008A111D">
        <w:t>1. The Importance of Effective Communication</w:t>
      </w:r>
      <w:bookmarkEnd w:id="1"/>
    </w:p>
    <w:p w14:paraId="54CA7938" w14:textId="60906961" w:rsidR="00B44611" w:rsidRPr="008A111D" w:rsidRDefault="00B44611" w:rsidP="008A111D">
      <w:pPr>
        <w:spacing w:before="120" w:after="120" w:line="360" w:lineRule="auto"/>
        <w:jc w:val="both"/>
        <w:rPr>
          <w:rFonts w:ascii="Arial" w:hAnsi="Arial" w:cs="Arial"/>
        </w:rPr>
      </w:pPr>
      <w:r w:rsidRPr="008A111D">
        <w:rPr>
          <w:rFonts w:ascii="Arial" w:hAnsi="Arial" w:cs="Arial"/>
        </w:rPr>
        <w:t>This is due to the value of good communication</w:t>
      </w:r>
      <w:r w:rsidR="00D63E4C" w:rsidRPr="008A111D">
        <w:rPr>
          <w:rFonts w:ascii="Arial" w:hAnsi="Arial" w:cs="Arial"/>
        </w:rPr>
        <w:t>,</w:t>
      </w:r>
      <w:r w:rsidRPr="008A111D">
        <w:rPr>
          <w:rFonts w:ascii="Arial" w:hAnsi="Arial" w:cs="Arial"/>
        </w:rPr>
        <w:t xml:space="preserve"> as </w:t>
      </w:r>
      <w:r w:rsidR="00DA296C" w:rsidRPr="008A111D">
        <w:rPr>
          <w:rFonts w:ascii="Arial" w:hAnsi="Arial" w:cs="Arial"/>
        </w:rPr>
        <w:t>Mrs.</w:t>
      </w:r>
      <w:r w:rsidRPr="008A111D">
        <w:rPr>
          <w:rFonts w:ascii="Arial" w:hAnsi="Arial" w:cs="Arial"/>
        </w:rPr>
        <w:t xml:space="preserve"> Thompson has mild dementia and has</w:t>
      </w:r>
      <w:r w:rsidR="00D63E4C" w:rsidRPr="008A111D">
        <w:rPr>
          <w:rFonts w:ascii="Arial" w:hAnsi="Arial" w:cs="Arial"/>
        </w:rPr>
        <w:t>,</w:t>
      </w:r>
      <w:r w:rsidRPr="008A111D">
        <w:rPr>
          <w:rFonts w:ascii="Arial" w:hAnsi="Arial" w:cs="Arial"/>
        </w:rPr>
        <w:t xml:space="preserve"> in recent months</w:t>
      </w:r>
      <w:r w:rsidR="00D63E4C" w:rsidRPr="008A111D">
        <w:rPr>
          <w:rFonts w:ascii="Arial" w:hAnsi="Arial" w:cs="Arial"/>
        </w:rPr>
        <w:t>,</w:t>
      </w:r>
      <w:r w:rsidRPr="008A111D">
        <w:rPr>
          <w:rFonts w:ascii="Arial" w:hAnsi="Arial" w:cs="Arial"/>
        </w:rPr>
        <w:t xml:space="preserve"> become more confused. When information is not clearly explained, she may miss instructions, forget what was told or be anxious. Inadequate communication can also result in increased medication list changes, unsafe practices, or another hospital stay. Staff should thus be calm, patient and respectful.</w:t>
      </w:r>
    </w:p>
    <w:p w14:paraId="76993667" w14:textId="4BFBD9F6" w:rsidR="00B44611" w:rsidRPr="008A111D" w:rsidRDefault="00DA296C" w:rsidP="008A111D">
      <w:pPr>
        <w:spacing w:before="120" w:after="120" w:line="360" w:lineRule="auto"/>
        <w:jc w:val="both"/>
        <w:rPr>
          <w:rFonts w:ascii="Arial" w:hAnsi="Arial" w:cs="Arial"/>
        </w:rPr>
      </w:pPr>
      <w:r w:rsidRPr="008A111D">
        <w:rPr>
          <w:rFonts w:ascii="Arial" w:hAnsi="Arial" w:cs="Arial"/>
        </w:rPr>
        <w:t>Staff</w:t>
      </w:r>
      <w:r w:rsidR="00B44611" w:rsidRPr="008A111D">
        <w:rPr>
          <w:rFonts w:ascii="Arial" w:hAnsi="Arial" w:cs="Arial"/>
        </w:rPr>
        <w:t xml:space="preserve"> communicate directly with </w:t>
      </w:r>
      <w:r w:rsidRPr="008A111D">
        <w:rPr>
          <w:rFonts w:ascii="Arial" w:hAnsi="Arial" w:cs="Arial"/>
        </w:rPr>
        <w:t>Mrs.</w:t>
      </w:r>
      <w:r w:rsidR="00B44611" w:rsidRPr="008A111D">
        <w:rPr>
          <w:rFonts w:ascii="Arial" w:hAnsi="Arial" w:cs="Arial"/>
        </w:rPr>
        <w:t xml:space="preserve"> Thompson and involve her in their discussions about her care. They shouldn't just talk to family members, </w:t>
      </w:r>
      <w:r w:rsidR="00D63E4C" w:rsidRPr="008A111D">
        <w:rPr>
          <w:rFonts w:ascii="Arial" w:hAnsi="Arial" w:cs="Arial"/>
        </w:rPr>
        <w:t xml:space="preserve">but </w:t>
      </w:r>
      <w:r w:rsidR="00B44611" w:rsidRPr="008A111D">
        <w:rPr>
          <w:rFonts w:ascii="Arial" w:hAnsi="Arial" w:cs="Arial"/>
        </w:rPr>
        <w:t xml:space="preserve">make </w:t>
      </w:r>
      <w:r w:rsidR="00D63E4C" w:rsidRPr="008A111D">
        <w:rPr>
          <w:rFonts w:ascii="Arial" w:hAnsi="Arial" w:cs="Arial"/>
        </w:rPr>
        <w:t>judgments</w:t>
      </w:r>
      <w:r w:rsidR="00B44611" w:rsidRPr="008A111D">
        <w:rPr>
          <w:rFonts w:ascii="Arial" w:hAnsi="Arial" w:cs="Arial"/>
        </w:rPr>
        <w:t xml:space="preserve"> without her. Allow sufficient time for her to listen and respond. Staff are to use simple words and sentences and one question at a time</w:t>
      </w:r>
      <w:r w:rsidR="008A111D" w:rsidRPr="008A111D">
        <w:rPr>
          <w:rFonts w:ascii="Arial" w:hAnsi="Arial" w:cs="Arial"/>
        </w:rPr>
        <w:t xml:space="preserve"> (Digby, Lee and Williams, 2017)</w:t>
      </w:r>
      <w:r w:rsidR="00B44611" w:rsidRPr="008A111D">
        <w:rPr>
          <w:rFonts w:ascii="Arial" w:hAnsi="Arial" w:cs="Arial"/>
        </w:rPr>
        <w:t xml:space="preserve">. Key issues may need to be reiterated. When she may not understand, instead of only asking if she </w:t>
      </w:r>
      <w:r w:rsidR="00D63E4C" w:rsidRPr="008A111D">
        <w:rPr>
          <w:rFonts w:ascii="Arial" w:hAnsi="Arial" w:cs="Arial"/>
        </w:rPr>
        <w:t>understands</w:t>
      </w:r>
      <w:r w:rsidR="00B44611" w:rsidRPr="008A111D">
        <w:rPr>
          <w:rFonts w:ascii="Arial" w:hAnsi="Arial" w:cs="Arial"/>
        </w:rPr>
        <w:t xml:space="preserve">, staff can ask her to explain the information </w:t>
      </w:r>
      <w:r w:rsidR="00D63E4C" w:rsidRPr="008A111D">
        <w:rPr>
          <w:rFonts w:ascii="Arial" w:hAnsi="Arial" w:cs="Arial"/>
        </w:rPr>
        <w:t>back to them</w:t>
      </w:r>
      <w:r w:rsidR="00B44611" w:rsidRPr="008A111D">
        <w:rPr>
          <w:rFonts w:ascii="Arial" w:hAnsi="Arial" w:cs="Arial"/>
        </w:rPr>
        <w:t xml:space="preserve"> in her own words to verify understanding.</w:t>
      </w:r>
    </w:p>
    <w:p w14:paraId="6EC8FE2F" w14:textId="363CE098" w:rsidR="00B44611" w:rsidRPr="008A111D" w:rsidRDefault="00B44611" w:rsidP="008A111D">
      <w:pPr>
        <w:spacing w:before="120" w:after="120" w:line="360" w:lineRule="auto"/>
        <w:jc w:val="both"/>
        <w:rPr>
          <w:rFonts w:ascii="Arial" w:eastAsia="Times New Roman" w:hAnsi="Arial" w:cs="Arial"/>
        </w:rPr>
      </w:pPr>
      <w:r w:rsidRPr="008A111D">
        <w:rPr>
          <w:rFonts w:ascii="Arial" w:hAnsi="Arial" w:cs="Arial"/>
        </w:rPr>
        <w:t xml:space="preserve">Good </w:t>
      </w:r>
      <w:r w:rsidR="00D63E4C" w:rsidRPr="008A111D">
        <w:rPr>
          <w:rFonts w:ascii="Arial" w:hAnsi="Arial" w:cs="Arial"/>
        </w:rPr>
        <w:t>face-to-face</w:t>
      </w:r>
      <w:r w:rsidRPr="008A111D">
        <w:rPr>
          <w:rFonts w:ascii="Arial" w:hAnsi="Arial" w:cs="Arial"/>
        </w:rPr>
        <w:t xml:space="preserve"> communication is possible using the SOLER communication model. SOLER stands for: Squaring your body forward, using appropriate eye contact, leaning slightly forward, maintaining an open body posture and remaining relaxed</w:t>
      </w:r>
      <w:r w:rsidR="008D5E78" w:rsidRPr="008A111D">
        <w:rPr>
          <w:rFonts w:ascii="Arial" w:hAnsi="Arial" w:cs="Arial"/>
        </w:rPr>
        <w:t xml:space="preserve"> </w:t>
      </w:r>
      <w:r w:rsidR="008D5E78" w:rsidRPr="008A111D">
        <w:rPr>
          <w:rFonts w:ascii="Arial" w:eastAsia="Times New Roman" w:hAnsi="Arial" w:cs="Arial"/>
        </w:rPr>
        <w:t>(Stickley, 2011)</w:t>
      </w:r>
      <w:r w:rsidRPr="008A111D">
        <w:rPr>
          <w:rFonts w:ascii="Arial" w:hAnsi="Arial" w:cs="Arial"/>
        </w:rPr>
        <w:t xml:space="preserve">. A care worker may sit on the same level as </w:t>
      </w:r>
      <w:r w:rsidR="00DA296C" w:rsidRPr="008A111D">
        <w:rPr>
          <w:rFonts w:ascii="Arial" w:hAnsi="Arial" w:cs="Arial"/>
        </w:rPr>
        <w:t>Mrs.</w:t>
      </w:r>
      <w:r w:rsidRPr="008A111D">
        <w:rPr>
          <w:rFonts w:ascii="Arial" w:hAnsi="Arial" w:cs="Arial"/>
        </w:rPr>
        <w:t xml:space="preserve"> Thompson, look at her gently, not cross </w:t>
      </w:r>
      <w:r w:rsidR="00D63E4C" w:rsidRPr="008A111D">
        <w:rPr>
          <w:rFonts w:ascii="Arial" w:hAnsi="Arial" w:cs="Arial"/>
        </w:rPr>
        <w:t>their</w:t>
      </w:r>
      <w:r w:rsidRPr="008A111D">
        <w:rPr>
          <w:rFonts w:ascii="Arial" w:hAnsi="Arial" w:cs="Arial"/>
        </w:rPr>
        <w:t xml:space="preserve"> arms, and take his/her time while listening. This might make her feel great and </w:t>
      </w:r>
      <w:r w:rsidR="00D63E4C" w:rsidRPr="008A111D">
        <w:rPr>
          <w:rFonts w:ascii="Arial" w:hAnsi="Arial" w:cs="Arial"/>
        </w:rPr>
        <w:t>feel</w:t>
      </w:r>
      <w:r w:rsidRPr="008A111D">
        <w:rPr>
          <w:rFonts w:ascii="Arial" w:hAnsi="Arial" w:cs="Arial"/>
        </w:rPr>
        <w:t xml:space="preserve">. </w:t>
      </w:r>
      <w:r w:rsidR="00D63E4C" w:rsidRPr="008A111D">
        <w:rPr>
          <w:rFonts w:ascii="Arial" w:hAnsi="Arial" w:cs="Arial"/>
        </w:rPr>
        <w:t>But</w:t>
      </w:r>
      <w:r w:rsidRPr="008A111D">
        <w:rPr>
          <w:rFonts w:ascii="Arial" w:hAnsi="Arial" w:cs="Arial"/>
        </w:rPr>
        <w:t xml:space="preserve"> the model should be applied flexibly</w:t>
      </w:r>
      <w:r w:rsidR="00D63E4C" w:rsidRPr="008A111D">
        <w:rPr>
          <w:rFonts w:ascii="Arial" w:hAnsi="Arial" w:cs="Arial"/>
        </w:rPr>
        <w:t>,</w:t>
      </w:r>
      <w:r w:rsidRPr="008A111D">
        <w:rPr>
          <w:rFonts w:ascii="Arial" w:hAnsi="Arial" w:cs="Arial"/>
        </w:rPr>
        <w:t xml:space="preserve"> as some might not feel comfortable having eyes so near to them or </w:t>
      </w:r>
      <w:r w:rsidR="00D63E4C" w:rsidRPr="008A111D">
        <w:rPr>
          <w:rFonts w:ascii="Arial" w:hAnsi="Arial" w:cs="Arial"/>
        </w:rPr>
        <w:t xml:space="preserve">a </w:t>
      </w:r>
      <w:r w:rsidRPr="008A111D">
        <w:rPr>
          <w:rFonts w:ascii="Arial" w:hAnsi="Arial" w:cs="Arial"/>
        </w:rPr>
        <w:t>close personal space.</w:t>
      </w:r>
    </w:p>
    <w:p w14:paraId="2FCC3927" w14:textId="77777777"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Non-verbal skills are likewise crucial. She should look different - her face, body language, voice and actions should alert the staff. Seeing fear, agitation, being chilled or exhausted might indicate discomfort when she can't articulate it. Hearing and sight issues should also be </w:t>
      </w:r>
      <w:r w:rsidRPr="008A111D">
        <w:rPr>
          <w:rFonts w:ascii="Arial" w:hAnsi="Arial" w:cs="Arial"/>
        </w:rPr>
        <w:lastRenderedPageBreak/>
        <w:t>checked by workers. Having written reminders, pictures, a medicine chart, or a copy of the notes in large print might be helpful for her to remember things to do each day.</w:t>
      </w:r>
    </w:p>
    <w:p w14:paraId="48B94C2F" w14:textId="3D44A907" w:rsidR="00B44611" w:rsidRPr="008A111D" w:rsidRDefault="00B44611" w:rsidP="008A111D">
      <w:pPr>
        <w:spacing w:before="120" w:after="120" w:line="360" w:lineRule="auto"/>
        <w:jc w:val="both"/>
        <w:rPr>
          <w:rFonts w:ascii="Arial" w:eastAsia="Times New Roman" w:hAnsi="Arial" w:cs="Arial"/>
        </w:rPr>
      </w:pPr>
      <w:r w:rsidRPr="008A111D">
        <w:rPr>
          <w:rFonts w:ascii="Arial" w:hAnsi="Arial" w:cs="Arial"/>
        </w:rPr>
        <w:t>The Equality Act 2010 covers disability discrimination and age discrimination. Dementia can be considered a disability if it significantly and persistently impacts daily functioning</w:t>
      </w:r>
      <w:r w:rsidR="008D5E78" w:rsidRPr="008A111D">
        <w:rPr>
          <w:rFonts w:ascii="Arial" w:hAnsi="Arial" w:cs="Arial"/>
        </w:rPr>
        <w:t xml:space="preserve"> </w:t>
      </w:r>
      <w:r w:rsidR="00331D80" w:rsidRPr="008A111D">
        <w:rPr>
          <w:rFonts w:ascii="Arial" w:hAnsi="Arial" w:cs="Arial"/>
        </w:rPr>
        <w:t>(Equality Act, 2010).</w:t>
      </w:r>
      <w:r w:rsidRPr="008A111D">
        <w:rPr>
          <w:rFonts w:ascii="Arial" w:hAnsi="Arial" w:cs="Arial"/>
        </w:rPr>
        <w:t xml:space="preserve"> </w:t>
      </w:r>
      <w:r w:rsidR="00DA296C" w:rsidRPr="008A111D">
        <w:rPr>
          <w:rFonts w:ascii="Arial" w:hAnsi="Arial" w:cs="Arial"/>
        </w:rPr>
        <w:t>Mrs.</w:t>
      </w:r>
      <w:r w:rsidRPr="008A111D">
        <w:rPr>
          <w:rFonts w:ascii="Arial" w:hAnsi="Arial" w:cs="Arial"/>
        </w:rPr>
        <w:t xml:space="preserve"> Thompson has the right to care and to be treated with respect as other people are. This might take the form of reasonable adjustments, such as increased time, using language that is simpler to understand, written prompts, or familiar carers. </w:t>
      </w:r>
    </w:p>
    <w:p w14:paraId="07AC77B3" w14:textId="17FF1EF7"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Family members might be familiar with </w:t>
      </w:r>
      <w:r w:rsidR="00DA296C" w:rsidRPr="008A111D">
        <w:rPr>
          <w:rFonts w:ascii="Arial" w:hAnsi="Arial" w:cs="Arial"/>
        </w:rPr>
        <w:t>Mrs.</w:t>
      </w:r>
      <w:r w:rsidRPr="008A111D">
        <w:rPr>
          <w:rFonts w:ascii="Arial" w:hAnsi="Arial" w:cs="Arial"/>
        </w:rPr>
        <w:t xml:space="preserve"> Thompson's routine, </w:t>
      </w:r>
      <w:r w:rsidR="00DA296C" w:rsidRPr="008A111D">
        <w:rPr>
          <w:rFonts w:ascii="Arial" w:hAnsi="Arial" w:cs="Arial"/>
        </w:rPr>
        <w:t>behavior</w:t>
      </w:r>
      <w:r w:rsidRPr="008A111D">
        <w:rPr>
          <w:rFonts w:ascii="Arial" w:hAnsi="Arial" w:cs="Arial"/>
        </w:rPr>
        <w:t xml:space="preserve"> and medicine. Staff are not to share general information with others</w:t>
      </w:r>
      <w:r w:rsidR="00D63E4C" w:rsidRPr="008A111D">
        <w:rPr>
          <w:rFonts w:ascii="Arial" w:hAnsi="Arial" w:cs="Arial"/>
        </w:rPr>
        <w:t>,</w:t>
      </w:r>
      <w:r w:rsidRPr="008A111D">
        <w:rPr>
          <w:rFonts w:ascii="Arial" w:hAnsi="Arial" w:cs="Arial"/>
        </w:rPr>
        <w:t xml:space="preserve"> however</w:t>
      </w:r>
      <w:r w:rsidR="00D63E4C" w:rsidRPr="008A111D">
        <w:rPr>
          <w:rFonts w:ascii="Arial" w:hAnsi="Arial" w:cs="Arial"/>
        </w:rPr>
        <w:t>,</w:t>
      </w:r>
      <w:r w:rsidRPr="008A111D">
        <w:rPr>
          <w:rFonts w:ascii="Arial" w:hAnsi="Arial" w:cs="Arial"/>
        </w:rPr>
        <w:t xml:space="preserve"> without asking for her permission</w:t>
      </w:r>
      <w:r w:rsidR="008A111D">
        <w:rPr>
          <w:rFonts w:ascii="Arial" w:hAnsi="Arial" w:cs="Arial"/>
        </w:rPr>
        <w:t xml:space="preserve">. </w:t>
      </w:r>
      <w:r w:rsidRPr="008A111D">
        <w:rPr>
          <w:rFonts w:ascii="Arial" w:hAnsi="Arial" w:cs="Arial"/>
        </w:rPr>
        <w:t>Mild dementia doesn't necessarily mean that she is incapable of making decisions. It is presumed by the Mental Capacity Act 2005 that she has capacity unless an assessment proves otherwise</w:t>
      </w:r>
      <w:r w:rsidR="008A111D" w:rsidRPr="008A111D">
        <w:rPr>
          <w:rFonts w:ascii="Arial" w:hAnsi="Arial" w:cs="Arial"/>
        </w:rPr>
        <w:t xml:space="preserve"> (Mental Capacity Act, 2005)</w:t>
      </w:r>
      <w:r w:rsidRPr="008A111D">
        <w:rPr>
          <w:rFonts w:ascii="Arial" w:hAnsi="Arial" w:cs="Arial"/>
        </w:rPr>
        <w:t xml:space="preserve">. For every single decision, capacity needs to be considered. </w:t>
      </w:r>
    </w:p>
    <w:p w14:paraId="2BA00542" w14:textId="7C33A60C" w:rsidR="00B44611" w:rsidRPr="008A111D" w:rsidRDefault="00B44611" w:rsidP="008A111D">
      <w:pPr>
        <w:pStyle w:val="Heading1"/>
      </w:pPr>
      <w:bookmarkStart w:id="2" w:name="_Toc234717614"/>
      <w:r w:rsidRPr="008A111D">
        <w:t>2. The Importance of Good Administrative Skills</w:t>
      </w:r>
      <w:bookmarkEnd w:id="2"/>
    </w:p>
    <w:p w14:paraId="5F158910" w14:textId="6EE4B126"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This requires good administrative skills, as safe care relies on correct and up-to-date information. In </w:t>
      </w:r>
      <w:r w:rsidR="00DA296C" w:rsidRPr="008A111D">
        <w:rPr>
          <w:rFonts w:ascii="Arial" w:hAnsi="Arial" w:cs="Arial"/>
        </w:rPr>
        <w:t>Mrs.</w:t>
      </w:r>
      <w:r w:rsidRPr="008A111D">
        <w:rPr>
          <w:rFonts w:ascii="Arial" w:hAnsi="Arial" w:cs="Arial"/>
        </w:rPr>
        <w:t xml:space="preserve"> Thompson's case</w:t>
      </w:r>
      <w:r w:rsidR="00D63E4C" w:rsidRPr="008A111D">
        <w:rPr>
          <w:rFonts w:ascii="Arial" w:hAnsi="Arial" w:cs="Arial"/>
        </w:rPr>
        <w:t>,</w:t>
      </w:r>
      <w:r w:rsidRPr="008A111D">
        <w:rPr>
          <w:rFonts w:ascii="Arial" w:hAnsi="Arial" w:cs="Arial"/>
        </w:rPr>
        <w:t xml:space="preserve"> this should be documented in the records as to what took place before, during and after the missed medication and the event outside. Entries must be factual, complete, dated, timed and associated with the worker making the entries. </w:t>
      </w:r>
    </w:p>
    <w:p w14:paraId="58380A7F" w14:textId="64ECF52D" w:rsidR="00B44611" w:rsidRPr="008A111D" w:rsidRDefault="00B44611" w:rsidP="008A111D">
      <w:pPr>
        <w:spacing w:before="120" w:after="120" w:line="360" w:lineRule="auto"/>
        <w:jc w:val="both"/>
        <w:rPr>
          <w:rFonts w:ascii="Arial" w:hAnsi="Arial" w:cs="Arial"/>
        </w:rPr>
      </w:pPr>
      <w:r w:rsidRPr="008A111D">
        <w:rPr>
          <w:rFonts w:ascii="Arial" w:hAnsi="Arial" w:cs="Arial"/>
        </w:rPr>
        <w:t>It is important to document on each visit whether the medicine has been taken, refused, missed, not available or not administered for other reasons. It is important to clearly record the reasons for a missed dose. Staff should never work out the record in advance of the medicine being taken</w:t>
      </w:r>
      <w:r w:rsidR="008A111D" w:rsidRPr="008A111D">
        <w:rPr>
          <w:rFonts w:ascii="Arial" w:hAnsi="Arial" w:cs="Arial"/>
        </w:rPr>
        <w:t xml:space="preserve"> (Manias, </w:t>
      </w:r>
      <w:proofErr w:type="spellStart"/>
      <w:r w:rsidR="008A111D" w:rsidRPr="008A111D">
        <w:rPr>
          <w:rFonts w:ascii="Arial" w:hAnsi="Arial" w:cs="Arial"/>
        </w:rPr>
        <w:t>Kusljic</w:t>
      </w:r>
      <w:proofErr w:type="spellEnd"/>
      <w:r w:rsidR="008A111D" w:rsidRPr="008A111D">
        <w:rPr>
          <w:rFonts w:ascii="Arial" w:hAnsi="Arial" w:cs="Arial"/>
        </w:rPr>
        <w:t xml:space="preserve"> and Wu, 2020)</w:t>
      </w:r>
      <w:r w:rsidRPr="008A111D">
        <w:rPr>
          <w:rFonts w:ascii="Arial" w:hAnsi="Arial" w:cs="Arial"/>
        </w:rPr>
        <w:t>. If you don't take the medication for two days</w:t>
      </w:r>
      <w:r w:rsidR="00D63E4C" w:rsidRPr="008A111D">
        <w:rPr>
          <w:rFonts w:ascii="Arial" w:hAnsi="Arial" w:cs="Arial"/>
        </w:rPr>
        <w:t>,</w:t>
      </w:r>
      <w:r w:rsidRPr="008A111D">
        <w:rPr>
          <w:rFonts w:ascii="Arial" w:hAnsi="Arial" w:cs="Arial"/>
        </w:rPr>
        <w:t xml:space="preserve"> it is a problem and </w:t>
      </w:r>
      <w:r w:rsidR="00D63E4C" w:rsidRPr="008A111D">
        <w:rPr>
          <w:rFonts w:ascii="Arial" w:hAnsi="Arial" w:cs="Arial"/>
        </w:rPr>
        <w:t>can lead</w:t>
      </w:r>
      <w:r w:rsidRPr="008A111D">
        <w:rPr>
          <w:rFonts w:ascii="Arial" w:hAnsi="Arial" w:cs="Arial"/>
        </w:rPr>
        <w:t xml:space="preserve"> to </w:t>
      </w:r>
      <w:r w:rsidR="00D63E4C" w:rsidRPr="008A111D">
        <w:rPr>
          <w:rFonts w:ascii="Arial" w:hAnsi="Arial" w:cs="Arial"/>
        </w:rPr>
        <w:t>complications</w:t>
      </w:r>
      <w:r w:rsidRPr="008A111D">
        <w:rPr>
          <w:rFonts w:ascii="Arial" w:hAnsi="Arial" w:cs="Arial"/>
        </w:rPr>
        <w:t xml:space="preserve">. </w:t>
      </w:r>
    </w:p>
    <w:p w14:paraId="78F78240" w14:textId="1D8B50E6"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The good outcome is that the review has considered the reasons for </w:t>
      </w:r>
      <w:r w:rsidR="00DA296C" w:rsidRPr="008A111D">
        <w:rPr>
          <w:rFonts w:ascii="Arial" w:hAnsi="Arial" w:cs="Arial"/>
        </w:rPr>
        <w:t>Mrs.</w:t>
      </w:r>
      <w:r w:rsidRPr="008A111D">
        <w:rPr>
          <w:rFonts w:ascii="Arial" w:hAnsi="Arial" w:cs="Arial"/>
        </w:rPr>
        <w:t xml:space="preserve"> Thompson failing to get her medication. She may forget, misunderstand instructions, not like side effects, not know how to take it, or may not want to take it. These can range from someone supervising when the medicine is given, to a blister pack from the pharmacy, an automatic dispenser, verbal reminders or changing care visit times. </w:t>
      </w:r>
    </w:p>
    <w:p w14:paraId="4A4CC277" w14:textId="2AE4D064"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A review and update of her care plans and risk assessments should also be undertaken. The topics should be dementia, confusion, falls, medicines, leaving the house, cold temperatures, getting over pneumonia, food and fluids, </w:t>
      </w:r>
      <w:r w:rsidR="00D63E4C" w:rsidRPr="008A111D">
        <w:rPr>
          <w:rFonts w:ascii="Arial" w:hAnsi="Arial" w:cs="Arial"/>
        </w:rPr>
        <w:t xml:space="preserve">and </w:t>
      </w:r>
      <w:r w:rsidRPr="008A111D">
        <w:rPr>
          <w:rFonts w:ascii="Arial" w:hAnsi="Arial" w:cs="Arial"/>
        </w:rPr>
        <w:t>emergency assistance</w:t>
      </w:r>
      <w:r w:rsidR="00331D80" w:rsidRPr="008A111D">
        <w:rPr>
          <w:rFonts w:ascii="Arial" w:hAnsi="Arial" w:cs="Arial"/>
          <w:color w:val="000000" w:themeColor="text1"/>
        </w:rPr>
        <w:t xml:space="preserve"> (</w:t>
      </w:r>
      <w:r w:rsidR="00331D80" w:rsidRPr="008A111D">
        <w:rPr>
          <w:rFonts w:ascii="Arial" w:hAnsi="Arial" w:cs="Arial"/>
          <w:color w:val="000000" w:themeColor="text1"/>
          <w:shd w:val="clear" w:color="auto" w:fill="FFFFFF"/>
        </w:rPr>
        <w:t xml:space="preserve">Hood </w:t>
      </w:r>
      <w:r w:rsidR="00331D80" w:rsidRPr="008A111D">
        <w:rPr>
          <w:rFonts w:ascii="Arial" w:hAnsi="Arial" w:cs="Arial"/>
          <w:i/>
          <w:iCs/>
          <w:color w:val="000000" w:themeColor="text1"/>
          <w:shd w:val="clear" w:color="auto" w:fill="FFFFFF"/>
        </w:rPr>
        <w:t>et al.</w:t>
      </w:r>
      <w:r w:rsidR="00331D80" w:rsidRPr="008A111D">
        <w:rPr>
          <w:rFonts w:ascii="Arial" w:hAnsi="Arial" w:cs="Arial"/>
          <w:color w:val="000000" w:themeColor="text1"/>
          <w:shd w:val="clear" w:color="auto" w:fill="FFFFFF"/>
        </w:rPr>
        <w:t>, 2017)</w:t>
      </w:r>
      <w:r w:rsidRPr="008A111D">
        <w:rPr>
          <w:rFonts w:ascii="Arial" w:hAnsi="Arial" w:cs="Arial"/>
          <w:color w:val="000000" w:themeColor="text1"/>
        </w:rPr>
        <w:t xml:space="preserve">. </w:t>
      </w:r>
      <w:r w:rsidRPr="008A111D">
        <w:rPr>
          <w:rFonts w:ascii="Arial" w:hAnsi="Arial" w:cs="Arial"/>
        </w:rPr>
        <w:t>Having been detected outside not dressed appropriately may be considered a safeguarding concern. The local authority should consider</w:t>
      </w:r>
      <w:r w:rsidR="00D63E4C" w:rsidRPr="008A111D">
        <w:rPr>
          <w:rFonts w:ascii="Arial" w:hAnsi="Arial" w:cs="Arial"/>
        </w:rPr>
        <w:t>,</w:t>
      </w:r>
      <w:r w:rsidRPr="008A111D">
        <w:rPr>
          <w:rFonts w:ascii="Arial" w:hAnsi="Arial" w:cs="Arial"/>
        </w:rPr>
        <w:t xml:space="preserve"> under the Care Act 2014, whether </w:t>
      </w:r>
      <w:r w:rsidR="00DA296C" w:rsidRPr="008A111D">
        <w:rPr>
          <w:rFonts w:ascii="Arial" w:hAnsi="Arial" w:cs="Arial"/>
        </w:rPr>
        <w:t>Mrs.</w:t>
      </w:r>
      <w:r w:rsidRPr="008A111D">
        <w:rPr>
          <w:rFonts w:ascii="Arial" w:hAnsi="Arial" w:cs="Arial"/>
        </w:rPr>
        <w:t xml:space="preserve"> Thompson is at risk of harm and </w:t>
      </w:r>
      <w:r w:rsidR="00D63E4C" w:rsidRPr="008A111D">
        <w:rPr>
          <w:rFonts w:ascii="Arial" w:hAnsi="Arial" w:cs="Arial"/>
        </w:rPr>
        <w:t>can</w:t>
      </w:r>
      <w:r w:rsidRPr="008A111D">
        <w:rPr>
          <w:rFonts w:ascii="Arial" w:hAnsi="Arial" w:cs="Arial"/>
        </w:rPr>
        <w:t xml:space="preserve"> protect </w:t>
      </w:r>
      <w:r w:rsidR="008A111D" w:rsidRPr="008A111D">
        <w:rPr>
          <w:rFonts w:ascii="Arial" w:hAnsi="Arial" w:cs="Arial"/>
        </w:rPr>
        <w:t>himself (Care Act, 2014)</w:t>
      </w:r>
      <w:r w:rsidRPr="008A111D">
        <w:rPr>
          <w:rFonts w:ascii="Arial" w:hAnsi="Arial" w:cs="Arial"/>
        </w:rPr>
        <w:t>.</w:t>
      </w:r>
    </w:p>
    <w:p w14:paraId="7DCD3AC0" w14:textId="1F4351AC" w:rsidR="00B44611" w:rsidRPr="008A111D" w:rsidRDefault="00B44611" w:rsidP="008A111D">
      <w:pPr>
        <w:spacing w:before="120" w:after="120" w:line="360" w:lineRule="auto"/>
        <w:jc w:val="both"/>
        <w:rPr>
          <w:rFonts w:ascii="Arial" w:hAnsi="Arial" w:cs="Arial"/>
        </w:rPr>
      </w:pPr>
      <w:r w:rsidRPr="008A111D">
        <w:rPr>
          <w:rFonts w:ascii="Arial" w:hAnsi="Arial" w:cs="Arial"/>
        </w:rPr>
        <w:lastRenderedPageBreak/>
        <w:t xml:space="preserve">This isn't necessarily a requirement for </w:t>
      </w:r>
      <w:r w:rsidR="00DA296C" w:rsidRPr="008A111D">
        <w:rPr>
          <w:rFonts w:ascii="Arial" w:hAnsi="Arial" w:cs="Arial"/>
        </w:rPr>
        <w:t>Mrs.</w:t>
      </w:r>
      <w:r w:rsidRPr="008A111D">
        <w:rPr>
          <w:rFonts w:ascii="Arial" w:hAnsi="Arial" w:cs="Arial"/>
        </w:rPr>
        <w:t xml:space="preserve"> Thompson to leave her home, or to enter residential care. This implies </w:t>
      </w:r>
      <w:r w:rsidR="00D63E4C" w:rsidRPr="008A111D">
        <w:rPr>
          <w:rFonts w:ascii="Arial" w:hAnsi="Arial" w:cs="Arial"/>
        </w:rPr>
        <w:t xml:space="preserve">that </w:t>
      </w:r>
      <w:r w:rsidRPr="008A111D">
        <w:rPr>
          <w:rFonts w:ascii="Arial" w:hAnsi="Arial" w:cs="Arial"/>
        </w:rPr>
        <w:t xml:space="preserve">appropriate risk assessment and </w:t>
      </w:r>
      <w:r w:rsidR="00D63E4C" w:rsidRPr="008A111D">
        <w:rPr>
          <w:rFonts w:ascii="Arial" w:hAnsi="Arial" w:cs="Arial"/>
        </w:rPr>
        <w:t>an</w:t>
      </w:r>
      <w:r w:rsidRPr="008A111D">
        <w:rPr>
          <w:rFonts w:ascii="Arial" w:hAnsi="Arial" w:cs="Arial"/>
        </w:rPr>
        <w:t xml:space="preserve"> appropriate safety program must be agreed</w:t>
      </w:r>
      <w:r w:rsidR="00D63E4C" w:rsidRPr="008A111D">
        <w:rPr>
          <w:rFonts w:ascii="Arial" w:hAnsi="Arial" w:cs="Arial"/>
        </w:rPr>
        <w:t xml:space="preserve"> upon</w:t>
      </w:r>
      <w:r w:rsidRPr="008A111D">
        <w:rPr>
          <w:rFonts w:ascii="Arial" w:hAnsi="Arial" w:cs="Arial"/>
        </w:rPr>
        <w:t>. The balance of her safety needs and choices being allowed and independence should be considered.</w:t>
      </w:r>
    </w:p>
    <w:p w14:paraId="4553CAB1" w14:textId="609785B0"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Care providers are legally regulated under the Health and Social Care Act 2008 and are responsible for </w:t>
      </w:r>
      <w:r w:rsidR="00DA296C" w:rsidRPr="008A111D">
        <w:rPr>
          <w:rFonts w:ascii="Arial" w:hAnsi="Arial" w:cs="Arial"/>
        </w:rPr>
        <w:t>minimizing</w:t>
      </w:r>
      <w:r w:rsidRPr="008A111D">
        <w:rPr>
          <w:rFonts w:ascii="Arial" w:hAnsi="Arial" w:cs="Arial"/>
        </w:rPr>
        <w:t xml:space="preserve"> risk, the safe handling of medicines and maintaining secure and accurate records. Medication record, Incident forms, Handover notes, Referrals and </w:t>
      </w:r>
      <w:r w:rsidR="00D63E4C" w:rsidRPr="008A111D">
        <w:rPr>
          <w:rFonts w:ascii="Arial" w:hAnsi="Arial" w:cs="Arial"/>
        </w:rPr>
        <w:t>follow-up</w:t>
      </w:r>
      <w:r w:rsidRPr="008A111D">
        <w:rPr>
          <w:rFonts w:ascii="Arial" w:hAnsi="Arial" w:cs="Arial"/>
        </w:rPr>
        <w:t xml:space="preserve"> actions should be checked by the service. </w:t>
      </w:r>
    </w:p>
    <w:p w14:paraId="3A93B45B" w14:textId="61F94662"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For instance, a medication review requested is not adequate. There needs to be a way to ensure that the request was received, who will say yes to the review, and what the outcome was. </w:t>
      </w:r>
    </w:p>
    <w:p w14:paraId="4F7AC88C" w14:textId="026AAA7E"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The Data Protection Act 2018 and UK GDPR </w:t>
      </w:r>
      <w:r w:rsidR="00D63E4C" w:rsidRPr="008A111D">
        <w:rPr>
          <w:rFonts w:ascii="Arial" w:hAnsi="Arial" w:cs="Arial"/>
        </w:rPr>
        <w:t>are</w:t>
      </w:r>
      <w:r w:rsidRPr="008A111D">
        <w:rPr>
          <w:rFonts w:ascii="Arial" w:hAnsi="Arial" w:cs="Arial"/>
        </w:rPr>
        <w:t xml:space="preserve"> all about protecting </w:t>
      </w:r>
      <w:r w:rsidR="00DA296C" w:rsidRPr="008A111D">
        <w:rPr>
          <w:rFonts w:ascii="Arial" w:hAnsi="Arial" w:cs="Arial"/>
        </w:rPr>
        <w:t>Mrs.</w:t>
      </w:r>
      <w:r w:rsidRPr="008A111D">
        <w:rPr>
          <w:rFonts w:ascii="Arial" w:hAnsi="Arial" w:cs="Arial"/>
        </w:rPr>
        <w:t xml:space="preserve"> Thompson's personal and health information. Only information required in order to care for her should be collected; once recorded</w:t>
      </w:r>
      <w:r w:rsidR="00D63E4C" w:rsidRPr="008A111D">
        <w:rPr>
          <w:rFonts w:ascii="Arial" w:hAnsi="Arial" w:cs="Arial"/>
        </w:rPr>
        <w:t>,</w:t>
      </w:r>
      <w:r w:rsidRPr="008A111D">
        <w:rPr>
          <w:rFonts w:ascii="Arial" w:hAnsi="Arial" w:cs="Arial"/>
        </w:rPr>
        <w:t xml:space="preserve"> it should be accurate and not given to other people unless they need to have it for care, treatment or safeguarding reasons</w:t>
      </w:r>
      <w:r w:rsidR="008A111D" w:rsidRPr="008A111D">
        <w:rPr>
          <w:rFonts w:ascii="Arial" w:hAnsi="Arial" w:cs="Arial"/>
        </w:rPr>
        <w:t xml:space="preserve"> (Data Protection Act, 2018)</w:t>
      </w:r>
      <w:r w:rsidRPr="008A111D">
        <w:rPr>
          <w:rFonts w:ascii="Arial" w:hAnsi="Arial" w:cs="Arial"/>
        </w:rPr>
        <w:t>.</w:t>
      </w:r>
    </w:p>
    <w:p w14:paraId="346C7342" w14:textId="6FD2BD3E" w:rsidR="00B44611" w:rsidRPr="008A111D" w:rsidRDefault="00B44611" w:rsidP="008A111D">
      <w:pPr>
        <w:spacing w:before="120" w:after="120" w:line="360" w:lineRule="auto"/>
        <w:jc w:val="both"/>
        <w:rPr>
          <w:rFonts w:ascii="Arial" w:hAnsi="Arial" w:cs="Arial"/>
        </w:rPr>
      </w:pPr>
      <w:r w:rsidRPr="008A111D">
        <w:rPr>
          <w:rFonts w:ascii="Arial" w:hAnsi="Arial" w:cs="Arial"/>
        </w:rPr>
        <w:t>Paper files must be stored in secure files or cabinets. A secure system – and password – should be used to protect electronic records. However</w:t>
      </w:r>
      <w:r w:rsidR="00D63E4C" w:rsidRPr="008A111D">
        <w:rPr>
          <w:rFonts w:ascii="Arial" w:hAnsi="Arial" w:cs="Arial"/>
        </w:rPr>
        <w:t>,</w:t>
      </w:r>
      <w:r w:rsidRPr="008A111D">
        <w:rPr>
          <w:rFonts w:ascii="Arial" w:hAnsi="Arial" w:cs="Arial"/>
        </w:rPr>
        <w:t xml:space="preserve"> staff must not use their own phone, private email or any social media to discuss </w:t>
      </w:r>
      <w:r w:rsidR="00DA296C" w:rsidRPr="008A111D">
        <w:rPr>
          <w:rFonts w:ascii="Arial" w:hAnsi="Arial" w:cs="Arial"/>
        </w:rPr>
        <w:t>Mrs.</w:t>
      </w:r>
      <w:r w:rsidRPr="008A111D">
        <w:rPr>
          <w:rFonts w:ascii="Arial" w:hAnsi="Arial" w:cs="Arial"/>
        </w:rPr>
        <w:t xml:space="preserve"> Thompson's care. </w:t>
      </w:r>
    </w:p>
    <w:p w14:paraId="5C4E51DB" w14:textId="58F77E31" w:rsidR="00B44611" w:rsidRPr="008A111D" w:rsidRDefault="00B44611" w:rsidP="008A111D">
      <w:pPr>
        <w:pStyle w:val="Heading1"/>
      </w:pPr>
      <w:bookmarkStart w:id="3" w:name="_Toc234717615"/>
      <w:r w:rsidRPr="008A111D">
        <w:t>3. Working Collaboratively with Other Professionals</w:t>
      </w:r>
      <w:bookmarkEnd w:id="3"/>
    </w:p>
    <w:p w14:paraId="4EB76BF5" w14:textId="62F13565"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Co-operation is essential as no one can attend to all of </w:t>
      </w:r>
      <w:r w:rsidR="00DA296C" w:rsidRPr="008A111D">
        <w:rPr>
          <w:rFonts w:ascii="Arial" w:hAnsi="Arial" w:cs="Arial"/>
        </w:rPr>
        <w:t>Mrs.</w:t>
      </w:r>
      <w:r w:rsidRPr="008A111D">
        <w:rPr>
          <w:rFonts w:ascii="Arial" w:hAnsi="Arial" w:cs="Arial"/>
        </w:rPr>
        <w:t xml:space="preserve"> Thompson's needs. The GP can take a look at her medicine, and ascertain side effects and whether her confusion could be caused </w:t>
      </w:r>
      <w:r w:rsidR="00D63E4C" w:rsidRPr="008A111D">
        <w:rPr>
          <w:rFonts w:ascii="Arial" w:hAnsi="Arial" w:cs="Arial"/>
        </w:rPr>
        <w:t>by</w:t>
      </w:r>
      <w:r w:rsidRPr="008A111D">
        <w:rPr>
          <w:rFonts w:ascii="Arial" w:hAnsi="Arial" w:cs="Arial"/>
        </w:rPr>
        <w:t xml:space="preserve"> infection, dementia, medication or another health issue. The community nurse can follow up on her pneumonia, physical recovery, hydration, mobility and home safety.</w:t>
      </w:r>
    </w:p>
    <w:p w14:paraId="6DB57CF4" w14:textId="35502C2E"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The domiciliary care workers </w:t>
      </w:r>
      <w:proofErr w:type="gramStart"/>
      <w:r w:rsidRPr="008A111D">
        <w:rPr>
          <w:rFonts w:ascii="Arial" w:hAnsi="Arial" w:cs="Arial"/>
        </w:rPr>
        <w:t>are able to</w:t>
      </w:r>
      <w:proofErr w:type="gramEnd"/>
      <w:r w:rsidRPr="008A111D">
        <w:rPr>
          <w:rFonts w:ascii="Arial" w:hAnsi="Arial" w:cs="Arial"/>
        </w:rPr>
        <w:t xml:space="preserve"> supply regular information as they spend two visits per day with </w:t>
      </w:r>
      <w:r w:rsidR="00DA296C" w:rsidRPr="008A111D">
        <w:rPr>
          <w:rFonts w:ascii="Arial" w:hAnsi="Arial" w:cs="Arial"/>
        </w:rPr>
        <w:t>Mrs.</w:t>
      </w:r>
      <w:r w:rsidRPr="008A111D">
        <w:rPr>
          <w:rFonts w:ascii="Arial" w:hAnsi="Arial" w:cs="Arial"/>
        </w:rPr>
        <w:t xml:space="preserve"> Thompson. They might suspect she is acting differently, not taking medications, not eating, wearing unsafe clothing or trying to leave the house. Their comments should be heeded and communicated immediately </w:t>
      </w:r>
      <w:r w:rsidR="00D63E4C" w:rsidRPr="008A111D">
        <w:rPr>
          <w:rFonts w:ascii="Arial" w:hAnsi="Arial" w:cs="Arial"/>
        </w:rPr>
        <w:t>to</w:t>
      </w:r>
      <w:r w:rsidRPr="008A111D">
        <w:rPr>
          <w:rFonts w:ascii="Arial" w:hAnsi="Arial" w:cs="Arial"/>
        </w:rPr>
        <w:t xml:space="preserve"> the proper personnel</w:t>
      </w:r>
      <w:r w:rsidR="008A111D" w:rsidRPr="008A111D">
        <w:rPr>
          <w:rFonts w:ascii="Arial" w:hAnsi="Arial" w:cs="Arial"/>
        </w:rPr>
        <w:t xml:space="preserve"> (Hood et al., 2017)</w:t>
      </w:r>
      <w:r w:rsidRPr="008A111D">
        <w:rPr>
          <w:rFonts w:ascii="Arial" w:hAnsi="Arial" w:cs="Arial"/>
        </w:rPr>
        <w:t>.</w:t>
      </w:r>
    </w:p>
    <w:p w14:paraId="66878C82" w14:textId="05D5CAE2"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Her care package and care and safeguarding concerns may be discussed by the local council. A pharmacist can also assist by streamlining her </w:t>
      </w:r>
      <w:r w:rsidR="00D63E4C" w:rsidRPr="008A111D">
        <w:rPr>
          <w:rFonts w:ascii="Arial" w:hAnsi="Arial" w:cs="Arial"/>
        </w:rPr>
        <w:t>medication</w:t>
      </w:r>
      <w:r w:rsidRPr="008A111D">
        <w:rPr>
          <w:rFonts w:ascii="Arial" w:hAnsi="Arial" w:cs="Arial"/>
        </w:rPr>
        <w:t xml:space="preserve">, verifying her medicine packaging, and suggesting safer methods of supporting her. </w:t>
      </w:r>
      <w:r w:rsidR="00DA296C" w:rsidRPr="008A111D">
        <w:rPr>
          <w:rFonts w:ascii="Arial" w:hAnsi="Arial" w:cs="Arial"/>
        </w:rPr>
        <w:t>Mrs.</w:t>
      </w:r>
      <w:r w:rsidRPr="008A111D">
        <w:rPr>
          <w:rFonts w:ascii="Arial" w:hAnsi="Arial" w:cs="Arial"/>
        </w:rPr>
        <w:t xml:space="preserve"> Thompson and</w:t>
      </w:r>
      <w:r w:rsidR="00D63E4C" w:rsidRPr="008A111D">
        <w:rPr>
          <w:rFonts w:ascii="Arial" w:hAnsi="Arial" w:cs="Arial"/>
        </w:rPr>
        <w:t>,</w:t>
      </w:r>
      <w:r w:rsidRPr="008A111D">
        <w:rPr>
          <w:rFonts w:ascii="Arial" w:hAnsi="Arial" w:cs="Arial"/>
        </w:rPr>
        <w:t xml:space="preserve"> where applicable, her family should be involved in meetings and </w:t>
      </w:r>
      <w:r w:rsidR="00D63E4C" w:rsidRPr="008A111D">
        <w:rPr>
          <w:rFonts w:ascii="Arial" w:hAnsi="Arial" w:cs="Arial"/>
        </w:rPr>
        <w:t>decision-making</w:t>
      </w:r>
      <w:r w:rsidRPr="008A111D">
        <w:rPr>
          <w:rFonts w:ascii="Arial" w:hAnsi="Arial" w:cs="Arial"/>
        </w:rPr>
        <w:t>.</w:t>
      </w:r>
    </w:p>
    <w:p w14:paraId="79263868" w14:textId="0F5E70AE"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Working together well involves roles, regular communication and one care plan. A named </w:t>
      </w:r>
      <w:r w:rsidR="008D5E78" w:rsidRPr="008A111D">
        <w:rPr>
          <w:rFonts w:ascii="Arial" w:hAnsi="Arial" w:cs="Arial"/>
        </w:rPr>
        <w:t>worker-coordinator</w:t>
      </w:r>
      <w:r w:rsidRPr="008A111D">
        <w:rPr>
          <w:rFonts w:ascii="Arial" w:hAnsi="Arial" w:cs="Arial"/>
        </w:rPr>
        <w:t xml:space="preserve"> might be useful to ensure actions are completed.  For instance, a care </w:t>
      </w:r>
      <w:r w:rsidRPr="008A111D">
        <w:rPr>
          <w:rFonts w:ascii="Arial" w:hAnsi="Arial" w:cs="Arial"/>
        </w:rPr>
        <w:lastRenderedPageBreak/>
        <w:t xml:space="preserve">worker might explain to a relative that </w:t>
      </w:r>
      <w:r w:rsidR="00DA296C" w:rsidRPr="008A111D">
        <w:rPr>
          <w:rFonts w:ascii="Arial" w:hAnsi="Arial" w:cs="Arial"/>
        </w:rPr>
        <w:t>Mrs.</w:t>
      </w:r>
      <w:r w:rsidRPr="008A111D">
        <w:rPr>
          <w:rFonts w:ascii="Arial" w:hAnsi="Arial" w:cs="Arial"/>
        </w:rPr>
        <w:t xml:space="preserve"> Thompson has forgotten to take her medication and provide information about her dementia and recent pneumonia, how she is becoming more confused and what they would like from medicine.</w:t>
      </w:r>
    </w:p>
    <w:p w14:paraId="4A4EDE2C" w14:textId="61595A6C"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Common issues around multi-agency working </w:t>
      </w:r>
      <w:r w:rsidR="008A111D" w:rsidRPr="008A111D">
        <w:rPr>
          <w:rFonts w:ascii="Arial" w:hAnsi="Arial" w:cs="Arial"/>
        </w:rPr>
        <w:t>is</w:t>
      </w:r>
      <w:r w:rsidRPr="008A111D">
        <w:rPr>
          <w:rFonts w:ascii="Arial" w:hAnsi="Arial" w:cs="Arial"/>
        </w:rPr>
        <w:t xml:space="preserve"> </w:t>
      </w:r>
      <w:r w:rsidR="00D63E4C" w:rsidRPr="008A111D">
        <w:rPr>
          <w:rFonts w:ascii="Arial" w:hAnsi="Arial" w:cs="Arial"/>
        </w:rPr>
        <w:t xml:space="preserve">a </w:t>
      </w:r>
      <w:r w:rsidRPr="008A111D">
        <w:rPr>
          <w:rFonts w:ascii="Arial" w:hAnsi="Arial" w:cs="Arial"/>
        </w:rPr>
        <w:t xml:space="preserve">lack of communication, delays, unclear roles, different record keeping, and confidentiality concerns. Professionals may also disagree as to the acceptability of the level of risk and what support </w:t>
      </w:r>
      <w:r w:rsidR="00DA296C" w:rsidRPr="008A111D">
        <w:rPr>
          <w:rFonts w:ascii="Arial" w:hAnsi="Arial" w:cs="Arial"/>
        </w:rPr>
        <w:t>Mrs.</w:t>
      </w:r>
      <w:r w:rsidRPr="008A111D">
        <w:rPr>
          <w:rFonts w:ascii="Arial" w:hAnsi="Arial" w:cs="Arial"/>
        </w:rPr>
        <w:t xml:space="preserve"> Thompson requires</w:t>
      </w:r>
      <w:r w:rsidR="008A111D" w:rsidRPr="008A111D">
        <w:rPr>
          <w:rFonts w:ascii="Arial" w:hAnsi="Arial" w:cs="Arial"/>
        </w:rPr>
        <w:t xml:space="preserve"> (Brooker and Latham, 2016)</w:t>
      </w:r>
      <w:r w:rsidRPr="008A111D">
        <w:rPr>
          <w:rFonts w:ascii="Arial" w:hAnsi="Arial" w:cs="Arial"/>
        </w:rPr>
        <w:t>.</w:t>
      </w:r>
    </w:p>
    <w:p w14:paraId="4EAE2982" w14:textId="062996C6" w:rsidR="00B44611" w:rsidRPr="008A111D" w:rsidRDefault="00B44611" w:rsidP="008A111D">
      <w:pPr>
        <w:spacing w:before="120" w:after="120" w:line="360" w:lineRule="auto"/>
        <w:jc w:val="both"/>
        <w:rPr>
          <w:rFonts w:ascii="Arial" w:hAnsi="Arial" w:cs="Arial"/>
        </w:rPr>
      </w:pPr>
      <w:r w:rsidRPr="008A111D">
        <w:rPr>
          <w:rFonts w:ascii="Arial" w:hAnsi="Arial" w:cs="Arial"/>
        </w:rPr>
        <w:t xml:space="preserve">Good information sharing, meetings, contact information, </w:t>
      </w:r>
      <w:r w:rsidR="00D63E4C" w:rsidRPr="008A111D">
        <w:rPr>
          <w:rFonts w:ascii="Arial" w:hAnsi="Arial" w:cs="Arial"/>
        </w:rPr>
        <w:t xml:space="preserve">a </w:t>
      </w:r>
      <w:r w:rsidRPr="008A111D">
        <w:rPr>
          <w:rFonts w:ascii="Arial" w:hAnsi="Arial" w:cs="Arial"/>
        </w:rPr>
        <w:t xml:space="preserve">written action plan, </w:t>
      </w:r>
      <w:r w:rsidR="00D63E4C" w:rsidRPr="008A111D">
        <w:rPr>
          <w:rFonts w:ascii="Arial" w:hAnsi="Arial" w:cs="Arial"/>
        </w:rPr>
        <w:t xml:space="preserve">and </w:t>
      </w:r>
      <w:r w:rsidRPr="008A111D">
        <w:rPr>
          <w:rFonts w:ascii="Arial" w:hAnsi="Arial" w:cs="Arial"/>
        </w:rPr>
        <w:t xml:space="preserve">review dates can </w:t>
      </w:r>
      <w:r w:rsidR="00DA296C" w:rsidRPr="008A111D">
        <w:rPr>
          <w:rFonts w:ascii="Arial" w:hAnsi="Arial" w:cs="Arial"/>
        </w:rPr>
        <w:t>minimize</w:t>
      </w:r>
      <w:r w:rsidRPr="008A111D">
        <w:rPr>
          <w:rFonts w:ascii="Arial" w:hAnsi="Arial" w:cs="Arial"/>
        </w:rPr>
        <w:t xml:space="preserve"> these problems. Name the individual responsible for taking each action. Staff should also feel confident to assert delays </w:t>
      </w:r>
      <w:r w:rsidR="00D63E4C" w:rsidRPr="008A111D">
        <w:rPr>
          <w:rFonts w:ascii="Arial" w:hAnsi="Arial" w:cs="Arial"/>
        </w:rPr>
        <w:t>respectfully</w:t>
      </w:r>
      <w:r w:rsidRPr="008A111D">
        <w:rPr>
          <w:rFonts w:ascii="Arial" w:hAnsi="Arial" w:cs="Arial"/>
        </w:rPr>
        <w:t xml:space="preserve"> when </w:t>
      </w:r>
      <w:r w:rsidR="00DA296C" w:rsidRPr="008A111D">
        <w:rPr>
          <w:rFonts w:ascii="Arial" w:hAnsi="Arial" w:cs="Arial"/>
        </w:rPr>
        <w:t>Mrs.</w:t>
      </w:r>
      <w:r w:rsidRPr="008A111D">
        <w:rPr>
          <w:rFonts w:ascii="Arial" w:hAnsi="Arial" w:cs="Arial"/>
        </w:rPr>
        <w:t xml:space="preserve"> Thompson may be in danger</w:t>
      </w:r>
      <w:r w:rsidR="008A111D" w:rsidRPr="008A111D">
        <w:rPr>
          <w:rFonts w:ascii="Arial" w:hAnsi="Arial" w:cs="Arial"/>
        </w:rPr>
        <w:t xml:space="preserve"> (Nice, 2018)</w:t>
      </w:r>
      <w:r w:rsidRPr="008A111D">
        <w:rPr>
          <w:rFonts w:ascii="Arial" w:hAnsi="Arial" w:cs="Arial"/>
        </w:rPr>
        <w:t>.</w:t>
      </w:r>
    </w:p>
    <w:p w14:paraId="0A7B2CCF" w14:textId="5390347F" w:rsidR="00B44611" w:rsidRPr="008A111D" w:rsidRDefault="00B44611" w:rsidP="008A111D">
      <w:pPr>
        <w:spacing w:before="120" w:after="120" w:line="360" w:lineRule="auto"/>
        <w:jc w:val="both"/>
        <w:rPr>
          <w:rFonts w:ascii="Arial" w:hAnsi="Arial" w:cs="Arial"/>
        </w:rPr>
      </w:pPr>
      <w:r w:rsidRPr="008A111D">
        <w:rPr>
          <w:rFonts w:ascii="Arial" w:hAnsi="Arial" w:cs="Arial"/>
        </w:rPr>
        <w:t>She must be protected, but not at the cost of taking away her independence – let teamwork do this. Support should be arranged so that she can live at home safely</w:t>
      </w:r>
      <w:r w:rsidR="00D63E4C" w:rsidRPr="008A111D">
        <w:rPr>
          <w:rFonts w:ascii="Arial" w:hAnsi="Arial" w:cs="Arial"/>
        </w:rPr>
        <w:t>,</w:t>
      </w:r>
      <w:r w:rsidRPr="008A111D">
        <w:rPr>
          <w:rFonts w:ascii="Arial" w:hAnsi="Arial" w:cs="Arial"/>
        </w:rPr>
        <w:t xml:space="preserve"> and risks are understood, managed and reviewed frequently.</w:t>
      </w:r>
    </w:p>
    <w:p w14:paraId="3272A6BD" w14:textId="77777777" w:rsidR="00B44611" w:rsidRPr="008A111D" w:rsidRDefault="00B44611" w:rsidP="008A111D">
      <w:pPr>
        <w:pStyle w:val="Heading1"/>
      </w:pPr>
      <w:bookmarkStart w:id="4" w:name="_Toc234717616"/>
      <w:r w:rsidRPr="008A111D">
        <w:t>Conclusion</w:t>
      </w:r>
      <w:bookmarkEnd w:id="4"/>
    </w:p>
    <w:p w14:paraId="71A0AB01" w14:textId="758C801A" w:rsidR="008D5E78" w:rsidRPr="008A111D" w:rsidRDefault="00B44611" w:rsidP="008A111D">
      <w:pPr>
        <w:spacing w:before="120" w:after="120" w:line="360" w:lineRule="auto"/>
        <w:jc w:val="both"/>
        <w:rPr>
          <w:rFonts w:ascii="Arial" w:hAnsi="Arial" w:cs="Arial"/>
        </w:rPr>
      </w:pPr>
      <w:r w:rsidRPr="008A111D">
        <w:rPr>
          <w:rFonts w:ascii="Arial" w:hAnsi="Arial" w:cs="Arial"/>
        </w:rPr>
        <w:t xml:space="preserve">From </w:t>
      </w:r>
      <w:r w:rsidR="00DA296C" w:rsidRPr="008A111D">
        <w:rPr>
          <w:rFonts w:ascii="Arial" w:hAnsi="Arial" w:cs="Arial"/>
        </w:rPr>
        <w:t>Mrs.</w:t>
      </w:r>
      <w:r w:rsidRPr="008A111D">
        <w:rPr>
          <w:rFonts w:ascii="Arial" w:hAnsi="Arial" w:cs="Arial"/>
        </w:rPr>
        <w:t xml:space="preserve"> Thompson's case, what she wanted highlighted was that safe care requires good communication, administration and </w:t>
      </w:r>
      <w:r w:rsidR="00D63E4C" w:rsidRPr="008A111D">
        <w:rPr>
          <w:rFonts w:ascii="Arial" w:hAnsi="Arial" w:cs="Arial"/>
        </w:rPr>
        <w:t>teamwork</w:t>
      </w:r>
      <w:r w:rsidRPr="008A111D">
        <w:rPr>
          <w:rFonts w:ascii="Arial" w:hAnsi="Arial" w:cs="Arial"/>
        </w:rPr>
        <w:t xml:space="preserve">. Information should be provided slowly, clearly and respectfully to her, and appropriately supported for her dementia. She is legally protected by the Equality Act 2010 </w:t>
      </w:r>
      <w:r w:rsidR="00D63E4C" w:rsidRPr="008A111D">
        <w:rPr>
          <w:rFonts w:ascii="Arial" w:hAnsi="Arial" w:cs="Arial"/>
        </w:rPr>
        <w:t>regarding</w:t>
      </w:r>
      <w:r w:rsidRPr="008A111D">
        <w:rPr>
          <w:rFonts w:ascii="Arial" w:hAnsi="Arial" w:cs="Arial"/>
        </w:rPr>
        <w:t xml:space="preserve"> fair treatment and reasonable adjustments, and the Mental Capacity Act 2005</w:t>
      </w:r>
      <w:r w:rsidR="00D63E4C" w:rsidRPr="008A111D">
        <w:rPr>
          <w:rFonts w:ascii="Arial" w:hAnsi="Arial" w:cs="Arial"/>
        </w:rPr>
        <w:t>,</w:t>
      </w:r>
      <w:r w:rsidRPr="008A111D">
        <w:rPr>
          <w:rFonts w:ascii="Arial" w:hAnsi="Arial" w:cs="Arial"/>
        </w:rPr>
        <w:t xml:space="preserve"> under which she has the right to make her own decisions, where possible. To prevent further harm, accurate medication records, incident reports, care plans, and risk assessments are necessary for the medication. </w:t>
      </w:r>
      <w:r w:rsidR="00D63E4C" w:rsidRPr="008A111D">
        <w:rPr>
          <w:rFonts w:ascii="Arial" w:hAnsi="Arial" w:cs="Arial"/>
        </w:rPr>
        <w:t>About</w:t>
      </w:r>
      <w:r w:rsidRPr="008A111D">
        <w:rPr>
          <w:rFonts w:ascii="Arial" w:hAnsi="Arial" w:cs="Arial"/>
        </w:rPr>
        <w:t xml:space="preserve"> her personal information, the Data Protection Act 2018 also stipulates that this information must be processed securely and only used when it is necessary. It is important that a care plan is in place and kept under regular review between the GP, community nurse, domiciliary carers, pharmacist, local council, </w:t>
      </w:r>
      <w:r w:rsidR="00DA296C" w:rsidRPr="008A111D">
        <w:rPr>
          <w:rFonts w:ascii="Arial" w:hAnsi="Arial" w:cs="Arial"/>
        </w:rPr>
        <w:t>Mrs.</w:t>
      </w:r>
      <w:r w:rsidRPr="008A111D">
        <w:rPr>
          <w:rFonts w:ascii="Arial" w:hAnsi="Arial" w:cs="Arial"/>
        </w:rPr>
        <w:t xml:space="preserve"> Thompson and her family. </w:t>
      </w:r>
    </w:p>
    <w:p w14:paraId="187D1061" w14:textId="77777777" w:rsidR="008D5E78" w:rsidRPr="008A111D" w:rsidRDefault="008D5E78" w:rsidP="008A111D">
      <w:pPr>
        <w:spacing w:before="120" w:after="120" w:line="360" w:lineRule="auto"/>
        <w:jc w:val="both"/>
        <w:rPr>
          <w:rFonts w:ascii="Arial" w:hAnsi="Arial" w:cs="Arial"/>
        </w:rPr>
      </w:pPr>
      <w:r w:rsidRPr="008A111D">
        <w:rPr>
          <w:rFonts w:ascii="Arial" w:hAnsi="Arial" w:cs="Arial"/>
        </w:rPr>
        <w:br w:type="page"/>
      </w:r>
    </w:p>
    <w:p w14:paraId="19186857" w14:textId="5D3779FF" w:rsidR="00EF1F18" w:rsidRPr="008A111D" w:rsidRDefault="008D5E78" w:rsidP="008A111D">
      <w:pPr>
        <w:pStyle w:val="Heading1"/>
      </w:pPr>
      <w:bookmarkStart w:id="5" w:name="_Toc234717617"/>
      <w:r w:rsidRPr="008A111D">
        <w:lastRenderedPageBreak/>
        <w:t>References</w:t>
      </w:r>
      <w:bookmarkEnd w:id="5"/>
    </w:p>
    <w:p w14:paraId="1FCD1473"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rPr>
        <w:t xml:space="preserve">Brooker, D. and Latham, I. (2016) </w:t>
      </w:r>
      <w:r w:rsidRPr="008A111D">
        <w:rPr>
          <w:rFonts w:ascii="Arial" w:eastAsia="Times New Roman" w:hAnsi="Arial" w:cs="Arial"/>
          <w:i/>
          <w:iCs/>
        </w:rPr>
        <w:t>Person-</w:t>
      </w:r>
      <w:proofErr w:type="spellStart"/>
      <w:r w:rsidRPr="008A111D">
        <w:rPr>
          <w:rFonts w:ascii="Arial" w:eastAsia="Times New Roman" w:hAnsi="Arial" w:cs="Arial"/>
          <w:i/>
          <w:iCs/>
        </w:rPr>
        <w:t>Centred</w:t>
      </w:r>
      <w:proofErr w:type="spellEnd"/>
      <w:r w:rsidRPr="008A111D">
        <w:rPr>
          <w:rFonts w:ascii="Arial" w:eastAsia="Times New Roman" w:hAnsi="Arial" w:cs="Arial"/>
          <w:i/>
          <w:iCs/>
        </w:rPr>
        <w:t xml:space="preserve"> Dementia Care: Making Services Better with the VIPS Framework</w:t>
      </w:r>
      <w:r w:rsidRPr="008A111D">
        <w:rPr>
          <w:rFonts w:ascii="Arial" w:eastAsia="Times New Roman" w:hAnsi="Arial" w:cs="Arial"/>
        </w:rPr>
        <w:t xml:space="preserve">. 2nd </w:t>
      </w:r>
      <w:proofErr w:type="spellStart"/>
      <w:r w:rsidRPr="008A111D">
        <w:rPr>
          <w:rFonts w:ascii="Arial" w:eastAsia="Times New Roman" w:hAnsi="Arial" w:cs="Arial"/>
        </w:rPr>
        <w:t>edn</w:t>
      </w:r>
      <w:proofErr w:type="spellEnd"/>
      <w:r w:rsidRPr="008A111D">
        <w:rPr>
          <w:rFonts w:ascii="Arial" w:eastAsia="Times New Roman" w:hAnsi="Arial" w:cs="Arial"/>
        </w:rPr>
        <w:t>. London: Jessica Kingsley Publishers.</w:t>
      </w:r>
    </w:p>
    <w:p w14:paraId="19963F8B" w14:textId="77777777" w:rsidR="008A111D" w:rsidRPr="008A111D" w:rsidRDefault="008A111D" w:rsidP="008A111D">
      <w:pPr>
        <w:spacing w:before="120" w:after="120" w:line="360" w:lineRule="auto"/>
        <w:jc w:val="both"/>
        <w:rPr>
          <w:rFonts w:ascii="Arial" w:hAnsi="Arial" w:cs="Arial"/>
        </w:rPr>
      </w:pPr>
      <w:r w:rsidRPr="008A111D">
        <w:rPr>
          <w:rFonts w:ascii="Arial" w:hAnsi="Arial" w:cs="Arial"/>
        </w:rPr>
        <w:t xml:space="preserve">Care Act 2014. (2014) </w:t>
      </w:r>
      <w:r w:rsidRPr="008A111D">
        <w:rPr>
          <w:rStyle w:val="Emphasis"/>
          <w:rFonts w:ascii="Arial" w:hAnsi="Arial" w:cs="Arial"/>
        </w:rPr>
        <w:t>c. 23</w:t>
      </w:r>
      <w:r w:rsidRPr="008A111D">
        <w:rPr>
          <w:rFonts w:ascii="Arial" w:hAnsi="Arial" w:cs="Arial"/>
        </w:rPr>
        <w:t xml:space="preserve">. London: The Stationery Office. Available at: </w:t>
      </w:r>
      <w:hyperlink r:id="rId9" w:tgtFrame="_new" w:history="1">
        <w:r w:rsidRPr="008A111D">
          <w:rPr>
            <w:rStyle w:val="Hyperlink"/>
            <w:rFonts w:ascii="Arial" w:hAnsi="Arial" w:cs="Arial"/>
          </w:rPr>
          <w:t>https://www.legislation.gov.uk/ukpga/2014/23/contents/enacted</w:t>
        </w:r>
      </w:hyperlink>
      <w:r w:rsidRPr="008A111D">
        <w:rPr>
          <w:rFonts w:ascii="Arial" w:hAnsi="Arial" w:cs="Arial"/>
        </w:rPr>
        <w:t xml:space="preserve"> (Accessed: 12 July 2026).</w:t>
      </w:r>
    </w:p>
    <w:p w14:paraId="34108114" w14:textId="77777777" w:rsidR="008A111D" w:rsidRPr="008A111D" w:rsidRDefault="008A111D" w:rsidP="008A111D">
      <w:pPr>
        <w:pStyle w:val="pdq2pgselectionanchorcontainer"/>
        <w:spacing w:before="120" w:beforeAutospacing="0" w:after="120" w:afterAutospacing="0" w:line="360" w:lineRule="auto"/>
        <w:jc w:val="both"/>
        <w:rPr>
          <w:rFonts w:ascii="Arial" w:hAnsi="Arial" w:cs="Arial"/>
          <w:sz w:val="22"/>
          <w:szCs w:val="22"/>
        </w:rPr>
      </w:pPr>
      <w:r w:rsidRPr="008A111D">
        <w:rPr>
          <w:rFonts w:ascii="Arial" w:hAnsi="Arial" w:cs="Arial"/>
          <w:sz w:val="22"/>
          <w:szCs w:val="22"/>
        </w:rPr>
        <w:t xml:space="preserve">Data Protection Act 2018. (2018) </w:t>
      </w:r>
      <w:r w:rsidRPr="008A111D">
        <w:rPr>
          <w:rStyle w:val="Emphasis"/>
          <w:rFonts w:ascii="Arial" w:hAnsi="Arial" w:cs="Arial"/>
          <w:sz w:val="22"/>
          <w:szCs w:val="22"/>
        </w:rPr>
        <w:t>c. 12</w:t>
      </w:r>
      <w:r w:rsidRPr="008A111D">
        <w:rPr>
          <w:rFonts w:ascii="Arial" w:hAnsi="Arial" w:cs="Arial"/>
          <w:sz w:val="22"/>
          <w:szCs w:val="22"/>
        </w:rPr>
        <w:t xml:space="preserve">. London: The Stationery Office. Available at: </w:t>
      </w:r>
      <w:hyperlink r:id="rId10" w:tgtFrame="_new" w:history="1">
        <w:r w:rsidRPr="008A111D">
          <w:rPr>
            <w:rStyle w:val="Hyperlink"/>
            <w:rFonts w:ascii="Arial" w:hAnsi="Arial" w:cs="Arial"/>
            <w:sz w:val="22"/>
            <w:szCs w:val="22"/>
          </w:rPr>
          <w:t>https://www.legislation.gov.uk/ukpga/2018/12/contents/enacted</w:t>
        </w:r>
      </w:hyperlink>
      <w:r w:rsidRPr="008A111D">
        <w:rPr>
          <w:rFonts w:ascii="Arial" w:hAnsi="Arial" w:cs="Arial"/>
          <w:sz w:val="22"/>
          <w:szCs w:val="22"/>
        </w:rPr>
        <w:t xml:space="preserve"> (Accessed: 12 July 2026).</w:t>
      </w:r>
    </w:p>
    <w:p w14:paraId="78349DFA"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rPr>
        <w:t xml:space="preserve">Digby, R., Lee, S. and Williams, A. (2017) 'The experience of people with dementia and nurses in hospital: An integrative review', </w:t>
      </w:r>
      <w:r w:rsidRPr="008A111D">
        <w:rPr>
          <w:rFonts w:ascii="Arial" w:eastAsia="Times New Roman" w:hAnsi="Arial" w:cs="Arial"/>
          <w:i/>
          <w:iCs/>
        </w:rPr>
        <w:t>Journal of Clinical Nursing</w:t>
      </w:r>
      <w:r w:rsidRPr="008A111D">
        <w:rPr>
          <w:rFonts w:ascii="Arial" w:eastAsia="Times New Roman" w:hAnsi="Arial" w:cs="Arial"/>
        </w:rPr>
        <w:t xml:space="preserve">, 26(9–10), pp. 1152–1171. https://doi.org/10.1111/jocn.13429 </w:t>
      </w:r>
    </w:p>
    <w:p w14:paraId="159D6520"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i/>
          <w:iCs/>
        </w:rPr>
        <w:t>Equality Act 2010 - Bing</w:t>
      </w:r>
      <w:r w:rsidRPr="008A111D">
        <w:rPr>
          <w:rFonts w:ascii="Arial" w:eastAsia="Times New Roman" w:hAnsi="Arial" w:cs="Arial"/>
        </w:rPr>
        <w:t xml:space="preserve"> (2026). https://www.bing.com/search?q=Equality+Act+2010+&amp;form=ANNTH1&amp;refig=6a52a72d63fd46939e2471265332ccdc&amp;pc=U531.</w:t>
      </w:r>
    </w:p>
    <w:p w14:paraId="523D4647" w14:textId="77777777" w:rsidR="008A111D" w:rsidRPr="008A111D" w:rsidRDefault="008A111D" w:rsidP="008A111D">
      <w:pPr>
        <w:spacing w:before="120" w:after="120" w:line="360" w:lineRule="auto"/>
        <w:jc w:val="both"/>
        <w:rPr>
          <w:rFonts w:ascii="Arial" w:hAnsi="Arial" w:cs="Arial"/>
          <w:color w:val="000000" w:themeColor="text1"/>
          <w:shd w:val="clear" w:color="auto" w:fill="FFFFFF"/>
        </w:rPr>
      </w:pPr>
      <w:r w:rsidRPr="008A111D">
        <w:rPr>
          <w:rFonts w:ascii="Arial" w:hAnsi="Arial" w:cs="Arial"/>
          <w:color w:val="000000" w:themeColor="text1"/>
          <w:shd w:val="clear" w:color="auto" w:fill="FFFFFF"/>
        </w:rPr>
        <w:t>Hood, R. et al. (2017) ‘Collaborating across the threshold: The development of interprofessional expertise in child safeguarding’, </w:t>
      </w:r>
      <w:r w:rsidRPr="008A111D">
        <w:rPr>
          <w:rFonts w:ascii="Arial" w:hAnsi="Arial" w:cs="Arial"/>
          <w:i/>
          <w:iCs/>
          <w:color w:val="000000" w:themeColor="text1"/>
          <w:shd w:val="clear" w:color="auto" w:fill="FFFFFF"/>
        </w:rPr>
        <w:t xml:space="preserve">Journal of Interprofessional Care, 31(6), pp. 705–713. </w:t>
      </w:r>
      <w:proofErr w:type="spellStart"/>
      <w:r w:rsidRPr="008A111D">
        <w:rPr>
          <w:rFonts w:ascii="Arial" w:hAnsi="Arial" w:cs="Arial"/>
          <w:color w:val="000000" w:themeColor="text1"/>
          <w:shd w:val="clear" w:color="auto" w:fill="FFFFFF"/>
        </w:rPr>
        <w:t>doi</w:t>
      </w:r>
      <w:proofErr w:type="spellEnd"/>
      <w:r w:rsidRPr="008A111D">
        <w:rPr>
          <w:rFonts w:ascii="Arial" w:hAnsi="Arial" w:cs="Arial"/>
          <w:color w:val="000000" w:themeColor="text1"/>
          <w:shd w:val="clear" w:color="auto" w:fill="FFFFFF"/>
        </w:rPr>
        <w:t>: 10.1080/13561820.2017.1329199.</w:t>
      </w:r>
    </w:p>
    <w:p w14:paraId="13BE00D7"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rPr>
        <w:t xml:space="preserve">Manias, E., </w:t>
      </w:r>
      <w:proofErr w:type="spellStart"/>
      <w:r w:rsidRPr="008A111D">
        <w:rPr>
          <w:rFonts w:ascii="Arial" w:eastAsia="Times New Roman" w:hAnsi="Arial" w:cs="Arial"/>
        </w:rPr>
        <w:t>Kusljic</w:t>
      </w:r>
      <w:proofErr w:type="spellEnd"/>
      <w:r w:rsidRPr="008A111D">
        <w:rPr>
          <w:rFonts w:ascii="Arial" w:eastAsia="Times New Roman" w:hAnsi="Arial" w:cs="Arial"/>
        </w:rPr>
        <w:t xml:space="preserve">, S. and Wu, A. (2020) 'Interventions to reduce medication errors in adult medical and surgical settings: A systematic review', </w:t>
      </w:r>
      <w:r w:rsidRPr="008A111D">
        <w:rPr>
          <w:rFonts w:ascii="Arial" w:eastAsia="Times New Roman" w:hAnsi="Arial" w:cs="Arial"/>
          <w:i/>
          <w:iCs/>
        </w:rPr>
        <w:t>Therapeutic Advances in Drug Safety</w:t>
      </w:r>
      <w:r w:rsidRPr="008A111D">
        <w:rPr>
          <w:rFonts w:ascii="Arial" w:eastAsia="Times New Roman" w:hAnsi="Arial" w:cs="Arial"/>
        </w:rPr>
        <w:t xml:space="preserve">, 11, pp. 1–29. https://doi.org/10.1177/2042098620968309 </w:t>
      </w:r>
    </w:p>
    <w:p w14:paraId="7B32F2EC" w14:textId="77777777" w:rsidR="008A111D" w:rsidRPr="008A111D" w:rsidRDefault="008A111D" w:rsidP="008A111D">
      <w:pPr>
        <w:pStyle w:val="pdq2pgselectionanchorcontainer"/>
        <w:spacing w:before="120" w:beforeAutospacing="0" w:after="120" w:afterAutospacing="0" w:line="360" w:lineRule="auto"/>
        <w:jc w:val="both"/>
        <w:rPr>
          <w:rFonts w:ascii="Arial" w:hAnsi="Arial" w:cs="Arial"/>
          <w:sz w:val="22"/>
          <w:szCs w:val="22"/>
        </w:rPr>
      </w:pPr>
      <w:r w:rsidRPr="008A111D">
        <w:rPr>
          <w:rFonts w:ascii="Arial" w:hAnsi="Arial" w:cs="Arial"/>
          <w:sz w:val="22"/>
          <w:szCs w:val="22"/>
        </w:rPr>
        <w:t xml:space="preserve">Mental Capacity Act 2005. (2005) </w:t>
      </w:r>
      <w:r w:rsidRPr="008A111D">
        <w:rPr>
          <w:rStyle w:val="Emphasis"/>
          <w:rFonts w:ascii="Arial" w:hAnsi="Arial" w:cs="Arial"/>
          <w:sz w:val="22"/>
          <w:szCs w:val="22"/>
        </w:rPr>
        <w:t>c. 9</w:t>
      </w:r>
      <w:r w:rsidRPr="008A111D">
        <w:rPr>
          <w:rFonts w:ascii="Arial" w:hAnsi="Arial" w:cs="Arial"/>
          <w:sz w:val="22"/>
          <w:szCs w:val="22"/>
        </w:rPr>
        <w:t xml:space="preserve">. London: The Stationery Office. Available at: </w:t>
      </w:r>
      <w:hyperlink r:id="rId11" w:tgtFrame="_new" w:history="1">
        <w:r w:rsidRPr="008A111D">
          <w:rPr>
            <w:rStyle w:val="Hyperlink"/>
            <w:rFonts w:ascii="Arial" w:hAnsi="Arial" w:cs="Arial"/>
            <w:sz w:val="22"/>
            <w:szCs w:val="22"/>
          </w:rPr>
          <w:t>https://www.legislation.gov.uk/ukpga/2005/9/contents</w:t>
        </w:r>
      </w:hyperlink>
      <w:r w:rsidRPr="008A111D">
        <w:rPr>
          <w:rFonts w:ascii="Arial" w:hAnsi="Arial" w:cs="Arial"/>
          <w:sz w:val="22"/>
          <w:szCs w:val="22"/>
        </w:rPr>
        <w:t xml:space="preserve"> (Accessed: 12 July 2026).</w:t>
      </w:r>
    </w:p>
    <w:p w14:paraId="6C9E3820"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rPr>
        <w:t xml:space="preserve">National Institute for Health and Care Excellence (NICE) (2018, updated 2023) </w:t>
      </w:r>
      <w:r w:rsidRPr="008A111D">
        <w:rPr>
          <w:rFonts w:ascii="Arial" w:eastAsia="Times New Roman" w:hAnsi="Arial" w:cs="Arial"/>
          <w:i/>
          <w:iCs/>
        </w:rPr>
        <w:t>Dementia: Assessment, Management and Support for People Living with Dementia and Their Carers (NG97).</w:t>
      </w:r>
      <w:r w:rsidRPr="008A111D">
        <w:rPr>
          <w:rFonts w:ascii="Arial" w:eastAsia="Times New Roman" w:hAnsi="Arial" w:cs="Arial"/>
        </w:rPr>
        <w:t xml:space="preserve"> Available at: </w:t>
      </w:r>
      <w:hyperlink r:id="rId12" w:tgtFrame="_new" w:history="1">
        <w:r w:rsidRPr="008A111D">
          <w:rPr>
            <w:rFonts w:ascii="Arial" w:eastAsia="Times New Roman" w:hAnsi="Arial" w:cs="Arial"/>
            <w:color w:val="0000FF"/>
            <w:u w:val="single"/>
          </w:rPr>
          <w:t>https://www.nice.org.uk/guidance/ng97</w:t>
        </w:r>
      </w:hyperlink>
    </w:p>
    <w:p w14:paraId="0CDC0F27" w14:textId="77777777" w:rsidR="008A111D" w:rsidRPr="008A111D" w:rsidRDefault="008A111D" w:rsidP="008A111D">
      <w:pPr>
        <w:spacing w:before="120" w:after="120" w:line="360" w:lineRule="auto"/>
        <w:jc w:val="both"/>
        <w:rPr>
          <w:rFonts w:ascii="Arial" w:eastAsia="Times New Roman" w:hAnsi="Arial" w:cs="Arial"/>
        </w:rPr>
      </w:pPr>
      <w:r w:rsidRPr="008A111D">
        <w:rPr>
          <w:rFonts w:ascii="Arial" w:eastAsia="Times New Roman" w:hAnsi="Arial" w:cs="Arial"/>
        </w:rPr>
        <w:t xml:space="preserve">Stickley, T. (2011) 'From SOLER to SURETY for effective non-verbal communication,' </w:t>
      </w:r>
      <w:r w:rsidRPr="008A111D">
        <w:rPr>
          <w:rFonts w:ascii="Arial" w:eastAsia="Times New Roman" w:hAnsi="Arial" w:cs="Arial"/>
          <w:i/>
          <w:iCs/>
        </w:rPr>
        <w:t>Nurse Education in Practice</w:t>
      </w:r>
      <w:r w:rsidRPr="008A111D">
        <w:rPr>
          <w:rFonts w:ascii="Arial" w:eastAsia="Times New Roman" w:hAnsi="Arial" w:cs="Arial"/>
        </w:rPr>
        <w:t>, 11(6), pp. 395–398. https://doi.org/10.1016/j.nepr.2011.03.021.</w:t>
      </w:r>
    </w:p>
    <w:p w14:paraId="4CDF241F" w14:textId="00ACABDC" w:rsidR="00331D80" w:rsidRPr="008A111D" w:rsidRDefault="00331D80" w:rsidP="008A111D">
      <w:pPr>
        <w:spacing w:before="120" w:after="120" w:line="360" w:lineRule="auto"/>
        <w:jc w:val="both"/>
        <w:rPr>
          <w:rFonts w:ascii="Arial" w:eastAsia="Times New Roman" w:hAnsi="Arial" w:cs="Arial"/>
        </w:rPr>
      </w:pPr>
    </w:p>
    <w:p w14:paraId="7B49C4B3" w14:textId="77777777" w:rsidR="00331D80" w:rsidRPr="008A111D" w:rsidRDefault="00331D80" w:rsidP="008A111D">
      <w:pPr>
        <w:spacing w:before="120" w:after="120" w:line="360" w:lineRule="auto"/>
        <w:jc w:val="both"/>
        <w:rPr>
          <w:rFonts w:ascii="Arial" w:eastAsia="Times New Roman" w:hAnsi="Arial" w:cs="Arial"/>
        </w:rPr>
      </w:pPr>
    </w:p>
    <w:sectPr w:rsidR="00331D80" w:rsidRPr="008A111D" w:rsidSect="00B44611">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20EC1" w14:textId="77777777" w:rsidR="003A3298" w:rsidRDefault="003A3298" w:rsidP="008A111D">
      <w:pPr>
        <w:spacing w:after="0" w:line="240" w:lineRule="auto"/>
      </w:pPr>
      <w:r>
        <w:separator/>
      </w:r>
    </w:p>
  </w:endnote>
  <w:endnote w:type="continuationSeparator" w:id="0">
    <w:p w14:paraId="20C3DDA8" w14:textId="77777777" w:rsidR="003A3298" w:rsidRDefault="003A3298" w:rsidP="008A1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724855"/>
      <w:docPartObj>
        <w:docPartGallery w:val="Page Numbers (Bottom of Page)"/>
        <w:docPartUnique/>
      </w:docPartObj>
    </w:sdtPr>
    <w:sdtEndPr>
      <w:rPr>
        <w:noProof/>
      </w:rPr>
    </w:sdtEndPr>
    <w:sdtContent>
      <w:p w14:paraId="512A4064" w14:textId="44A79B88" w:rsidR="008A111D" w:rsidRDefault="008A11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BB2467" w14:textId="77777777" w:rsidR="008A111D" w:rsidRDefault="008A1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A5DF7" w14:textId="77777777" w:rsidR="003A3298" w:rsidRDefault="003A3298" w:rsidP="008A111D">
      <w:pPr>
        <w:spacing w:after="0" w:line="240" w:lineRule="auto"/>
      </w:pPr>
      <w:r>
        <w:separator/>
      </w:r>
    </w:p>
  </w:footnote>
  <w:footnote w:type="continuationSeparator" w:id="0">
    <w:p w14:paraId="1496E6AE" w14:textId="77777777" w:rsidR="003A3298" w:rsidRDefault="003A3298" w:rsidP="008A1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17136"/>
    <w:multiLevelType w:val="hybridMultilevel"/>
    <w:tmpl w:val="DF10F6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3D7064"/>
    <w:multiLevelType w:val="hybridMultilevel"/>
    <w:tmpl w:val="D464A9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1956850">
    <w:abstractNumId w:val="0"/>
  </w:num>
  <w:num w:numId="2" w16cid:durableId="1663461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D3C"/>
    <w:rsid w:val="0030702D"/>
    <w:rsid w:val="00331D80"/>
    <w:rsid w:val="003A3298"/>
    <w:rsid w:val="00440524"/>
    <w:rsid w:val="006D71C6"/>
    <w:rsid w:val="007C44D0"/>
    <w:rsid w:val="008A111D"/>
    <w:rsid w:val="008B7B5E"/>
    <w:rsid w:val="008D5E78"/>
    <w:rsid w:val="00A347C8"/>
    <w:rsid w:val="00B44611"/>
    <w:rsid w:val="00CC4D3C"/>
    <w:rsid w:val="00D63E4C"/>
    <w:rsid w:val="00DA296C"/>
    <w:rsid w:val="00EF1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B096A"/>
  <w15:chartTrackingRefBased/>
  <w15:docId w15:val="{6172BC90-5833-4AAC-8C56-6EA37422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3E4C"/>
    <w:pPr>
      <w:spacing w:before="100" w:beforeAutospacing="1" w:after="100" w:afterAutospacing="1" w:line="240" w:lineRule="auto"/>
      <w:outlineLvl w:val="0"/>
    </w:pPr>
    <w:rPr>
      <w:rFonts w:ascii="Arial" w:eastAsia="Times New Roman" w:hAnsi="Arial" w:cs="Times New Roman"/>
      <w:b/>
      <w:bCs/>
      <w:color w:val="000000" w:themeColor="text1"/>
      <w:kern w:val="36"/>
      <w:sz w:val="32"/>
      <w:szCs w:val="48"/>
    </w:rPr>
  </w:style>
  <w:style w:type="paragraph" w:styleId="Heading2">
    <w:name w:val="heading 2"/>
    <w:basedOn w:val="Normal"/>
    <w:link w:val="Heading2Char"/>
    <w:uiPriority w:val="9"/>
    <w:qFormat/>
    <w:rsid w:val="00B4461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E4C"/>
    <w:rPr>
      <w:rFonts w:ascii="Arial" w:eastAsia="Times New Roman" w:hAnsi="Arial" w:cs="Times New Roman"/>
      <w:b/>
      <w:bCs/>
      <w:color w:val="000000" w:themeColor="text1"/>
      <w:kern w:val="36"/>
      <w:sz w:val="32"/>
      <w:szCs w:val="48"/>
    </w:rPr>
  </w:style>
  <w:style w:type="character" w:customStyle="1" w:styleId="Heading2Char">
    <w:name w:val="Heading 2 Char"/>
    <w:basedOn w:val="DefaultParagraphFont"/>
    <w:link w:val="Heading2"/>
    <w:uiPriority w:val="9"/>
    <w:rsid w:val="00B44611"/>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4461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8D5E78"/>
  </w:style>
  <w:style w:type="character" w:styleId="Emphasis">
    <w:name w:val="Emphasis"/>
    <w:basedOn w:val="DefaultParagraphFont"/>
    <w:uiPriority w:val="20"/>
    <w:qFormat/>
    <w:rsid w:val="00331D80"/>
    <w:rPr>
      <w:i/>
      <w:iCs/>
    </w:rPr>
  </w:style>
  <w:style w:type="character" w:styleId="Hyperlink">
    <w:name w:val="Hyperlink"/>
    <w:basedOn w:val="DefaultParagraphFont"/>
    <w:uiPriority w:val="99"/>
    <w:unhideWhenUsed/>
    <w:rsid w:val="00331D80"/>
    <w:rPr>
      <w:color w:val="0000FF"/>
      <w:u w:val="single"/>
    </w:rPr>
  </w:style>
  <w:style w:type="paragraph" w:styleId="ListParagraph">
    <w:name w:val="List Paragraph"/>
    <w:basedOn w:val="Normal"/>
    <w:uiPriority w:val="34"/>
    <w:qFormat/>
    <w:rsid w:val="00331D80"/>
    <w:pPr>
      <w:ind w:left="720"/>
      <w:contextualSpacing/>
    </w:pPr>
  </w:style>
  <w:style w:type="paragraph" w:customStyle="1" w:styleId="pdq2pgselectionanchorcontainer">
    <w:name w:val="pdq2pg_selectionanchorcontainer"/>
    <w:basedOn w:val="Normal"/>
    <w:rsid w:val="00331D8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A111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8A111D"/>
    <w:pPr>
      <w:spacing w:after="100"/>
    </w:pPr>
  </w:style>
  <w:style w:type="paragraph" w:styleId="Header">
    <w:name w:val="header"/>
    <w:basedOn w:val="Normal"/>
    <w:link w:val="HeaderChar"/>
    <w:uiPriority w:val="99"/>
    <w:unhideWhenUsed/>
    <w:rsid w:val="008A1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11D"/>
  </w:style>
  <w:style w:type="paragraph" w:styleId="Footer">
    <w:name w:val="footer"/>
    <w:basedOn w:val="Normal"/>
    <w:link w:val="FooterChar"/>
    <w:uiPriority w:val="99"/>
    <w:unhideWhenUsed/>
    <w:rsid w:val="008A11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041313">
      <w:bodyDiv w:val="1"/>
      <w:marLeft w:val="0"/>
      <w:marRight w:val="0"/>
      <w:marTop w:val="0"/>
      <w:marBottom w:val="0"/>
      <w:divBdr>
        <w:top w:val="none" w:sz="0" w:space="0" w:color="auto"/>
        <w:left w:val="none" w:sz="0" w:space="0" w:color="auto"/>
        <w:bottom w:val="none" w:sz="0" w:space="0" w:color="auto"/>
        <w:right w:val="none" w:sz="0" w:space="0" w:color="auto"/>
      </w:divBdr>
      <w:divsChild>
        <w:div w:id="1055012428">
          <w:marLeft w:val="-720"/>
          <w:marRight w:val="0"/>
          <w:marTop w:val="0"/>
          <w:marBottom w:val="0"/>
          <w:divBdr>
            <w:top w:val="none" w:sz="0" w:space="0" w:color="auto"/>
            <w:left w:val="none" w:sz="0" w:space="0" w:color="auto"/>
            <w:bottom w:val="none" w:sz="0" w:space="0" w:color="auto"/>
            <w:right w:val="none" w:sz="0" w:space="0" w:color="auto"/>
          </w:divBdr>
        </w:div>
      </w:divsChild>
    </w:div>
    <w:div w:id="619801926">
      <w:bodyDiv w:val="1"/>
      <w:marLeft w:val="0"/>
      <w:marRight w:val="0"/>
      <w:marTop w:val="0"/>
      <w:marBottom w:val="0"/>
      <w:divBdr>
        <w:top w:val="none" w:sz="0" w:space="0" w:color="auto"/>
        <w:left w:val="none" w:sz="0" w:space="0" w:color="auto"/>
        <w:bottom w:val="none" w:sz="0" w:space="0" w:color="auto"/>
        <w:right w:val="none" w:sz="0" w:space="0" w:color="auto"/>
      </w:divBdr>
    </w:div>
    <w:div w:id="624194706">
      <w:bodyDiv w:val="1"/>
      <w:marLeft w:val="0"/>
      <w:marRight w:val="0"/>
      <w:marTop w:val="0"/>
      <w:marBottom w:val="0"/>
      <w:divBdr>
        <w:top w:val="none" w:sz="0" w:space="0" w:color="auto"/>
        <w:left w:val="none" w:sz="0" w:space="0" w:color="auto"/>
        <w:bottom w:val="none" w:sz="0" w:space="0" w:color="auto"/>
        <w:right w:val="none" w:sz="0" w:space="0" w:color="auto"/>
      </w:divBdr>
    </w:div>
    <w:div w:id="695355322">
      <w:bodyDiv w:val="1"/>
      <w:marLeft w:val="0"/>
      <w:marRight w:val="0"/>
      <w:marTop w:val="0"/>
      <w:marBottom w:val="0"/>
      <w:divBdr>
        <w:top w:val="none" w:sz="0" w:space="0" w:color="auto"/>
        <w:left w:val="none" w:sz="0" w:space="0" w:color="auto"/>
        <w:bottom w:val="none" w:sz="0" w:space="0" w:color="auto"/>
        <w:right w:val="none" w:sz="0" w:space="0" w:color="auto"/>
      </w:divBdr>
    </w:div>
    <w:div w:id="703821954">
      <w:bodyDiv w:val="1"/>
      <w:marLeft w:val="0"/>
      <w:marRight w:val="0"/>
      <w:marTop w:val="0"/>
      <w:marBottom w:val="0"/>
      <w:divBdr>
        <w:top w:val="none" w:sz="0" w:space="0" w:color="auto"/>
        <w:left w:val="none" w:sz="0" w:space="0" w:color="auto"/>
        <w:bottom w:val="none" w:sz="0" w:space="0" w:color="auto"/>
        <w:right w:val="none" w:sz="0" w:space="0" w:color="auto"/>
      </w:divBdr>
    </w:div>
    <w:div w:id="1035615067">
      <w:bodyDiv w:val="1"/>
      <w:marLeft w:val="0"/>
      <w:marRight w:val="0"/>
      <w:marTop w:val="0"/>
      <w:marBottom w:val="0"/>
      <w:divBdr>
        <w:top w:val="none" w:sz="0" w:space="0" w:color="auto"/>
        <w:left w:val="none" w:sz="0" w:space="0" w:color="auto"/>
        <w:bottom w:val="none" w:sz="0" w:space="0" w:color="auto"/>
        <w:right w:val="none" w:sz="0" w:space="0" w:color="auto"/>
      </w:divBdr>
      <w:divsChild>
        <w:div w:id="1982299183">
          <w:marLeft w:val="-720"/>
          <w:marRight w:val="0"/>
          <w:marTop w:val="0"/>
          <w:marBottom w:val="0"/>
          <w:divBdr>
            <w:top w:val="none" w:sz="0" w:space="0" w:color="auto"/>
            <w:left w:val="none" w:sz="0" w:space="0" w:color="auto"/>
            <w:bottom w:val="none" w:sz="0" w:space="0" w:color="auto"/>
            <w:right w:val="none" w:sz="0" w:space="0" w:color="auto"/>
          </w:divBdr>
        </w:div>
      </w:divsChild>
    </w:div>
    <w:div w:id="1359237999">
      <w:bodyDiv w:val="1"/>
      <w:marLeft w:val="0"/>
      <w:marRight w:val="0"/>
      <w:marTop w:val="0"/>
      <w:marBottom w:val="0"/>
      <w:divBdr>
        <w:top w:val="none" w:sz="0" w:space="0" w:color="auto"/>
        <w:left w:val="none" w:sz="0" w:space="0" w:color="auto"/>
        <w:bottom w:val="none" w:sz="0" w:space="0" w:color="auto"/>
        <w:right w:val="none" w:sz="0" w:space="0" w:color="auto"/>
      </w:divBdr>
    </w:div>
    <w:div w:id="1428771801">
      <w:bodyDiv w:val="1"/>
      <w:marLeft w:val="0"/>
      <w:marRight w:val="0"/>
      <w:marTop w:val="0"/>
      <w:marBottom w:val="0"/>
      <w:divBdr>
        <w:top w:val="none" w:sz="0" w:space="0" w:color="auto"/>
        <w:left w:val="none" w:sz="0" w:space="0" w:color="auto"/>
        <w:bottom w:val="none" w:sz="0" w:space="0" w:color="auto"/>
        <w:right w:val="none" w:sz="0" w:space="0" w:color="auto"/>
      </w:divBdr>
    </w:div>
    <w:div w:id="1458572134">
      <w:bodyDiv w:val="1"/>
      <w:marLeft w:val="0"/>
      <w:marRight w:val="0"/>
      <w:marTop w:val="0"/>
      <w:marBottom w:val="0"/>
      <w:divBdr>
        <w:top w:val="none" w:sz="0" w:space="0" w:color="auto"/>
        <w:left w:val="none" w:sz="0" w:space="0" w:color="auto"/>
        <w:bottom w:val="none" w:sz="0" w:space="0" w:color="auto"/>
        <w:right w:val="none" w:sz="0" w:space="0" w:color="auto"/>
      </w:divBdr>
    </w:div>
    <w:div w:id="1514831767">
      <w:bodyDiv w:val="1"/>
      <w:marLeft w:val="0"/>
      <w:marRight w:val="0"/>
      <w:marTop w:val="0"/>
      <w:marBottom w:val="0"/>
      <w:divBdr>
        <w:top w:val="none" w:sz="0" w:space="0" w:color="auto"/>
        <w:left w:val="none" w:sz="0" w:space="0" w:color="auto"/>
        <w:bottom w:val="none" w:sz="0" w:space="0" w:color="auto"/>
        <w:right w:val="none" w:sz="0" w:space="0" w:color="auto"/>
      </w:divBdr>
    </w:div>
    <w:div w:id="1726299411">
      <w:bodyDiv w:val="1"/>
      <w:marLeft w:val="0"/>
      <w:marRight w:val="0"/>
      <w:marTop w:val="0"/>
      <w:marBottom w:val="0"/>
      <w:divBdr>
        <w:top w:val="none" w:sz="0" w:space="0" w:color="auto"/>
        <w:left w:val="none" w:sz="0" w:space="0" w:color="auto"/>
        <w:bottom w:val="none" w:sz="0" w:space="0" w:color="auto"/>
        <w:right w:val="none" w:sz="0" w:space="0" w:color="auto"/>
      </w:divBdr>
    </w:div>
    <w:div w:id="1933969413">
      <w:bodyDiv w:val="1"/>
      <w:marLeft w:val="0"/>
      <w:marRight w:val="0"/>
      <w:marTop w:val="0"/>
      <w:marBottom w:val="0"/>
      <w:divBdr>
        <w:top w:val="none" w:sz="0" w:space="0" w:color="auto"/>
        <w:left w:val="none" w:sz="0" w:space="0" w:color="auto"/>
        <w:bottom w:val="none" w:sz="0" w:space="0" w:color="auto"/>
        <w:right w:val="none" w:sz="0" w:space="0" w:color="auto"/>
      </w:divBdr>
    </w:div>
    <w:div w:id="208656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9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5/9/conte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2018/12/contents/enacted" TargetMode="External"/><Relationship Id="rId4" Type="http://schemas.openxmlformats.org/officeDocument/2006/relationships/settings" Target="settings.xml"/><Relationship Id="rId9" Type="http://schemas.openxmlformats.org/officeDocument/2006/relationships/hyperlink" Target="https://www.legislation.gov.uk/ukpga/2014/23/contents/ena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94C1D-48A6-421B-A89F-D6377BCA5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1991</Words>
  <Characters>11351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Mahadi</dc:creator>
  <cp:keywords/>
  <dc:description/>
  <cp:lastModifiedBy>Hasan Mahadi</cp:lastModifiedBy>
  <cp:revision>2</cp:revision>
  <dcterms:created xsi:type="dcterms:W3CDTF">2026-08-10T11:32:00Z</dcterms:created>
  <dcterms:modified xsi:type="dcterms:W3CDTF">2026-08-10T11:32:00Z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ce5189eb-78df-4e75-868f-10c063936a6f</vt:lpwstr>
  </property>
</Properties>
</file>