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117827965"/>
        <w:docPartObj>
          <w:docPartGallery w:val="Cover Pages"/>
          <w:docPartUnique/>
        </w:docPartObj>
      </w:sdtPr>
      <w:sdtEndPr>
        <w:rPr>
          <w:rFonts w:ascii="Arial" w:hAnsi="Arial" w:cs="Arial"/>
          <w:color w:val="auto"/>
        </w:rPr>
      </w:sdtEndPr>
      <w:sdtContent>
        <w:p w14:paraId="5B10FBB5" w14:textId="66762D2E" w:rsidR="00D5504E" w:rsidRDefault="00D5504E">
          <w:pPr>
            <w:pStyle w:val="NoSpacing"/>
            <w:spacing w:before="1540" w:after="240"/>
            <w:jc w:val="center"/>
            <w:rPr>
              <w:color w:val="156082" w:themeColor="accent1"/>
            </w:rPr>
          </w:pPr>
          <w:r>
            <w:rPr>
              <w:noProof/>
              <w:color w:val="156082" w:themeColor="accent1"/>
            </w:rPr>
            <w:drawing>
              <wp:inline distT="0" distB="0" distL="0" distR="0" wp14:anchorId="2EF79878" wp14:editId="6BA105B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744724EC8D8E4B44BD24F325E4F702B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59540F2" w14:textId="5361D057" w:rsidR="00D5504E" w:rsidRDefault="00D5504E" w:rsidP="00D5504E">
              <w:pPr>
                <w:pStyle w:val="NoSpacing"/>
                <w:pBdr>
                  <w:top w:val="single" w:sz="6" w:space="6" w:color="156082" w:themeColor="accent1"/>
                  <w:bottom w:val="single" w:sz="6" w:space="6" w:color="156082" w:themeColor="accent1"/>
                </w:pBdr>
                <w:spacing w:after="240"/>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Psycholigical theori</w:t>
              </w:r>
              <w:r w:rsidR="00E62AA0">
                <w:rPr>
                  <w:rFonts w:asciiTheme="majorHAnsi" w:eastAsiaTheme="majorEastAsia" w:hAnsiTheme="majorHAnsi" w:cstheme="majorBidi"/>
                  <w:caps/>
                  <w:color w:val="156082" w:themeColor="accent1"/>
                  <w:sz w:val="72"/>
                  <w:szCs w:val="72"/>
                </w:rPr>
                <w:t>es</w:t>
              </w:r>
              <w:r>
                <w:rPr>
                  <w:rFonts w:asciiTheme="majorHAnsi" w:eastAsiaTheme="majorEastAsia" w:hAnsiTheme="majorHAnsi" w:cstheme="majorBidi"/>
                  <w:caps/>
                  <w:color w:val="156082" w:themeColor="accent1"/>
                  <w:sz w:val="72"/>
                  <w:szCs w:val="72"/>
                </w:rPr>
                <w:t xml:space="preserve"> of adult development and wellbing</w:t>
              </w:r>
            </w:p>
          </w:sdtContent>
        </w:sdt>
        <w:sdt>
          <w:sdtPr>
            <w:rPr>
              <w:color w:val="156082" w:themeColor="accent1"/>
              <w:sz w:val="28"/>
              <w:szCs w:val="28"/>
            </w:rPr>
            <w:alias w:val="Subtitle"/>
            <w:tag w:val=""/>
            <w:id w:val="328029620"/>
            <w:placeholder>
              <w:docPart w:val="5BD4B6D1310949B68C5A09C8BE83EA87"/>
            </w:placeholder>
            <w:dataBinding w:prefixMappings="xmlns:ns0='http://purl.org/dc/elements/1.1/' xmlns:ns1='http://schemas.openxmlformats.org/package/2006/metadata/core-properties' " w:xpath="/ns1:coreProperties[1]/ns0:subject[1]" w:storeItemID="{6C3C8BC8-F283-45AE-878A-BAB7291924A1}"/>
            <w:text/>
          </w:sdtPr>
          <w:sdtContent>
            <w:p w14:paraId="39E956DC" w14:textId="48D97FE0" w:rsidR="00D5504E" w:rsidRDefault="00D5504E">
              <w:pPr>
                <w:pStyle w:val="NoSpacing"/>
                <w:jc w:val="center"/>
                <w:rPr>
                  <w:color w:val="156082" w:themeColor="accent1"/>
                  <w:sz w:val="28"/>
                  <w:szCs w:val="28"/>
                </w:rPr>
              </w:pPr>
              <w:r>
                <w:rPr>
                  <w:color w:val="156082" w:themeColor="accent1"/>
                  <w:sz w:val="28"/>
                  <w:szCs w:val="28"/>
                </w:rPr>
                <w:t>Patricia Parkes</w:t>
              </w:r>
            </w:p>
          </w:sdtContent>
        </w:sdt>
        <w:p w14:paraId="47B612AF" w14:textId="7FD31484" w:rsidR="00D5504E" w:rsidRDefault="00D5504E">
          <w:pPr>
            <w:pStyle w:val="NoSpacing"/>
            <w:spacing w:before="480"/>
            <w:jc w:val="center"/>
            <w:rPr>
              <w:color w:val="156082" w:themeColor="accent1"/>
            </w:rPr>
          </w:pPr>
          <w:r>
            <w:rPr>
              <w:noProof/>
              <w:color w:val="156082" w:themeColor="accent1"/>
            </w:rPr>
            <w:drawing>
              <wp:inline distT="0" distB="0" distL="0" distR="0" wp14:anchorId="359CD1C1" wp14:editId="76D463BC">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1E30D42" w14:textId="5FC70B68" w:rsidR="00D5504E" w:rsidRDefault="00E62AA0">
          <w:pPr>
            <w:rPr>
              <w:rFonts w:ascii="Arial" w:hAnsi="Arial" w:cs="Arial"/>
              <w:sz w:val="22"/>
              <w:szCs w:val="22"/>
            </w:rPr>
          </w:pPr>
          <w:r>
            <w:rPr>
              <w:noProof/>
              <w:color w:val="156082" w:themeColor="accent1"/>
            </w:rPr>
            <mc:AlternateContent>
              <mc:Choice Requires="wps">
                <w:drawing>
                  <wp:anchor distT="0" distB="0" distL="114300" distR="114300" simplePos="0" relativeHeight="251659264" behindDoc="0" locked="0" layoutInCell="1" allowOverlap="1" wp14:anchorId="1B651A52" wp14:editId="720D6D92">
                    <wp:simplePos x="0" y="0"/>
                    <wp:positionH relativeFrom="margin">
                      <wp:align>right</wp:align>
                    </wp:positionH>
                    <wp:positionV relativeFrom="page">
                      <wp:posOffset>8788400</wp:posOffset>
                    </wp:positionV>
                    <wp:extent cx="6553200" cy="888365"/>
                    <wp:effectExtent l="0" t="0" r="2540" b="6985"/>
                    <wp:wrapNone/>
                    <wp:docPr id="142" name="Text Box 146"/>
                    <wp:cNvGraphicFramePr/>
                    <a:graphic xmlns:a="http://schemas.openxmlformats.org/drawingml/2006/main">
                      <a:graphicData uri="http://schemas.microsoft.com/office/word/2010/wordprocessingShape">
                        <wps:wsp>
                          <wps:cNvSpPr txBox="1"/>
                          <wps:spPr>
                            <a:xfrm>
                              <a:off x="0" y="0"/>
                              <a:ext cx="6553200" cy="888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Content>
                                  <w:p w14:paraId="1E80674F" w14:textId="779C7CC9" w:rsidR="00D5504E" w:rsidRDefault="00E62AA0">
                                    <w:pPr>
                                      <w:pStyle w:val="NoSpacing"/>
                                      <w:spacing w:after="40"/>
                                      <w:jc w:val="center"/>
                                      <w:rPr>
                                        <w:caps/>
                                        <w:color w:val="156082" w:themeColor="accent1"/>
                                        <w:sz w:val="28"/>
                                        <w:szCs w:val="28"/>
                                      </w:rPr>
                                    </w:pPr>
                                    <w:r>
                                      <w:rPr>
                                        <w:caps/>
                                        <w:color w:val="156082" w:themeColor="accent1"/>
                                        <w:sz w:val="28"/>
                                        <w:szCs w:val="28"/>
                                      </w:rPr>
                                      <w:t>lectuer: helen PARSONS</w:t>
                                    </w:r>
                                  </w:p>
                                </w:sdtContent>
                              </w:sdt>
                              <w:p w14:paraId="3F07FC5E" w14:textId="496C2D65" w:rsidR="00D5504E" w:rsidRDefault="00000000">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62AA0">
                                      <w:rPr>
                                        <w:caps/>
                                        <w:color w:val="156082" w:themeColor="accent1"/>
                                      </w:rPr>
                                      <w:t>Module code: lchs4010</w:t>
                                    </w:r>
                                  </w:sdtContent>
                                </w:sdt>
                              </w:p>
                              <w:p w14:paraId="3069849B" w14:textId="74BE56D5" w:rsidR="00D5504E" w:rsidRDefault="00000000">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62AA0">
                                      <w:rPr>
                                        <w:color w:val="156082" w:themeColor="accent1"/>
                                      </w:rPr>
                                      <w:t>Student number</w:t>
                                    </w:r>
                                  </w:sdtContent>
                                </w:sdt>
                                <w:r w:rsidR="00E62AA0">
                                  <w:rPr>
                                    <w:color w:val="156082" w:themeColor="accent1"/>
                                  </w:rPr>
                                  <w:t xml:space="preserve">: </w:t>
                                </w:r>
                                <w:r w:rsidR="003C5E83">
                                  <w:rPr>
                                    <w:color w:val="156082" w:themeColor="accent1"/>
                                  </w:rPr>
                                  <w:t>2435756</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1B651A52" id="_x0000_t202" coordsize="21600,21600" o:spt="202" path="m,l,21600r21600,l21600,xe">
                    <v:stroke joinstyle="miter"/>
                    <v:path gradientshapeok="t" o:connecttype="rect"/>
                  </v:shapetype>
                  <v:shape id="Text Box 146" o:spid="_x0000_s1026" type="#_x0000_t202" style="position:absolute;margin-left:464.8pt;margin-top:692pt;width:516pt;height:69.95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" filled="f" stroked="f" strokeweight=".5pt">
                    <v:textbox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1E80674F" w14:textId="779C7CC9" w:rsidR="00D5504E" w:rsidRDefault="00E62AA0">
                              <w:pPr>
                                <w:pStyle w:val="NoSpacing"/>
                                <w:spacing w:after="40"/>
                                <w:jc w:val="center"/>
                                <w:rPr>
                                  <w:caps/>
                                  <w:color w:val="156082" w:themeColor="accent1"/>
                                  <w:sz w:val="28"/>
                                  <w:szCs w:val="28"/>
                                </w:rPr>
                              </w:pPr>
                              <w:r>
                                <w:rPr>
                                  <w:caps/>
                                  <w:color w:val="156082" w:themeColor="accent1"/>
                                  <w:sz w:val="28"/>
                                  <w:szCs w:val="28"/>
                                </w:rPr>
                                <w:t>lectuer: helen PARSONS</w:t>
                              </w:r>
                            </w:p>
                          </w:sdtContent>
                        </w:sdt>
                        <w:p w14:paraId="3F07FC5E" w14:textId="496C2D65" w:rsidR="00D5504E" w:rsidRDefault="003F4801">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E62AA0">
                                <w:rPr>
                                  <w:caps/>
                                  <w:color w:val="156082" w:themeColor="accent1"/>
                                </w:rPr>
                                <w:t>Module code: lchs4010</w:t>
                              </w:r>
                            </w:sdtContent>
                          </w:sdt>
                        </w:p>
                        <w:p w14:paraId="3069849B" w14:textId="74BE56D5" w:rsidR="00D5504E" w:rsidRDefault="003F4801">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E62AA0">
                                <w:rPr>
                                  <w:color w:val="156082" w:themeColor="accent1"/>
                                </w:rPr>
                                <w:t>Student number</w:t>
                              </w:r>
                            </w:sdtContent>
                          </w:sdt>
                          <w:r w:rsidR="00E62AA0">
                            <w:rPr>
                              <w:color w:val="156082" w:themeColor="accent1"/>
                            </w:rPr>
                            <w:t xml:space="preserve">: </w:t>
                          </w:r>
                          <w:r w:rsidR="003C5E83">
                            <w:rPr>
                              <w:color w:val="156082" w:themeColor="accent1"/>
                            </w:rPr>
                            <w:t>2435756</w:t>
                          </w:r>
                        </w:p>
                      </w:txbxContent>
                    </v:textbox>
                    <w10:wrap anchorx="margin" anchory="page"/>
                  </v:shape>
                </w:pict>
              </mc:Fallback>
            </mc:AlternateContent>
          </w:r>
          <w:r w:rsidR="00D5504E">
            <w:rPr>
              <w:rFonts w:ascii="Arial" w:hAnsi="Arial" w:cs="Arial"/>
              <w:sz w:val="22"/>
              <w:szCs w:val="22"/>
            </w:rPr>
            <w:br w:type="page"/>
          </w:r>
        </w:p>
      </w:sdtContent>
    </w:sdt>
    <w:p w14:paraId="1A63B811" w14:textId="2D06AC02" w:rsidR="0050120E" w:rsidRDefault="00B43559" w:rsidP="0050120E">
      <w:pPr>
        <w:spacing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u w:val="single"/>
          <w:lang w:eastAsia="en-GB"/>
          <w14:ligatures w14:val="none"/>
        </w:rPr>
        <w:lastRenderedPageBreak/>
        <w:t xml:space="preserve">Part A </w:t>
      </w:r>
      <w:r w:rsidR="00754D74">
        <w:rPr>
          <w:rFonts w:ascii="Arial" w:eastAsia="Times New Roman" w:hAnsi="Arial" w:cs="Arial"/>
          <w:kern w:val="0"/>
          <w:sz w:val="22"/>
          <w:szCs w:val="22"/>
          <w:u w:val="single"/>
          <w:lang w:eastAsia="en-GB"/>
          <w14:ligatures w14:val="none"/>
        </w:rPr>
        <w:t>overview</w:t>
      </w:r>
      <w:r w:rsidR="0050120E" w:rsidRPr="0050120E">
        <w:rPr>
          <w:rFonts w:ascii="Arial" w:eastAsia="Times New Roman" w:hAnsi="Arial" w:cs="Arial"/>
          <w:kern w:val="0"/>
          <w:sz w:val="22"/>
          <w:szCs w:val="22"/>
          <w:u w:val="single"/>
          <w:lang w:eastAsia="en-GB"/>
          <w14:ligatures w14:val="none"/>
        </w:rPr>
        <w:br/>
      </w:r>
      <w:r w:rsidR="0050120E" w:rsidRPr="0050120E">
        <w:rPr>
          <w:rFonts w:ascii="Arial" w:eastAsia="Times New Roman" w:hAnsi="Arial" w:cs="Arial"/>
          <w:kern w:val="0"/>
          <w:sz w:val="22"/>
          <w:szCs w:val="22"/>
          <w:lang w:eastAsia="en-GB"/>
          <w14:ligatures w14:val="none"/>
        </w:rPr>
        <w:t xml:space="preserve">Professionals in the health and social care sectors need to understand how people develop psychologically as they age. The emotional, social, and psychological development of older individuals over the course of their lives is explained by a range of psychological theories. These theories support </w:t>
      </w:r>
      <w:r w:rsidR="0050120E">
        <w:rPr>
          <w:rFonts w:ascii="Arial" w:eastAsia="Times New Roman" w:hAnsi="Arial" w:cs="Arial"/>
          <w:kern w:val="0"/>
          <w:sz w:val="22"/>
          <w:szCs w:val="22"/>
          <w:lang w:eastAsia="en-GB"/>
          <w14:ligatures w14:val="none"/>
        </w:rPr>
        <w:t xml:space="preserve">health </w:t>
      </w:r>
      <w:r w:rsidR="0050120E" w:rsidRPr="0050120E">
        <w:rPr>
          <w:rFonts w:ascii="Arial" w:eastAsia="Times New Roman" w:hAnsi="Arial" w:cs="Arial"/>
          <w:kern w:val="0"/>
          <w:sz w:val="22"/>
          <w:szCs w:val="22"/>
          <w:lang w:eastAsia="en-GB"/>
          <w14:ligatures w14:val="none"/>
        </w:rPr>
        <w:t xml:space="preserve">professionals in understanding the requirements of senior citizens and promoting their well-being. </w:t>
      </w:r>
    </w:p>
    <w:p w14:paraId="3CD3DFC6" w14:textId="4E09BC80" w:rsidR="00DF2E6E" w:rsidRPr="00DF2E6E" w:rsidRDefault="00DF2E6E" w:rsidP="0050120E">
      <w:pPr>
        <w:spacing w:line="360" w:lineRule="auto"/>
        <w:rPr>
          <w:rFonts w:ascii="Arial" w:eastAsia="Times New Roman" w:hAnsi="Arial" w:cs="Arial"/>
          <w:b/>
          <w:bCs/>
          <w:kern w:val="0"/>
          <w:sz w:val="22"/>
          <w:szCs w:val="22"/>
          <w:u w:val="single"/>
          <w:lang w:eastAsia="en-GB"/>
          <w14:ligatures w14:val="none"/>
        </w:rPr>
      </w:pPr>
      <w:r w:rsidRPr="00DF2E6E">
        <w:rPr>
          <w:rFonts w:ascii="Arial" w:eastAsia="Times New Roman" w:hAnsi="Arial" w:cs="Arial"/>
          <w:b/>
          <w:bCs/>
          <w:kern w:val="0"/>
          <w:sz w:val="22"/>
          <w:szCs w:val="22"/>
          <w:u w:val="single"/>
          <w:lang w:eastAsia="en-GB"/>
          <w14:ligatures w14:val="none"/>
        </w:rPr>
        <w:t>Bibliography</w:t>
      </w:r>
    </w:p>
    <w:p w14:paraId="31994071" w14:textId="77777777" w:rsidR="00CF0B02" w:rsidRDefault="00FD7531" w:rsidP="0050120E">
      <w:pPr>
        <w:spacing w:line="360" w:lineRule="auto"/>
        <w:rPr>
          <w:rFonts w:ascii="Arial" w:eastAsia="Times New Roman" w:hAnsi="Arial" w:cs="Arial"/>
          <w:b/>
          <w:bCs/>
          <w:kern w:val="0"/>
          <w:sz w:val="22"/>
          <w:szCs w:val="22"/>
          <w:u w:val="single"/>
          <w:lang w:eastAsia="en-GB"/>
          <w14:ligatures w14:val="none"/>
        </w:rPr>
      </w:pPr>
      <w:r w:rsidRPr="00CF0B02">
        <w:rPr>
          <w:rFonts w:ascii="Arial" w:eastAsia="Times New Roman" w:hAnsi="Arial" w:cs="Arial"/>
          <w:b/>
          <w:bCs/>
          <w:kern w:val="0"/>
          <w:sz w:val="22"/>
          <w:szCs w:val="22"/>
          <w:u w:val="single"/>
          <w:lang w:eastAsia="en-GB"/>
          <w14:ligatures w14:val="none"/>
        </w:rPr>
        <w:t>Erickson’s Psychosocial Development Theory.</w:t>
      </w:r>
    </w:p>
    <w:p w14:paraId="5164D5CC" w14:textId="4FBB664E" w:rsidR="00FA19CF" w:rsidRPr="00635CC8" w:rsidRDefault="00FD7531" w:rsidP="00635CC8">
      <w:pPr>
        <w:spacing w:line="360" w:lineRule="auto"/>
        <w:rPr>
          <w:rFonts w:ascii="Arial" w:eastAsia="Times New Roman" w:hAnsi="Arial" w:cs="Arial"/>
          <w:b/>
          <w:bCs/>
          <w:kern w:val="0"/>
          <w:sz w:val="22"/>
          <w:szCs w:val="22"/>
          <w:u w:val="single"/>
          <w:lang w:eastAsia="en-GB"/>
          <w14:ligatures w14:val="none"/>
        </w:rPr>
      </w:pPr>
      <w:r w:rsidRPr="00FD7531">
        <w:rPr>
          <w:rStyle w:val="bzpyqfadein"/>
          <w:rFonts w:ascii="Arial" w:hAnsi="Arial" w:cs="Arial"/>
          <w:sz w:val="22"/>
          <w:szCs w:val="22"/>
        </w:rPr>
        <w:t xml:space="preserve">Gilleard, C., 2020. </w:t>
      </w:r>
      <w:r w:rsidRPr="00FD7531">
        <w:rPr>
          <w:rStyle w:val="bzpyqfadein"/>
          <w:rFonts w:ascii="Arial" w:hAnsi="Arial" w:cs="Arial"/>
          <w:i/>
          <w:iCs/>
          <w:sz w:val="22"/>
          <w:szCs w:val="22"/>
        </w:rPr>
        <w:t>The final stage of human development? Erikson’s view of integrity and old age</w:t>
      </w:r>
      <w:r w:rsidRPr="00FD7531">
        <w:rPr>
          <w:rStyle w:val="bzpyqfadein"/>
          <w:rFonts w:ascii="Arial" w:hAnsi="Arial" w:cs="Arial"/>
          <w:sz w:val="22"/>
          <w:szCs w:val="22"/>
        </w:rPr>
        <w:t xml:space="preserve">. </w:t>
      </w:r>
      <w:r w:rsidRPr="00FD7531">
        <w:rPr>
          <w:rStyle w:val="bzpyqfadein"/>
          <w:rFonts w:ascii="Arial" w:hAnsi="Arial" w:cs="Arial"/>
          <w:i/>
          <w:iCs/>
          <w:sz w:val="22"/>
          <w:szCs w:val="22"/>
        </w:rPr>
        <w:t>International Journal of Ageing and Later Life</w:t>
      </w:r>
      <w:r w:rsidRPr="00FD7531">
        <w:rPr>
          <w:rStyle w:val="bzpyqfadein"/>
          <w:rFonts w:ascii="Arial" w:hAnsi="Arial" w:cs="Arial"/>
          <w:sz w:val="22"/>
          <w:szCs w:val="22"/>
        </w:rPr>
        <w:t>, 14(2), pp.139–157.</w:t>
      </w:r>
      <w:r w:rsidRPr="00FD7531">
        <w:rPr>
          <w:rStyle w:val="Heading1Char"/>
          <w:rFonts w:ascii="Arial" w:hAnsi="Arial" w:cs="Arial"/>
          <w:sz w:val="22"/>
          <w:szCs w:val="22"/>
        </w:rPr>
        <w:t xml:space="preserve"> </w:t>
      </w:r>
      <w:r w:rsidRPr="00FD7531">
        <w:rPr>
          <w:rStyle w:val="bzpyqfadein"/>
          <w:rFonts w:ascii="Arial" w:hAnsi="Arial" w:cs="Arial"/>
          <w:sz w:val="22"/>
          <w:szCs w:val="22"/>
        </w:rPr>
        <w:t xml:space="preserve">Available at: </w:t>
      </w:r>
      <w:hyperlink r:id="rId9" w:tgtFrame="_new" w:history="1">
        <w:r w:rsidRPr="00FD7531">
          <w:rPr>
            <w:rStyle w:val="bzpyqfadein"/>
            <w:rFonts w:ascii="Arial" w:hAnsi="Arial" w:cs="Arial"/>
            <w:color w:val="0000FF"/>
            <w:sz w:val="22"/>
            <w:szCs w:val="22"/>
            <w:u w:val="single"/>
          </w:rPr>
          <w:t>https://ijal.se</w:t>
        </w:r>
      </w:hyperlink>
      <w:r w:rsidRPr="00FD7531">
        <w:rPr>
          <w:rStyle w:val="bzpyqfadein"/>
          <w:rFonts w:ascii="Arial" w:hAnsi="Arial" w:cs="Arial"/>
          <w:sz w:val="22"/>
          <w:szCs w:val="22"/>
        </w:rPr>
        <w:t xml:space="preserve"> (Accessed: 16 March 2026).</w:t>
      </w:r>
      <w:r w:rsidR="00E22653" w:rsidRPr="00E22653">
        <w:rPr>
          <w:rFonts w:ascii="Arial" w:eastAsia="Times New Roman" w:hAnsi="Arial" w:cs="Arial"/>
          <w:kern w:val="0"/>
          <w:sz w:val="22"/>
          <w:szCs w:val="22"/>
          <w:lang w:eastAsia="en-GB"/>
          <w14:ligatures w14:val="none"/>
        </w:rPr>
        <w:br/>
        <w:t>This article examines Erikson's last stage of psychological development, which takes place in older adulthood and is referred to as ego integrity versus despair. In later life, people look over what they have experienced previously and assess if their life has been valuable and significant, according to Erikson. Ego</w:t>
      </w:r>
      <w:r w:rsidR="00E22653">
        <w:rPr>
          <w:rFonts w:ascii="Arial" w:eastAsia="Times New Roman" w:hAnsi="Arial" w:cs="Arial"/>
          <w:kern w:val="0"/>
          <w:sz w:val="22"/>
          <w:szCs w:val="22"/>
          <w:lang w:eastAsia="en-GB"/>
          <w14:ligatures w14:val="none"/>
        </w:rPr>
        <w:t>,</w:t>
      </w:r>
      <w:r w:rsidR="00E22653" w:rsidRPr="00E22653">
        <w:rPr>
          <w:rFonts w:ascii="Arial" w:eastAsia="Times New Roman" w:hAnsi="Arial" w:cs="Arial"/>
          <w:kern w:val="0"/>
          <w:sz w:val="22"/>
          <w:szCs w:val="22"/>
          <w:lang w:eastAsia="en-GB"/>
          <w14:ligatures w14:val="none"/>
        </w:rPr>
        <w:t xml:space="preserve"> integrity and knowledge grow in older persons who are content with their accomplishments and accept the decisions they have made in life. However, people may feel hopeless and unsatisfied if they dwell on regrets or lost possibilities. The journal explores how Erikson's theory highlights the significance of identity, purpose, and introspection in later life. It also draws attention to criticisms of the theory, especially its claim that human growth occurs in an established order.</w:t>
      </w:r>
      <w:r w:rsidR="00E22653" w:rsidRPr="00E22653">
        <w:rPr>
          <w:rFonts w:ascii="Times New Roman" w:eastAsia="Times New Roman" w:hAnsi="Times New Roman" w:cs="Times New Roman"/>
          <w:kern w:val="0"/>
          <w:lang w:eastAsia="en-GB"/>
          <w14:ligatures w14:val="none"/>
        </w:rPr>
        <w:t xml:space="preserve"> </w:t>
      </w:r>
      <w:r w:rsidR="00E22653" w:rsidRPr="00E22653">
        <w:rPr>
          <w:rFonts w:ascii="Arial" w:eastAsia="Times New Roman" w:hAnsi="Arial" w:cs="Arial"/>
          <w:kern w:val="0"/>
          <w:sz w:val="22"/>
          <w:szCs w:val="22"/>
          <w:lang w:eastAsia="en-GB"/>
          <w14:ligatures w14:val="none"/>
        </w:rPr>
        <w:t>The author claims that Erikson's approach is still relevant despite these objections considering that it offers a framework for comprehending psychological wellness in old age.</w:t>
      </w:r>
      <w:r w:rsidR="00FA19CF" w:rsidRPr="00FA19CF">
        <w:rPr>
          <w:rFonts w:ascii="Arial" w:eastAsia="Times New Roman" w:hAnsi="Arial" w:cs="Arial"/>
          <w:kern w:val="0"/>
          <w:sz w:val="22"/>
          <w:szCs w:val="22"/>
          <w:u w:val="single"/>
          <w:lang w:eastAsia="en-GB"/>
          <w14:ligatures w14:val="none"/>
        </w:rPr>
        <w:t xml:space="preserve"> </w:t>
      </w:r>
      <w:r w:rsidR="00FA19CF" w:rsidRPr="00FA19CF">
        <w:rPr>
          <w:rFonts w:ascii="Arial" w:eastAsia="Times New Roman" w:hAnsi="Arial" w:cs="Arial"/>
          <w:kern w:val="0"/>
          <w:sz w:val="22"/>
          <w:szCs w:val="22"/>
          <w:u w:val="single"/>
          <w:lang w:eastAsia="en-GB"/>
          <w14:ligatures w14:val="none"/>
        </w:rPr>
        <w:br/>
      </w:r>
      <w:r w:rsidR="00FA19CF" w:rsidRPr="00FA19CF">
        <w:rPr>
          <w:rFonts w:ascii="Arial" w:eastAsia="Times New Roman" w:hAnsi="Arial" w:cs="Arial"/>
          <w:kern w:val="0"/>
          <w:sz w:val="22"/>
          <w:szCs w:val="22"/>
          <w:lang w:eastAsia="en-GB"/>
          <w14:ligatures w14:val="none"/>
        </w:rPr>
        <w:t>Because it emphasises the significance of promoting emotional wellbeing in older individuals, this source is pertinent to health and social care. Care providers can put this idea into practice by promoting activities that let people think back on happy times in their lives, like life review sessions, storytelling, and reminiscence therapy. These methods can aid in the development of a sense of belonging and purpose in older people. One drawback, though, is that Erikson's theory might not adequately account for how cultural, social, and economic disparities affect ageing. As a result, rather than supposing that everyone goes through the same developmental stage, practitioners must take a person-centred approach.</w:t>
      </w:r>
    </w:p>
    <w:p w14:paraId="7038F124" w14:textId="77777777" w:rsidR="00DF2E6E" w:rsidRDefault="00DF2E6E" w:rsidP="00FA19CF">
      <w:pPr>
        <w:spacing w:after="0" w:line="360" w:lineRule="auto"/>
        <w:rPr>
          <w:rFonts w:ascii="Arial" w:eastAsia="Times New Roman" w:hAnsi="Arial" w:cs="Arial"/>
          <w:kern w:val="0"/>
          <w:sz w:val="22"/>
          <w:szCs w:val="22"/>
          <w:lang w:eastAsia="en-GB"/>
          <w14:ligatures w14:val="none"/>
        </w:rPr>
      </w:pPr>
    </w:p>
    <w:p w14:paraId="73C45817" w14:textId="1FE56E1B" w:rsidR="00DF2E6E" w:rsidRDefault="00DF2E6E" w:rsidP="00FA19CF">
      <w:pPr>
        <w:spacing w:after="0" w:line="360" w:lineRule="auto"/>
        <w:rPr>
          <w:rFonts w:ascii="Arial" w:eastAsia="Times New Roman" w:hAnsi="Arial" w:cs="Arial"/>
          <w:b/>
          <w:bCs/>
          <w:kern w:val="0"/>
          <w:sz w:val="22"/>
          <w:szCs w:val="22"/>
          <w:u w:val="single"/>
          <w:lang w:eastAsia="en-GB"/>
          <w14:ligatures w14:val="none"/>
        </w:rPr>
      </w:pPr>
      <w:r w:rsidRPr="00CF0B02">
        <w:rPr>
          <w:rFonts w:ascii="Arial" w:eastAsia="Times New Roman" w:hAnsi="Arial" w:cs="Arial"/>
          <w:b/>
          <w:bCs/>
          <w:kern w:val="0"/>
          <w:sz w:val="22"/>
          <w:szCs w:val="22"/>
          <w:u w:val="single"/>
          <w:lang w:eastAsia="en-GB"/>
          <w14:ligatures w14:val="none"/>
        </w:rPr>
        <w:t>Generativity and purpose in later life</w:t>
      </w:r>
    </w:p>
    <w:p w14:paraId="7DBF40F0" w14:textId="4A65A6B0" w:rsidR="001C24BF" w:rsidRPr="00635CC8" w:rsidRDefault="000064C1" w:rsidP="001C24BF">
      <w:pPr>
        <w:spacing w:after="0" w:line="360" w:lineRule="auto"/>
        <w:rPr>
          <w:rStyle w:val="bzpyqfadein"/>
        </w:rPr>
      </w:pPr>
      <w:r>
        <w:rPr>
          <w:rStyle w:val="bzpyqfadein"/>
        </w:rPr>
        <w:t xml:space="preserve">Roy, M.D. and Panda, M., 2022. Is generativity Erikson’s answer to human ageing in the neoliberal world? </w:t>
      </w:r>
      <w:r>
        <w:rPr>
          <w:rStyle w:val="bzpyqfadein"/>
          <w:i/>
          <w:iCs/>
        </w:rPr>
        <w:t>Journal of Aging Studies</w:t>
      </w:r>
      <w:r>
        <w:rPr>
          <w:rStyle w:val="bzpyqfadein"/>
        </w:rPr>
        <w:t xml:space="preserve">, 61. Available at: </w:t>
      </w:r>
      <w:hyperlink r:id="rId10" w:history="1">
        <w:r w:rsidRPr="001C4B4B">
          <w:rPr>
            <w:rStyle w:val="Hyperlink"/>
          </w:rPr>
          <w:t>https://doi.org/10.1016/j.jaging.2022.101057</w:t>
        </w:r>
      </w:hyperlink>
      <w:r>
        <w:rPr>
          <w:rStyle w:val="bzpyqfadein"/>
        </w:rPr>
        <w:t xml:space="preserve"> (Accessed: 16 March 2026).</w:t>
      </w:r>
    </w:p>
    <w:p w14:paraId="664D49C7" w14:textId="1F919BBA" w:rsidR="00DF2E6E" w:rsidRPr="00635CC8" w:rsidRDefault="001C24BF" w:rsidP="001C24BF">
      <w:pPr>
        <w:spacing w:after="0" w:line="360" w:lineRule="auto"/>
        <w:rPr>
          <w:rFonts w:ascii="Arial" w:eastAsia="Times New Roman" w:hAnsi="Arial" w:cs="Arial"/>
          <w:kern w:val="0"/>
          <w:sz w:val="22"/>
          <w:szCs w:val="22"/>
          <w:lang w:eastAsia="en-GB"/>
          <w14:ligatures w14:val="none"/>
        </w:rPr>
      </w:pPr>
      <w:r w:rsidRPr="001C24BF">
        <w:rPr>
          <w:rFonts w:ascii="Arial" w:eastAsia="Times New Roman" w:hAnsi="Arial" w:cs="Arial"/>
          <w:kern w:val="0"/>
          <w:sz w:val="22"/>
          <w:szCs w:val="22"/>
          <w:lang w:eastAsia="en-GB"/>
          <w14:ligatures w14:val="none"/>
        </w:rPr>
        <w:lastRenderedPageBreak/>
        <w:t>Erikson's idea of generativity</w:t>
      </w:r>
      <w:r>
        <w:rPr>
          <w:rFonts w:ascii="Arial" w:eastAsia="Times New Roman" w:hAnsi="Arial" w:cs="Arial"/>
          <w:kern w:val="0"/>
          <w:sz w:val="22"/>
          <w:szCs w:val="22"/>
          <w:lang w:eastAsia="en-GB"/>
          <w14:ligatures w14:val="none"/>
        </w:rPr>
        <w:t xml:space="preserve"> </w:t>
      </w:r>
      <w:r w:rsidRPr="001C24BF">
        <w:rPr>
          <w:rFonts w:ascii="Arial" w:eastAsia="Times New Roman" w:hAnsi="Arial" w:cs="Arial"/>
          <w:kern w:val="0"/>
          <w:sz w:val="22"/>
          <w:szCs w:val="22"/>
          <w:lang w:eastAsia="en-GB"/>
          <w14:ligatures w14:val="none"/>
        </w:rPr>
        <w:t>which refers to giving back to society and assisting future generations</w:t>
      </w:r>
      <w:r>
        <w:rPr>
          <w:rFonts w:ascii="Arial" w:eastAsia="Times New Roman" w:hAnsi="Arial" w:cs="Arial"/>
          <w:kern w:val="0"/>
          <w:sz w:val="22"/>
          <w:szCs w:val="22"/>
          <w:lang w:eastAsia="en-GB"/>
          <w14:ligatures w14:val="none"/>
        </w:rPr>
        <w:t xml:space="preserve"> </w:t>
      </w:r>
      <w:r w:rsidRPr="001C24BF">
        <w:rPr>
          <w:rFonts w:ascii="Arial" w:eastAsia="Times New Roman" w:hAnsi="Arial" w:cs="Arial"/>
          <w:kern w:val="0"/>
          <w:sz w:val="22"/>
          <w:szCs w:val="22"/>
          <w:lang w:eastAsia="en-GB"/>
          <w14:ligatures w14:val="none"/>
        </w:rPr>
        <w:t xml:space="preserve">is </w:t>
      </w:r>
      <w:r>
        <w:rPr>
          <w:rFonts w:ascii="Arial" w:eastAsia="Times New Roman" w:hAnsi="Arial" w:cs="Arial"/>
          <w:kern w:val="0"/>
          <w:sz w:val="22"/>
          <w:szCs w:val="22"/>
          <w:lang w:eastAsia="en-GB"/>
          <w14:ligatures w14:val="none"/>
        </w:rPr>
        <w:t>addressed</w:t>
      </w:r>
      <w:r w:rsidRPr="001C24BF">
        <w:rPr>
          <w:rFonts w:ascii="Arial" w:eastAsia="Times New Roman" w:hAnsi="Arial" w:cs="Arial"/>
          <w:kern w:val="0"/>
          <w:sz w:val="22"/>
          <w:szCs w:val="22"/>
          <w:lang w:eastAsia="en-GB"/>
          <w14:ligatures w14:val="none"/>
        </w:rPr>
        <w:t xml:space="preserve"> in this article. The author argues that generativity is crucial throughout later life, despite it is typically linked to middle adulthood. According to this source, older folks can still find meaning and purpose by volunteering, mentoring younger people, sharing knowledge, or taking part in community activities. Th</w:t>
      </w:r>
      <w:r>
        <w:rPr>
          <w:rFonts w:ascii="Arial" w:eastAsia="Times New Roman" w:hAnsi="Arial" w:cs="Arial"/>
          <w:kern w:val="0"/>
          <w:sz w:val="22"/>
          <w:szCs w:val="22"/>
          <w:lang w:eastAsia="en-GB"/>
          <w14:ligatures w14:val="none"/>
        </w:rPr>
        <w:t xml:space="preserve">is </w:t>
      </w:r>
      <w:r w:rsidRPr="001C24BF">
        <w:rPr>
          <w:rFonts w:ascii="Arial" w:eastAsia="Times New Roman" w:hAnsi="Arial" w:cs="Arial"/>
          <w:kern w:val="0"/>
          <w:sz w:val="22"/>
          <w:szCs w:val="22"/>
          <w:lang w:eastAsia="en-GB"/>
          <w14:ligatures w14:val="none"/>
        </w:rPr>
        <w:t>enhance</w:t>
      </w:r>
      <w:r w:rsidR="00DF2E6E">
        <w:rPr>
          <w:rFonts w:ascii="Arial" w:eastAsia="Times New Roman" w:hAnsi="Arial" w:cs="Arial"/>
          <w:kern w:val="0"/>
          <w:sz w:val="22"/>
          <w:szCs w:val="22"/>
          <w:lang w:eastAsia="en-GB"/>
          <w14:ligatures w14:val="none"/>
        </w:rPr>
        <w:t>s</w:t>
      </w:r>
      <w:r w:rsidRPr="001C24BF">
        <w:rPr>
          <w:rFonts w:ascii="Arial" w:eastAsia="Times New Roman" w:hAnsi="Arial" w:cs="Arial"/>
          <w:kern w:val="0"/>
          <w:sz w:val="22"/>
          <w:szCs w:val="22"/>
          <w:lang w:eastAsia="en-GB"/>
          <w14:ligatures w14:val="none"/>
        </w:rPr>
        <w:t xml:space="preserve"> social bonds and foster a sense of usefulness. it also explores how generativity dispels unfavourable age stereotypes, especially the assumption that elderly people are submissive or reliant. The approach emphasises the importance and ongoing development of pe</w:t>
      </w:r>
      <w:r w:rsidR="00DF2E6E">
        <w:rPr>
          <w:rFonts w:ascii="Arial" w:eastAsia="Times New Roman" w:hAnsi="Arial" w:cs="Arial"/>
          <w:kern w:val="0"/>
          <w:sz w:val="22"/>
          <w:szCs w:val="22"/>
          <w:lang w:eastAsia="en-GB"/>
          <w14:ligatures w14:val="none"/>
        </w:rPr>
        <w:t>ople</w:t>
      </w:r>
      <w:r w:rsidRPr="001C24BF">
        <w:rPr>
          <w:rFonts w:ascii="Arial" w:eastAsia="Times New Roman" w:hAnsi="Arial" w:cs="Arial"/>
          <w:kern w:val="0"/>
          <w:sz w:val="22"/>
          <w:szCs w:val="22"/>
          <w:lang w:eastAsia="en-GB"/>
          <w14:ligatures w14:val="none"/>
        </w:rPr>
        <w:t xml:space="preserve"> in later life by highlighting the contributions older adults can contribute to society.</w:t>
      </w:r>
    </w:p>
    <w:p w14:paraId="6B173909" w14:textId="23F32911" w:rsidR="00CD391A" w:rsidRDefault="00CD391A" w:rsidP="00CD391A">
      <w:pPr>
        <w:spacing w:after="0" w:line="360" w:lineRule="auto"/>
        <w:rPr>
          <w:rFonts w:ascii="Arial" w:eastAsia="Times New Roman" w:hAnsi="Arial" w:cs="Arial"/>
          <w:kern w:val="0"/>
          <w:sz w:val="22"/>
          <w:szCs w:val="22"/>
          <w:lang w:eastAsia="en-GB"/>
          <w14:ligatures w14:val="none"/>
        </w:rPr>
      </w:pPr>
      <w:r w:rsidRPr="00CD391A">
        <w:rPr>
          <w:rFonts w:ascii="Arial" w:eastAsia="Times New Roman" w:hAnsi="Arial" w:cs="Arial"/>
          <w:kern w:val="0"/>
          <w:sz w:val="22"/>
          <w:szCs w:val="22"/>
          <w:lang w:eastAsia="en-GB"/>
          <w14:ligatures w14:val="none"/>
        </w:rPr>
        <w:t>this theory highlights the significance of preserving purpose and social duties in later age. Care providers can encourage wellbeing by providing volunteer opportunities, peer support, and community involvement. Such interests could boost self-esteem and lessen loneliness. However, people with serious medical issues or restricted movement may find the idea less appropriate. As a result, health and social care providers must modify engagement opportunities to make them inclusive and accessible to all senior citizens.</w:t>
      </w:r>
    </w:p>
    <w:p w14:paraId="69EDC576" w14:textId="77777777" w:rsidR="00E02D9F" w:rsidRDefault="00E02D9F" w:rsidP="00CD391A">
      <w:pPr>
        <w:spacing w:after="0" w:line="360" w:lineRule="auto"/>
        <w:rPr>
          <w:rFonts w:ascii="Arial" w:eastAsia="Times New Roman" w:hAnsi="Arial" w:cs="Arial"/>
          <w:kern w:val="0"/>
          <w:sz w:val="22"/>
          <w:szCs w:val="22"/>
          <w:lang w:eastAsia="en-GB"/>
          <w14:ligatures w14:val="none"/>
        </w:rPr>
      </w:pPr>
    </w:p>
    <w:p w14:paraId="23ED590C" w14:textId="637DF188" w:rsidR="00CF0B02" w:rsidRPr="00CF0B02" w:rsidRDefault="007861FC" w:rsidP="00CD391A">
      <w:pPr>
        <w:spacing w:after="0" w:line="360" w:lineRule="auto"/>
        <w:rPr>
          <w:rFonts w:ascii="Arial" w:eastAsia="Times New Roman" w:hAnsi="Arial" w:cs="Arial"/>
          <w:b/>
          <w:bCs/>
          <w:kern w:val="0"/>
          <w:sz w:val="22"/>
          <w:szCs w:val="22"/>
          <w:u w:val="single"/>
          <w:lang w:eastAsia="en-GB"/>
          <w14:ligatures w14:val="none"/>
        </w:rPr>
      </w:pPr>
      <w:r w:rsidRPr="00CF0B02">
        <w:rPr>
          <w:rFonts w:ascii="Arial" w:eastAsia="Times New Roman" w:hAnsi="Arial" w:cs="Arial"/>
          <w:b/>
          <w:bCs/>
          <w:kern w:val="0"/>
          <w:sz w:val="22"/>
          <w:szCs w:val="22"/>
          <w:u w:val="single"/>
          <w:lang w:eastAsia="en-GB"/>
          <w14:ligatures w14:val="none"/>
        </w:rPr>
        <w:t xml:space="preserve">Havighurst’s Activity </w:t>
      </w:r>
      <w:r w:rsidR="00E02D9F" w:rsidRPr="00CF0B02">
        <w:rPr>
          <w:rFonts w:ascii="Arial" w:eastAsia="Times New Roman" w:hAnsi="Arial" w:cs="Arial"/>
          <w:b/>
          <w:bCs/>
          <w:kern w:val="0"/>
          <w:sz w:val="22"/>
          <w:szCs w:val="22"/>
          <w:u w:val="single"/>
          <w:lang w:eastAsia="en-GB"/>
          <w14:ligatures w14:val="none"/>
        </w:rPr>
        <w:t>Theory.</w:t>
      </w:r>
    </w:p>
    <w:p w14:paraId="1F97F0BF" w14:textId="5A909F8B" w:rsidR="00CF0B02" w:rsidRPr="00635CC8" w:rsidRDefault="007861FC" w:rsidP="00635CC8">
      <w:pPr>
        <w:spacing w:after="0" w:line="360" w:lineRule="auto"/>
        <w:rPr>
          <w:rStyle w:val="bzpyqfadein"/>
          <w:rFonts w:ascii="Arial" w:hAnsi="Arial" w:cs="Arial"/>
          <w:sz w:val="22"/>
          <w:szCs w:val="22"/>
        </w:rPr>
      </w:pPr>
      <w:r w:rsidRPr="00E02D9F">
        <w:rPr>
          <w:rStyle w:val="bzpyqfadein"/>
          <w:rFonts w:ascii="Arial" w:hAnsi="Arial" w:cs="Arial"/>
          <w:sz w:val="22"/>
          <w:szCs w:val="22"/>
        </w:rPr>
        <w:t xml:space="preserve">Gillespie, C.W.I. and Louw, J., 1993. Life satisfaction in old age and activity theory: should the debate be re-opened? </w:t>
      </w:r>
      <w:r w:rsidRPr="00E02D9F">
        <w:rPr>
          <w:rStyle w:val="bzpyqfadein"/>
          <w:rFonts w:ascii="Arial" w:hAnsi="Arial" w:cs="Arial"/>
          <w:i/>
          <w:iCs/>
          <w:sz w:val="22"/>
          <w:szCs w:val="22"/>
        </w:rPr>
        <w:t>Southern African Journal of Gerontology</w:t>
      </w:r>
      <w:r w:rsidRPr="00E02D9F">
        <w:rPr>
          <w:rStyle w:val="bzpyqfadein"/>
          <w:rFonts w:ascii="Arial" w:hAnsi="Arial" w:cs="Arial"/>
          <w:sz w:val="22"/>
          <w:szCs w:val="22"/>
        </w:rPr>
        <w:t xml:space="preserve">, 2(1), Available at: </w:t>
      </w:r>
      <w:hyperlink r:id="rId11" w:tgtFrame="_new" w:history="1">
        <w:r w:rsidRPr="00E02D9F">
          <w:rPr>
            <w:rStyle w:val="bzpyqfadein"/>
            <w:rFonts w:ascii="Arial" w:hAnsi="Arial" w:cs="Arial"/>
            <w:color w:val="0000FF"/>
            <w:sz w:val="22"/>
            <w:szCs w:val="22"/>
            <w:u w:val="single"/>
          </w:rPr>
          <w:t>https://doi.org/10.21504/sajg.v2i1</w:t>
        </w:r>
      </w:hyperlink>
      <w:r w:rsidRPr="00E02D9F">
        <w:rPr>
          <w:rStyle w:val="bzpyqfadein"/>
          <w:rFonts w:ascii="Arial" w:hAnsi="Arial" w:cs="Arial"/>
          <w:sz w:val="22"/>
          <w:szCs w:val="22"/>
        </w:rPr>
        <w:t xml:space="preserve"> (Accessed: 16 March 2026).</w:t>
      </w:r>
    </w:p>
    <w:p w14:paraId="74107912" w14:textId="4189AE62" w:rsidR="00CF0B02" w:rsidRPr="00635CC8" w:rsidRDefault="00CF0B02" w:rsidP="00CF0B02">
      <w:pPr>
        <w:spacing w:line="360" w:lineRule="auto"/>
        <w:rPr>
          <w:rStyle w:val="bzpyqfadein"/>
          <w:rFonts w:ascii="Arial" w:eastAsia="Times New Roman" w:hAnsi="Arial" w:cs="Arial"/>
          <w:kern w:val="0"/>
          <w:sz w:val="22"/>
          <w:szCs w:val="22"/>
          <w:lang w:eastAsia="en-GB"/>
          <w14:ligatures w14:val="none"/>
        </w:rPr>
      </w:pPr>
      <w:r w:rsidRPr="00CF0B02">
        <w:rPr>
          <w:rFonts w:ascii="Arial" w:eastAsia="Times New Roman" w:hAnsi="Arial" w:cs="Arial"/>
          <w:kern w:val="0"/>
          <w:sz w:val="22"/>
          <w:szCs w:val="22"/>
          <w:lang w:eastAsia="en-GB"/>
          <w14:ligatures w14:val="none"/>
        </w:rPr>
        <w:t xml:space="preserve"> Havighurst's Activity Theory, which suggests that healthy ageing happens when older persons continue to be socially active and involved in meaningful roles. It’s suggested that people can preserve psychological wellbeing and life satisfaction by continuing to engage in activities they enjoy, such as volunteering, hobbies, and social interaction. It also acknowledges that the data for Activity Theory is not always reliable and that other variables, such socioeconomic status and health, may affect results. </w:t>
      </w:r>
    </w:p>
    <w:p w14:paraId="4C8B44BF" w14:textId="4ADBE1DB" w:rsidR="00232820" w:rsidRDefault="00232820" w:rsidP="00CF0B02">
      <w:pPr>
        <w:spacing w:after="0" w:line="360" w:lineRule="auto"/>
        <w:rPr>
          <w:rFonts w:ascii="Arial" w:eastAsia="Times New Roman" w:hAnsi="Arial" w:cs="Arial"/>
          <w:kern w:val="0"/>
          <w:sz w:val="22"/>
          <w:szCs w:val="22"/>
          <w:lang w:eastAsia="en-GB"/>
          <w14:ligatures w14:val="none"/>
        </w:rPr>
      </w:pPr>
      <w:r w:rsidRPr="00232820">
        <w:rPr>
          <w:rFonts w:ascii="Arial" w:eastAsia="Times New Roman" w:hAnsi="Arial" w:cs="Arial"/>
          <w:kern w:val="0"/>
          <w:sz w:val="22"/>
          <w:szCs w:val="22"/>
          <w:lang w:eastAsia="en-GB"/>
          <w14:ligatures w14:val="none"/>
        </w:rPr>
        <w:t>The application of activity theory to social and health care has profound consequences. Encouraging older persons to engage in leisure, social, and physical activities can improve their physical and emotional well-being. However, some contend that the approach may overemphasise activity and ignore the possibility that some elderly persons would rather lead more sedate or isolated lives. Care providers should therefore make sure that activity plans are adaptable and customised to each person's requirements and preferences.</w:t>
      </w:r>
    </w:p>
    <w:p w14:paraId="6DD00808" w14:textId="535A77F3" w:rsidR="00CF0B02" w:rsidRDefault="00CF0B02" w:rsidP="00CF0B02">
      <w:pPr>
        <w:spacing w:after="0" w:line="360" w:lineRule="auto"/>
        <w:rPr>
          <w:rFonts w:ascii="Arial" w:eastAsia="Times New Roman" w:hAnsi="Arial" w:cs="Arial"/>
          <w:b/>
          <w:bCs/>
          <w:kern w:val="0"/>
          <w:sz w:val="22"/>
          <w:szCs w:val="22"/>
          <w:u w:val="single"/>
          <w:lang w:eastAsia="en-GB"/>
          <w14:ligatures w14:val="none"/>
        </w:rPr>
      </w:pPr>
      <w:r w:rsidRPr="00CF0B02">
        <w:rPr>
          <w:rFonts w:ascii="Arial" w:eastAsia="Times New Roman" w:hAnsi="Arial" w:cs="Arial"/>
          <w:b/>
          <w:bCs/>
          <w:kern w:val="0"/>
          <w:sz w:val="22"/>
          <w:szCs w:val="22"/>
          <w:u w:val="single"/>
          <w:lang w:eastAsia="en-GB"/>
          <w14:ligatures w14:val="none"/>
        </w:rPr>
        <w:t>Bowlby’s Attachment Theory in later life</w:t>
      </w:r>
      <w:r>
        <w:rPr>
          <w:rFonts w:ascii="Arial" w:eastAsia="Times New Roman" w:hAnsi="Arial" w:cs="Arial"/>
          <w:b/>
          <w:bCs/>
          <w:kern w:val="0"/>
          <w:sz w:val="22"/>
          <w:szCs w:val="22"/>
          <w:u w:val="single"/>
          <w:lang w:eastAsia="en-GB"/>
          <w14:ligatures w14:val="none"/>
        </w:rPr>
        <w:t>.</w:t>
      </w:r>
    </w:p>
    <w:p w14:paraId="032D2376" w14:textId="0089921E" w:rsidR="002D6D1B" w:rsidRDefault="00A71DB0" w:rsidP="00A71DB0">
      <w:pPr>
        <w:spacing w:after="0" w:line="360" w:lineRule="auto"/>
        <w:rPr>
          <w:rFonts w:ascii="Arial" w:hAnsi="Arial" w:cs="Arial"/>
          <w:color w:val="333333"/>
          <w:sz w:val="22"/>
          <w:szCs w:val="22"/>
          <w:shd w:val="clear" w:color="auto" w:fill="EAEAEA"/>
        </w:rPr>
      </w:pPr>
      <w:r w:rsidRPr="00A71DB0">
        <w:rPr>
          <w:rFonts w:ascii="Arial" w:eastAsia="Times New Roman" w:hAnsi="Arial" w:cs="Arial"/>
          <w:kern w:val="0"/>
          <w:sz w:val="22"/>
          <w:szCs w:val="22"/>
          <w:lang w:eastAsia="en-GB"/>
          <w14:ligatures w14:val="none"/>
        </w:rPr>
        <w:t xml:space="preserve">Platts, L.G., Alm-Norbrian, A. and Frick, M.A., 2022. Attachment in older adults is stably associated with health and quality of life: findings from a 14-year follow-up of the Whitehall II </w:t>
      </w:r>
      <w:r w:rsidRPr="00A71DB0">
        <w:rPr>
          <w:rFonts w:ascii="Arial" w:eastAsia="Times New Roman" w:hAnsi="Arial" w:cs="Arial"/>
          <w:kern w:val="0"/>
          <w:sz w:val="22"/>
          <w:szCs w:val="22"/>
          <w:lang w:eastAsia="en-GB"/>
          <w14:ligatures w14:val="none"/>
        </w:rPr>
        <w:lastRenderedPageBreak/>
        <w:t xml:space="preserve">study. </w:t>
      </w:r>
      <w:r w:rsidRPr="00A71DB0">
        <w:rPr>
          <w:rFonts w:ascii="Arial" w:eastAsia="Times New Roman" w:hAnsi="Arial" w:cs="Arial"/>
          <w:i/>
          <w:iCs/>
          <w:kern w:val="0"/>
          <w:sz w:val="22"/>
          <w:szCs w:val="22"/>
          <w:lang w:eastAsia="en-GB"/>
          <w14:ligatures w14:val="none"/>
        </w:rPr>
        <w:t>Aging &amp; Mental Health</w:t>
      </w:r>
      <w:r w:rsidRPr="00A71DB0">
        <w:rPr>
          <w:rFonts w:ascii="Arial" w:eastAsia="Times New Roman" w:hAnsi="Arial" w:cs="Arial"/>
          <w:kern w:val="0"/>
          <w:sz w:val="22"/>
          <w:szCs w:val="22"/>
          <w:lang w:eastAsia="en-GB"/>
          <w14:ligatures w14:val="none"/>
        </w:rPr>
        <w:t>, 27(9), pp.1832–1842</w:t>
      </w:r>
      <w:r w:rsidR="00DF648D">
        <w:rPr>
          <w:rFonts w:ascii="Arial" w:eastAsia="Times New Roman" w:hAnsi="Arial" w:cs="Arial"/>
          <w:kern w:val="0"/>
          <w:sz w:val="22"/>
          <w:szCs w:val="22"/>
          <w:lang w:eastAsia="en-GB"/>
          <w14:ligatures w14:val="none"/>
        </w:rPr>
        <w:t xml:space="preserve">, </w:t>
      </w:r>
      <w:r w:rsidR="00FA2A8C">
        <w:rPr>
          <w:rFonts w:ascii="Arial" w:eastAsia="Times New Roman" w:hAnsi="Arial" w:cs="Arial"/>
          <w:kern w:val="0"/>
          <w:sz w:val="22"/>
          <w:szCs w:val="22"/>
          <w:lang w:eastAsia="en-GB"/>
          <w14:ligatures w14:val="none"/>
        </w:rPr>
        <w:t>Available at</w:t>
      </w:r>
      <w:r w:rsidR="00DF648D">
        <w:rPr>
          <w:rFonts w:ascii="Arial" w:eastAsia="Times New Roman" w:hAnsi="Arial" w:cs="Arial"/>
          <w:kern w:val="0"/>
          <w:sz w:val="22"/>
          <w:szCs w:val="22"/>
          <w:lang w:eastAsia="en-GB"/>
          <w14:ligatures w14:val="none"/>
        </w:rPr>
        <w:t>:</w:t>
      </w:r>
      <w:r w:rsidR="00B7119C" w:rsidRPr="00B7119C">
        <w:rPr>
          <w:rFonts w:ascii="Open Sans" w:hAnsi="Open Sans" w:cs="Open Sans"/>
          <w:color w:val="333333"/>
          <w:shd w:val="clear" w:color="auto" w:fill="EAEAEA"/>
        </w:rPr>
        <w:t xml:space="preserve"> </w:t>
      </w:r>
      <w:r w:rsidR="00B7119C">
        <w:rPr>
          <w:rFonts w:ascii="Open Sans" w:hAnsi="Open Sans" w:cs="Open Sans"/>
          <w:color w:val="333333"/>
          <w:shd w:val="clear" w:color="auto" w:fill="EAEAEA"/>
        </w:rPr>
        <w:t> </w:t>
      </w:r>
      <w:hyperlink r:id="rId12" w:history="1">
        <w:r w:rsidR="00B7119C" w:rsidRPr="00C616A7">
          <w:rPr>
            <w:rStyle w:val="Hyperlink"/>
            <w:rFonts w:ascii="Arial" w:hAnsi="Arial" w:cs="Arial"/>
            <w:sz w:val="22"/>
            <w:szCs w:val="22"/>
            <w:shd w:val="clear" w:color="auto" w:fill="EAEAEA"/>
          </w:rPr>
          <w:t>https://doi.org/10.1080/13607863.2022.2148157</w:t>
        </w:r>
      </w:hyperlink>
      <w:r w:rsidR="00C019D7">
        <w:rPr>
          <w:rFonts w:ascii="Open Sans" w:hAnsi="Open Sans" w:cs="Open Sans"/>
          <w:color w:val="333333"/>
          <w:shd w:val="clear" w:color="auto" w:fill="EAEAEA"/>
        </w:rPr>
        <w:t xml:space="preserve"> </w:t>
      </w:r>
      <w:r w:rsidR="00C019D7" w:rsidRPr="007F635F">
        <w:rPr>
          <w:rFonts w:ascii="Arial" w:hAnsi="Arial" w:cs="Arial"/>
          <w:color w:val="333333"/>
          <w:sz w:val="22"/>
          <w:szCs w:val="22"/>
          <w:shd w:val="clear" w:color="auto" w:fill="EAEAEA"/>
        </w:rPr>
        <w:t>(accessed:19,3,2026)</w:t>
      </w:r>
      <w:r w:rsidR="00C616A7">
        <w:rPr>
          <w:rFonts w:ascii="Arial" w:hAnsi="Arial" w:cs="Arial"/>
          <w:color w:val="333333"/>
          <w:sz w:val="22"/>
          <w:szCs w:val="22"/>
          <w:shd w:val="clear" w:color="auto" w:fill="EAEAEA"/>
        </w:rPr>
        <w:t>.</w:t>
      </w:r>
    </w:p>
    <w:p w14:paraId="677F7FB5" w14:textId="7A349BBE" w:rsidR="00BE4F30" w:rsidRDefault="00BE4F30" w:rsidP="00BE4F30">
      <w:pPr>
        <w:spacing w:after="0" w:line="360" w:lineRule="auto"/>
        <w:rPr>
          <w:rFonts w:ascii="Arial" w:eastAsia="Times New Roman" w:hAnsi="Arial" w:cs="Arial"/>
          <w:kern w:val="0"/>
          <w:sz w:val="22"/>
          <w:szCs w:val="22"/>
          <w:lang w:eastAsia="en-GB"/>
          <w14:ligatures w14:val="none"/>
        </w:rPr>
      </w:pPr>
      <w:r w:rsidRPr="00BE4F30">
        <w:rPr>
          <w:rFonts w:ascii="Arial" w:eastAsia="Times New Roman" w:hAnsi="Arial" w:cs="Arial"/>
          <w:kern w:val="0"/>
          <w:sz w:val="22"/>
          <w:szCs w:val="22"/>
          <w:lang w:eastAsia="en-GB"/>
          <w14:ligatures w14:val="none"/>
        </w:rPr>
        <w:t>This study analyses the impact of attachment types on older adults' well-being. According to attachment theory, which was first put forth by John Bowlby, a person's early interactions with caregivers have an impact on the relationships they create later in life. After analysing long-term data from the Whitehall II study, the researchers discovered that those with secure attachment styles typically reported improved quality of life and better mental health in later life. On the other hand, psychological suffering and poorer wellbeing were more common among people with insecure attachment styles. According to the study, attachment styles can affect how people deal with ageing, disease, and societal change and stay constant throughout adulthood.</w:t>
      </w:r>
    </w:p>
    <w:p w14:paraId="08E53065" w14:textId="5CD30542" w:rsidR="008F582E" w:rsidRDefault="00404DE7" w:rsidP="008F582E">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As this</w:t>
      </w:r>
      <w:r w:rsidR="008F582E" w:rsidRPr="008F582E">
        <w:rPr>
          <w:rFonts w:ascii="Arial" w:eastAsia="Times New Roman" w:hAnsi="Arial" w:cs="Arial"/>
          <w:kern w:val="0"/>
          <w:sz w:val="22"/>
          <w:szCs w:val="22"/>
          <w:lang w:eastAsia="en-GB"/>
          <w14:ligatures w14:val="none"/>
        </w:rPr>
        <w:t xml:space="preserve"> emphasises the significance of stable relationships and emotional support for older persons, this research is extremely </w:t>
      </w:r>
      <w:r>
        <w:rPr>
          <w:rFonts w:ascii="Arial" w:eastAsia="Times New Roman" w:hAnsi="Arial" w:cs="Arial"/>
          <w:kern w:val="0"/>
          <w:sz w:val="22"/>
          <w:szCs w:val="22"/>
          <w:lang w:eastAsia="en-GB"/>
          <w14:ligatures w14:val="none"/>
        </w:rPr>
        <w:t>as important</w:t>
      </w:r>
      <w:r w:rsidR="008F582E" w:rsidRPr="008F582E">
        <w:rPr>
          <w:rFonts w:ascii="Arial" w:eastAsia="Times New Roman" w:hAnsi="Arial" w:cs="Arial"/>
          <w:kern w:val="0"/>
          <w:sz w:val="22"/>
          <w:szCs w:val="22"/>
          <w:lang w:eastAsia="en-GB"/>
          <w14:ligatures w14:val="none"/>
        </w:rPr>
        <w:t xml:space="preserve"> to health and social care. Anxiety and loneliness may be lessened by carers who establish dependable and trustworthy relationships with clients. Emotional stability can also be enhanced by incorporating family members and upholding social support systems. However, as social environment, culture, and health all play important roles, attachment theory cannot fully account for all elements of wellbeing in later life.</w:t>
      </w:r>
    </w:p>
    <w:p w14:paraId="097EB354" w14:textId="77777777" w:rsidR="00EE36DD" w:rsidRDefault="00EE36DD" w:rsidP="008F582E">
      <w:pPr>
        <w:spacing w:after="0" w:line="360" w:lineRule="auto"/>
        <w:rPr>
          <w:rFonts w:ascii="Arial" w:eastAsia="Times New Roman" w:hAnsi="Arial" w:cs="Arial"/>
          <w:kern w:val="0"/>
          <w:sz w:val="22"/>
          <w:szCs w:val="22"/>
          <w:lang w:eastAsia="en-GB"/>
          <w14:ligatures w14:val="none"/>
        </w:rPr>
      </w:pPr>
    </w:p>
    <w:p w14:paraId="50F1C706" w14:textId="1BB50DD1" w:rsidR="00526145" w:rsidRPr="00526145" w:rsidRDefault="00EE36DD" w:rsidP="008F582E">
      <w:pPr>
        <w:spacing w:after="0" w:line="360" w:lineRule="auto"/>
        <w:rPr>
          <w:rFonts w:ascii="Arial" w:eastAsia="Times New Roman" w:hAnsi="Arial" w:cs="Arial"/>
          <w:b/>
          <w:bCs/>
          <w:kern w:val="0"/>
          <w:sz w:val="22"/>
          <w:szCs w:val="22"/>
          <w:u w:val="single"/>
          <w:lang w:eastAsia="en-GB"/>
          <w14:ligatures w14:val="none"/>
        </w:rPr>
      </w:pPr>
      <w:r w:rsidRPr="00526145">
        <w:rPr>
          <w:rFonts w:ascii="Arial" w:eastAsia="Times New Roman" w:hAnsi="Arial" w:cs="Arial"/>
          <w:b/>
          <w:bCs/>
          <w:kern w:val="0"/>
          <w:sz w:val="22"/>
          <w:szCs w:val="22"/>
          <w:u w:val="single"/>
          <w:lang w:eastAsia="en-GB"/>
          <w14:ligatures w14:val="none"/>
        </w:rPr>
        <w:t xml:space="preserve">Part </w:t>
      </w:r>
      <w:r w:rsidR="00526145" w:rsidRPr="00526145">
        <w:rPr>
          <w:rFonts w:ascii="Arial" w:eastAsia="Times New Roman" w:hAnsi="Arial" w:cs="Arial"/>
          <w:b/>
          <w:bCs/>
          <w:kern w:val="0"/>
          <w:sz w:val="22"/>
          <w:szCs w:val="22"/>
          <w:u w:val="single"/>
          <w:lang w:eastAsia="en-GB"/>
          <w14:ligatures w14:val="none"/>
        </w:rPr>
        <w:t>2</w:t>
      </w:r>
    </w:p>
    <w:p w14:paraId="3F5897C4" w14:textId="0BDFC7EC" w:rsidR="00EE36DD" w:rsidRPr="00152D73" w:rsidRDefault="005A1A49" w:rsidP="009B17FA">
      <w:pPr>
        <w:spacing w:after="0" w:line="360" w:lineRule="auto"/>
        <w:rPr>
          <w:rFonts w:ascii="Arial" w:hAnsi="Arial" w:cs="Arial"/>
          <w:sz w:val="22"/>
          <w:szCs w:val="22"/>
        </w:rPr>
      </w:pPr>
      <w:r>
        <w:rPr>
          <w:rFonts w:ascii="Arial" w:eastAsia="Times New Roman" w:hAnsi="Arial" w:cs="Arial"/>
          <w:kern w:val="0"/>
          <w:sz w:val="22"/>
          <w:szCs w:val="22"/>
          <w:lang w:eastAsia="en-GB"/>
          <w14:ligatures w14:val="none"/>
        </w:rPr>
        <w:t xml:space="preserve"> </w:t>
      </w:r>
      <w:r w:rsidR="00526145" w:rsidRPr="00152D73">
        <w:rPr>
          <w:rFonts w:ascii="Arial" w:eastAsia="Times New Roman" w:hAnsi="Arial" w:cs="Arial"/>
          <w:kern w:val="0"/>
          <w:sz w:val="22"/>
          <w:szCs w:val="22"/>
          <w:lang w:eastAsia="en-GB"/>
          <w14:ligatures w14:val="none"/>
        </w:rPr>
        <w:t>A</w:t>
      </w:r>
      <w:r w:rsidR="00EE36DD" w:rsidRPr="00152D73">
        <w:rPr>
          <w:rFonts w:ascii="Arial" w:eastAsia="Times New Roman" w:hAnsi="Arial" w:cs="Arial"/>
          <w:kern w:val="0"/>
          <w:sz w:val="22"/>
          <w:szCs w:val="22"/>
          <w:lang w:eastAsia="en-GB"/>
          <w14:ligatures w14:val="none"/>
        </w:rPr>
        <w:t xml:space="preserve"> </w:t>
      </w:r>
      <w:r w:rsidR="00142665" w:rsidRPr="00152D73">
        <w:rPr>
          <w:rFonts w:ascii="Arial" w:eastAsia="Times New Roman" w:hAnsi="Arial" w:cs="Arial"/>
          <w:kern w:val="0"/>
          <w:sz w:val="22"/>
          <w:szCs w:val="22"/>
          <w:lang w:eastAsia="en-GB"/>
          <w14:ligatures w14:val="none"/>
        </w:rPr>
        <w:t xml:space="preserve">Report </w:t>
      </w:r>
      <w:r w:rsidRPr="00152D73">
        <w:rPr>
          <w:rFonts w:ascii="Arial" w:hAnsi="Arial" w:cs="Arial"/>
          <w:sz w:val="22"/>
          <w:szCs w:val="22"/>
        </w:rPr>
        <w:t>Applying Erikson’s Psychosocial Theory to Enhance Psychological Wellbeing in Older Adults in Residential Care</w:t>
      </w:r>
      <w:r w:rsidR="00526145" w:rsidRPr="00152D73">
        <w:rPr>
          <w:rFonts w:ascii="Arial" w:hAnsi="Arial" w:cs="Arial"/>
          <w:sz w:val="22"/>
          <w:szCs w:val="22"/>
        </w:rPr>
        <w:t>.</w:t>
      </w:r>
    </w:p>
    <w:p w14:paraId="33B6344A" w14:textId="77777777" w:rsidR="003E3E4D" w:rsidRPr="00152D73" w:rsidRDefault="003E3E4D" w:rsidP="009B17FA">
      <w:pPr>
        <w:spacing w:after="0" w:line="360" w:lineRule="auto"/>
        <w:rPr>
          <w:rFonts w:ascii="Arial" w:eastAsia="Times New Roman" w:hAnsi="Arial" w:cs="Arial"/>
          <w:kern w:val="0"/>
          <w:sz w:val="22"/>
          <w:szCs w:val="22"/>
          <w:lang w:eastAsia="en-GB"/>
          <w14:ligatures w14:val="none"/>
        </w:rPr>
      </w:pPr>
      <w:r w:rsidRPr="003E3E4D">
        <w:rPr>
          <w:rFonts w:ascii="Arial" w:eastAsia="Times New Roman" w:hAnsi="Arial" w:cs="Arial"/>
          <w:kern w:val="0"/>
          <w:sz w:val="22"/>
          <w:szCs w:val="22"/>
          <w:lang w:eastAsia="en-GB"/>
          <w14:ligatures w14:val="none"/>
        </w:rPr>
        <w:t>An important aspect of high-quality care in residential settings for older adults is psychological wellbeing. Erikson's psychosocial stage of ego integrity vs despair (Erikson, 1950) is one important theoretical framework. This phase, which usually takes place in later life, is centred on a person's introspection on their experiences. While failure can lead to regret, discontent, and hopelessness, achieving ego integrity results in sentiments of fulfilment and acceptance. By encouraging constructive life reflection and reinforcing a sense of purpose, this approach can greatly enhance residents' psychological welfare in assisted living facilities.</w:t>
      </w:r>
    </w:p>
    <w:p w14:paraId="76481CE5" w14:textId="77777777" w:rsidR="003B2504" w:rsidRPr="003B2504" w:rsidRDefault="003B2504" w:rsidP="009B17FA">
      <w:pPr>
        <w:spacing w:after="0" w:line="360" w:lineRule="auto"/>
        <w:rPr>
          <w:rFonts w:ascii="Arial" w:eastAsia="Times New Roman" w:hAnsi="Arial" w:cs="Arial"/>
          <w:kern w:val="0"/>
          <w:sz w:val="22"/>
          <w:szCs w:val="22"/>
          <w:lang w:eastAsia="en-GB"/>
          <w14:ligatures w14:val="none"/>
        </w:rPr>
      </w:pPr>
      <w:r w:rsidRPr="003B2504">
        <w:rPr>
          <w:rFonts w:ascii="Arial" w:eastAsia="Times New Roman" w:hAnsi="Arial" w:cs="Arial"/>
          <w:kern w:val="0"/>
          <w:sz w:val="22"/>
          <w:szCs w:val="22"/>
          <w:lang w:eastAsia="en-GB"/>
          <w14:ligatures w14:val="none"/>
        </w:rPr>
        <w:t xml:space="preserve">Erikson's theory can be put into practice through life review interventions and structured reminiscing. By encouraging residents to consider their past connections, accomplishments, and experiences, these methods assist individuals in creating a cohesive and significant life narrative (Westerhof and Bohlmeijer, 2014). Health and social care workers can lead one-on-one or group sessions when residents celebrate personal milestones, talk about important life events, and share recollections. Through the reinforcement of a sense of </w:t>
      </w:r>
      <w:r w:rsidRPr="003B2504">
        <w:rPr>
          <w:rFonts w:ascii="Arial" w:eastAsia="Times New Roman" w:hAnsi="Arial" w:cs="Arial"/>
          <w:kern w:val="0"/>
          <w:sz w:val="22"/>
          <w:szCs w:val="22"/>
          <w:lang w:eastAsia="en-GB"/>
          <w14:ligatures w14:val="none"/>
        </w:rPr>
        <w:lastRenderedPageBreak/>
        <w:t>purpose and self-worth, this process helps identity preservation and supports emotional wellbeing.</w:t>
      </w:r>
    </w:p>
    <w:p w14:paraId="30206CE3" w14:textId="63298F0F" w:rsidR="00B84172" w:rsidRPr="009B17FA" w:rsidRDefault="00B84172" w:rsidP="009B17FA">
      <w:pPr>
        <w:spacing w:after="0" w:line="360" w:lineRule="auto"/>
        <w:rPr>
          <w:rFonts w:ascii="Arial" w:eastAsia="Times New Roman" w:hAnsi="Arial" w:cs="Arial"/>
          <w:kern w:val="0"/>
          <w:sz w:val="22"/>
          <w:szCs w:val="22"/>
          <w:lang w:eastAsia="en-GB"/>
          <w14:ligatures w14:val="none"/>
        </w:rPr>
      </w:pPr>
      <w:r w:rsidRPr="00B84172">
        <w:rPr>
          <w:rFonts w:ascii="Arial" w:eastAsia="Times New Roman" w:hAnsi="Arial" w:cs="Arial"/>
          <w:kern w:val="0"/>
          <w:sz w:val="22"/>
          <w:szCs w:val="22"/>
          <w:lang w:eastAsia="en-GB"/>
          <w14:ligatures w14:val="none"/>
        </w:rPr>
        <w:t xml:space="preserve">Consider </w:t>
      </w:r>
      <w:r w:rsidR="001655CF" w:rsidRPr="00B84172">
        <w:rPr>
          <w:rFonts w:ascii="Arial" w:eastAsia="Times New Roman" w:hAnsi="Arial" w:cs="Arial"/>
          <w:kern w:val="0"/>
          <w:sz w:val="22"/>
          <w:szCs w:val="22"/>
          <w:lang w:eastAsia="en-GB"/>
          <w14:ligatures w14:val="none"/>
        </w:rPr>
        <w:t>Lisa</w:t>
      </w:r>
      <w:r w:rsidRPr="00B84172">
        <w:rPr>
          <w:rFonts w:ascii="Arial" w:eastAsia="Times New Roman" w:hAnsi="Arial" w:cs="Arial"/>
          <w:kern w:val="0"/>
          <w:sz w:val="22"/>
          <w:szCs w:val="22"/>
          <w:lang w:eastAsia="en-GB"/>
          <w14:ligatures w14:val="none"/>
        </w:rPr>
        <w:t>, an 83-year-old resident who recently moved into a care facility after losing her spouse. At first, Lisa showed signs of depression and withdrawal. Weekly recollection sessions were introduced by a care worker, who used music, pictures, and personal artefacts to spark conversation about her past. Margaret eventually started telling tales about her family life and her work as a teacher. She was able to reconnect with happy memories and acknowledge her accomplishments in life due to the intervention. Her attitude lifted as a result, and she started interacting with staff and other residents more socially. This example shows how using Erikson's theory might promote ego integrity and lessen emotions of hopelessness and loneliness.</w:t>
      </w:r>
    </w:p>
    <w:p w14:paraId="7930EA49" w14:textId="13421C8D" w:rsidR="00C2656F" w:rsidRPr="00C2656F" w:rsidRDefault="00C2656F" w:rsidP="009B17FA">
      <w:pPr>
        <w:spacing w:after="0" w:line="360" w:lineRule="auto"/>
        <w:rPr>
          <w:rFonts w:ascii="Arial" w:eastAsia="Times New Roman" w:hAnsi="Arial" w:cs="Arial"/>
          <w:kern w:val="0"/>
          <w:sz w:val="22"/>
          <w:szCs w:val="22"/>
          <w:lang w:eastAsia="en-GB"/>
          <w14:ligatures w14:val="none"/>
        </w:rPr>
      </w:pPr>
      <w:r w:rsidRPr="009B17FA">
        <w:rPr>
          <w:rFonts w:ascii="Arial" w:eastAsia="Times New Roman" w:hAnsi="Arial" w:cs="Arial"/>
          <w:kern w:val="0"/>
          <w:sz w:val="22"/>
          <w:szCs w:val="22"/>
          <w:lang w:eastAsia="en-GB"/>
          <w14:ligatures w14:val="none"/>
        </w:rPr>
        <w:t>H</w:t>
      </w:r>
      <w:r w:rsidRPr="00C2656F">
        <w:rPr>
          <w:rFonts w:ascii="Arial" w:eastAsia="Times New Roman" w:hAnsi="Arial" w:cs="Arial"/>
          <w:kern w:val="0"/>
          <w:sz w:val="22"/>
          <w:szCs w:val="22"/>
          <w:lang w:eastAsia="en-GB"/>
          <w14:ligatures w14:val="none"/>
        </w:rPr>
        <w:t>owever, cognitive impairment—especially in individuals with illnesses like dementia—may provide a problem for practitioners using this approach. People with memory loss may find it challenging to participate in organised life review activities, which could cause them to become frustrated or distressed (Woods et al., 2018). This could make reminiscence-based therapies less successful and make it more difficult to achieve the intended psychological results.</w:t>
      </w:r>
    </w:p>
    <w:p w14:paraId="38039BEF" w14:textId="77777777" w:rsidR="00471DC3" w:rsidRPr="00471DC3" w:rsidRDefault="00471DC3" w:rsidP="009B17FA">
      <w:pPr>
        <w:spacing w:after="0" w:line="360" w:lineRule="auto"/>
        <w:rPr>
          <w:rFonts w:ascii="Arial" w:eastAsia="Times New Roman" w:hAnsi="Arial" w:cs="Arial"/>
          <w:kern w:val="0"/>
          <w:sz w:val="22"/>
          <w:szCs w:val="22"/>
          <w:lang w:eastAsia="en-GB"/>
          <w14:ligatures w14:val="none"/>
        </w:rPr>
      </w:pPr>
      <w:r w:rsidRPr="00471DC3">
        <w:rPr>
          <w:rFonts w:ascii="Arial" w:eastAsia="Times New Roman" w:hAnsi="Arial" w:cs="Arial"/>
          <w:kern w:val="0"/>
          <w:sz w:val="22"/>
          <w:szCs w:val="22"/>
          <w:lang w:eastAsia="en-GB"/>
          <w14:ligatures w14:val="none"/>
        </w:rPr>
        <w:t>Professionals might modify their strategy to overcome this difficulty by employing simplified and sensory-based recollection approaches. To increase emotional memory and engagement, for example, staff can use visual cues, music, or familiar objects in addition to verbal recall. Additionally, brief, adaptable sessions that are customised to each person's cognitive capacity may be more successful. Incorporating family members' own histories and familiar items can also improve the intervention's success and relevance. Another crucial tactic to guarantee that interactions stay person-centred and supportive is to train personnel in dementia-sensitive communication approaches.</w:t>
      </w:r>
    </w:p>
    <w:p w14:paraId="39FCEBF7" w14:textId="77777777" w:rsidR="00FF58F0" w:rsidRPr="00FF58F0" w:rsidRDefault="00FF58F0" w:rsidP="001655CF">
      <w:pPr>
        <w:spacing w:after="0" w:line="360" w:lineRule="auto"/>
        <w:rPr>
          <w:rFonts w:ascii="Arial" w:eastAsia="Times New Roman" w:hAnsi="Arial" w:cs="Arial"/>
          <w:kern w:val="0"/>
          <w:sz w:val="22"/>
          <w:szCs w:val="22"/>
          <w:lang w:eastAsia="en-GB"/>
          <w14:ligatures w14:val="none"/>
        </w:rPr>
      </w:pPr>
      <w:r w:rsidRPr="00FF58F0">
        <w:rPr>
          <w:rFonts w:ascii="Arial" w:eastAsia="Times New Roman" w:hAnsi="Arial" w:cs="Arial"/>
          <w:kern w:val="0"/>
          <w:sz w:val="22"/>
          <w:szCs w:val="22"/>
          <w:lang w:eastAsia="en-GB"/>
          <w14:ligatures w14:val="none"/>
        </w:rPr>
        <w:t>To sum up, Erikson's theory of ego integrity against despair offers a useful foundation for improving the psychological welfare of senior citizens receiving residential care. Care</w:t>
      </w:r>
      <w:r w:rsidRPr="00FF58F0">
        <w:rPr>
          <w:rFonts w:ascii="Times New Roman" w:eastAsia="Times New Roman" w:hAnsi="Times New Roman" w:cs="Times New Roman"/>
          <w:kern w:val="0"/>
          <w:lang w:eastAsia="en-GB"/>
          <w14:ligatures w14:val="none"/>
        </w:rPr>
        <w:t xml:space="preserve"> </w:t>
      </w:r>
      <w:r w:rsidRPr="00FF58F0">
        <w:rPr>
          <w:rFonts w:ascii="Arial" w:eastAsia="Times New Roman" w:hAnsi="Arial" w:cs="Arial"/>
          <w:kern w:val="0"/>
          <w:sz w:val="22"/>
          <w:szCs w:val="22"/>
          <w:lang w:eastAsia="en-GB"/>
          <w14:ligatures w14:val="none"/>
        </w:rPr>
        <w:t>providers can help people develop a feeling of fulfilment and identity by encouraging meaningful life reflection. All residents can benefit from psychologically informed care methods, even when obstacles like cognitive impairment may occur. These obstacles can be overcome by tailoring interventions to each resident's needs.</w:t>
      </w:r>
    </w:p>
    <w:p w14:paraId="1DBF528D" w14:textId="77777777" w:rsidR="00C2656F" w:rsidRPr="00B84172" w:rsidRDefault="00C2656F" w:rsidP="00B84172">
      <w:pPr>
        <w:spacing w:after="0" w:line="240" w:lineRule="auto"/>
        <w:rPr>
          <w:rFonts w:ascii="Times New Roman" w:eastAsia="Times New Roman" w:hAnsi="Times New Roman" w:cs="Times New Roman"/>
          <w:kern w:val="0"/>
          <w:lang w:eastAsia="en-GB"/>
          <w14:ligatures w14:val="none"/>
        </w:rPr>
      </w:pPr>
    </w:p>
    <w:p w14:paraId="3BE514C4" w14:textId="165A9F9D" w:rsidR="00E14A78" w:rsidRPr="002A68B7" w:rsidRDefault="002A68B7" w:rsidP="002A68B7">
      <w:pPr>
        <w:spacing w:after="0" w:line="360" w:lineRule="auto"/>
        <w:rPr>
          <w:rFonts w:ascii="Arial" w:eastAsia="Times New Roman" w:hAnsi="Arial" w:cs="Arial"/>
          <w:b/>
          <w:bCs/>
          <w:kern w:val="0"/>
          <w:sz w:val="22"/>
          <w:szCs w:val="22"/>
          <w:u w:val="single"/>
          <w:lang w:eastAsia="en-GB"/>
          <w14:ligatures w14:val="none"/>
        </w:rPr>
      </w:pPr>
      <w:r w:rsidRPr="002A68B7">
        <w:rPr>
          <w:rFonts w:ascii="Arial" w:eastAsia="Times New Roman" w:hAnsi="Arial" w:cs="Arial"/>
          <w:b/>
          <w:bCs/>
          <w:kern w:val="0"/>
          <w:sz w:val="22"/>
          <w:szCs w:val="22"/>
          <w:u w:val="single"/>
          <w:lang w:eastAsia="en-GB"/>
          <w14:ligatures w14:val="none"/>
        </w:rPr>
        <w:t>Reference List</w:t>
      </w:r>
    </w:p>
    <w:p w14:paraId="4BB6BC9B" w14:textId="64F12D00" w:rsidR="002A68B7" w:rsidRPr="003E3E4D" w:rsidRDefault="002A68B7" w:rsidP="002A68B7">
      <w:pPr>
        <w:spacing w:after="0" w:line="360" w:lineRule="auto"/>
        <w:rPr>
          <w:rFonts w:ascii="Arial" w:eastAsia="Times New Roman" w:hAnsi="Arial" w:cs="Arial"/>
          <w:kern w:val="0"/>
          <w:sz w:val="22"/>
          <w:szCs w:val="22"/>
          <w:lang w:eastAsia="en-GB"/>
          <w14:ligatures w14:val="none"/>
        </w:rPr>
      </w:pPr>
      <w:r w:rsidRPr="002A68B7">
        <w:rPr>
          <w:rFonts w:ascii="Arial" w:hAnsi="Arial" w:cs="Arial"/>
          <w:sz w:val="22"/>
          <w:szCs w:val="22"/>
        </w:rPr>
        <w:t xml:space="preserve">Erikson, E.H. (1950) </w:t>
      </w:r>
      <w:r w:rsidRPr="002A68B7">
        <w:rPr>
          <w:rStyle w:val="Emphasis"/>
          <w:rFonts w:ascii="Arial" w:hAnsi="Arial" w:cs="Arial"/>
          <w:sz w:val="22"/>
          <w:szCs w:val="22"/>
        </w:rPr>
        <w:t>Childhood and Society</w:t>
      </w:r>
      <w:r w:rsidRPr="002A68B7">
        <w:rPr>
          <w:rFonts w:ascii="Arial" w:hAnsi="Arial" w:cs="Arial"/>
          <w:sz w:val="22"/>
          <w:szCs w:val="22"/>
        </w:rPr>
        <w:t>. New York: Norton.</w:t>
      </w:r>
      <w:r w:rsidRPr="002A68B7">
        <w:rPr>
          <w:rFonts w:ascii="Arial" w:hAnsi="Arial" w:cs="Arial"/>
          <w:sz w:val="22"/>
          <w:szCs w:val="22"/>
        </w:rPr>
        <w:br/>
        <w:t xml:space="preserve">Westerhof, G.J. and </w:t>
      </w:r>
      <w:r w:rsidR="00992EFE" w:rsidRPr="002A68B7">
        <w:rPr>
          <w:rFonts w:ascii="Arial" w:hAnsi="Arial" w:cs="Arial"/>
          <w:sz w:val="22"/>
          <w:szCs w:val="22"/>
        </w:rPr>
        <w:t>Bohl</w:t>
      </w:r>
      <w:r w:rsidR="003C204E">
        <w:rPr>
          <w:rFonts w:ascii="Arial" w:hAnsi="Arial" w:cs="Arial"/>
          <w:sz w:val="22"/>
          <w:szCs w:val="22"/>
        </w:rPr>
        <w:t>m</w:t>
      </w:r>
      <w:r w:rsidR="00992EFE" w:rsidRPr="002A68B7">
        <w:rPr>
          <w:rFonts w:ascii="Arial" w:hAnsi="Arial" w:cs="Arial"/>
          <w:sz w:val="22"/>
          <w:szCs w:val="22"/>
        </w:rPr>
        <w:t>eijer</w:t>
      </w:r>
      <w:r w:rsidRPr="002A68B7">
        <w:rPr>
          <w:rFonts w:ascii="Arial" w:hAnsi="Arial" w:cs="Arial"/>
          <w:sz w:val="22"/>
          <w:szCs w:val="22"/>
        </w:rPr>
        <w:t xml:space="preserve">, E.T. (2014) ‘Celebrating fifty years of research and applications in reminiscence and life review: State of the art and new directions’, </w:t>
      </w:r>
      <w:r w:rsidRPr="002A68B7">
        <w:rPr>
          <w:rStyle w:val="Emphasis"/>
          <w:rFonts w:ascii="Arial" w:hAnsi="Arial" w:cs="Arial"/>
          <w:sz w:val="22"/>
          <w:szCs w:val="22"/>
        </w:rPr>
        <w:t>Journal of Aging Studies</w:t>
      </w:r>
      <w:r w:rsidRPr="002A68B7">
        <w:rPr>
          <w:rFonts w:ascii="Arial" w:hAnsi="Arial" w:cs="Arial"/>
          <w:sz w:val="22"/>
          <w:szCs w:val="22"/>
        </w:rPr>
        <w:t>, 29, pp. 107–114.</w:t>
      </w:r>
      <w:r w:rsidRPr="002A68B7">
        <w:rPr>
          <w:rFonts w:ascii="Arial" w:hAnsi="Arial" w:cs="Arial"/>
          <w:sz w:val="22"/>
          <w:szCs w:val="22"/>
        </w:rPr>
        <w:br/>
      </w:r>
      <w:r w:rsidRPr="007F7340">
        <w:rPr>
          <w:rFonts w:ascii="Arial" w:hAnsi="Arial" w:cs="Arial"/>
          <w:sz w:val="22"/>
          <w:szCs w:val="22"/>
        </w:rPr>
        <w:lastRenderedPageBreak/>
        <w:t xml:space="preserve">Woods, B., </w:t>
      </w:r>
      <w:r w:rsidR="00992EFE" w:rsidRPr="007F7340">
        <w:rPr>
          <w:rFonts w:ascii="Arial" w:hAnsi="Arial" w:cs="Arial"/>
          <w:sz w:val="22"/>
          <w:szCs w:val="22"/>
        </w:rPr>
        <w:t>Philbin</w:t>
      </w:r>
      <w:r w:rsidRPr="007F7340">
        <w:rPr>
          <w:rFonts w:ascii="Arial" w:hAnsi="Arial" w:cs="Arial"/>
          <w:sz w:val="22"/>
          <w:szCs w:val="22"/>
        </w:rPr>
        <w:t xml:space="preserve">, L., Farrell, E.M., Spector, A.E. and Orrell, M. (2018) ‘Reminiscence therapy for dementia’, </w:t>
      </w:r>
      <w:r w:rsidRPr="007F7340">
        <w:rPr>
          <w:rStyle w:val="Emphasis"/>
          <w:rFonts w:ascii="Arial" w:hAnsi="Arial" w:cs="Arial"/>
          <w:sz w:val="22"/>
          <w:szCs w:val="22"/>
        </w:rPr>
        <w:t>Cochrane Database of Systematic Reviews</w:t>
      </w:r>
      <w:r w:rsidRPr="007F7340">
        <w:rPr>
          <w:rFonts w:ascii="Arial" w:hAnsi="Arial" w:cs="Arial"/>
          <w:sz w:val="22"/>
          <w:szCs w:val="22"/>
        </w:rPr>
        <w:t>, 3(3).</w:t>
      </w:r>
    </w:p>
    <w:p w14:paraId="1EDA9EDD" w14:textId="77777777" w:rsidR="00526145" w:rsidRPr="008F582E" w:rsidRDefault="00526145" w:rsidP="008F582E">
      <w:pPr>
        <w:spacing w:after="0" w:line="360" w:lineRule="auto"/>
        <w:rPr>
          <w:rFonts w:ascii="Arial" w:eastAsia="Times New Roman" w:hAnsi="Arial" w:cs="Arial"/>
          <w:kern w:val="0"/>
          <w:sz w:val="22"/>
          <w:szCs w:val="22"/>
          <w:lang w:eastAsia="en-GB"/>
          <w14:ligatures w14:val="none"/>
        </w:rPr>
      </w:pPr>
    </w:p>
    <w:p w14:paraId="2E9FAE03" w14:textId="77777777" w:rsidR="008F582E" w:rsidRPr="00BE4F30" w:rsidRDefault="008F582E" w:rsidP="00BE4F30">
      <w:pPr>
        <w:spacing w:after="0" w:line="360" w:lineRule="auto"/>
        <w:rPr>
          <w:rFonts w:ascii="Arial" w:eastAsia="Times New Roman" w:hAnsi="Arial" w:cs="Arial"/>
          <w:kern w:val="0"/>
          <w:sz w:val="22"/>
          <w:szCs w:val="22"/>
          <w:lang w:eastAsia="en-GB"/>
          <w14:ligatures w14:val="none"/>
        </w:rPr>
      </w:pPr>
    </w:p>
    <w:p w14:paraId="635B200B" w14:textId="77777777" w:rsidR="00C616A7" w:rsidRPr="007F635F" w:rsidRDefault="00C616A7" w:rsidP="00A71DB0">
      <w:pPr>
        <w:spacing w:after="0" w:line="360" w:lineRule="auto"/>
        <w:rPr>
          <w:rFonts w:ascii="Arial" w:hAnsi="Arial" w:cs="Arial"/>
          <w:color w:val="333333"/>
          <w:sz w:val="22"/>
          <w:szCs w:val="22"/>
          <w:shd w:val="clear" w:color="auto" w:fill="EAEAEA"/>
        </w:rPr>
      </w:pPr>
    </w:p>
    <w:p w14:paraId="156D010F" w14:textId="77777777" w:rsidR="00C019D7" w:rsidRDefault="00C019D7" w:rsidP="00A71DB0">
      <w:pPr>
        <w:spacing w:after="0" w:line="360" w:lineRule="auto"/>
        <w:rPr>
          <w:rFonts w:ascii="Open Sans" w:hAnsi="Open Sans" w:cs="Open Sans"/>
          <w:color w:val="333333"/>
          <w:shd w:val="clear" w:color="auto" w:fill="EAEAEA"/>
        </w:rPr>
      </w:pPr>
    </w:p>
    <w:p w14:paraId="5E5DD18E" w14:textId="77777777" w:rsidR="00C019D7" w:rsidRDefault="00C019D7" w:rsidP="00A71DB0">
      <w:pPr>
        <w:spacing w:after="0" w:line="360" w:lineRule="auto"/>
        <w:rPr>
          <w:rFonts w:ascii="Open Sans" w:hAnsi="Open Sans" w:cs="Open Sans"/>
          <w:color w:val="333333"/>
          <w:shd w:val="clear" w:color="auto" w:fill="EAEAEA"/>
        </w:rPr>
      </w:pPr>
    </w:p>
    <w:p w14:paraId="468A9750" w14:textId="11E1169C" w:rsidR="00A71DB0" w:rsidRDefault="002D6D1B" w:rsidP="00A71DB0">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 xml:space="preserve"> </w:t>
      </w:r>
    </w:p>
    <w:p w14:paraId="687FEE33" w14:textId="77777777" w:rsidR="00286FAF" w:rsidRPr="00A71DB0" w:rsidRDefault="00286FAF" w:rsidP="00A71DB0">
      <w:pPr>
        <w:spacing w:after="0" w:line="360" w:lineRule="auto"/>
        <w:rPr>
          <w:rFonts w:ascii="Arial" w:eastAsia="Times New Roman" w:hAnsi="Arial" w:cs="Arial"/>
          <w:b/>
          <w:bCs/>
          <w:kern w:val="0"/>
          <w:sz w:val="22"/>
          <w:szCs w:val="22"/>
          <w:u w:val="single"/>
          <w:lang w:eastAsia="en-GB"/>
          <w14:ligatures w14:val="none"/>
        </w:rPr>
      </w:pPr>
    </w:p>
    <w:p w14:paraId="3C4BE8EF" w14:textId="77777777" w:rsidR="00CF0B02" w:rsidRPr="00232820" w:rsidRDefault="00CF0B02" w:rsidP="00CF0B02">
      <w:pPr>
        <w:spacing w:after="0" w:line="360" w:lineRule="auto"/>
        <w:rPr>
          <w:rFonts w:ascii="Arial" w:eastAsia="Times New Roman" w:hAnsi="Arial" w:cs="Arial"/>
          <w:kern w:val="0"/>
          <w:sz w:val="22"/>
          <w:szCs w:val="22"/>
          <w:lang w:eastAsia="en-GB"/>
          <w14:ligatures w14:val="none"/>
        </w:rPr>
      </w:pPr>
    </w:p>
    <w:p w14:paraId="54B6EB44" w14:textId="77777777" w:rsidR="00232820" w:rsidRPr="00CD391A" w:rsidRDefault="00232820" w:rsidP="00E02D9F">
      <w:pPr>
        <w:spacing w:after="0" w:line="360" w:lineRule="auto"/>
        <w:rPr>
          <w:rFonts w:ascii="Arial" w:eastAsia="Times New Roman" w:hAnsi="Arial" w:cs="Arial"/>
          <w:kern w:val="0"/>
          <w:sz w:val="22"/>
          <w:szCs w:val="22"/>
          <w:lang w:eastAsia="en-GB"/>
          <w14:ligatures w14:val="none"/>
        </w:rPr>
      </w:pPr>
    </w:p>
    <w:p w14:paraId="207E5B97" w14:textId="77777777" w:rsidR="00DF2E6E" w:rsidRPr="001C24BF" w:rsidRDefault="00DF2E6E" w:rsidP="001C24BF">
      <w:pPr>
        <w:spacing w:after="0" w:line="360" w:lineRule="auto"/>
        <w:rPr>
          <w:rFonts w:ascii="Arial" w:eastAsia="Times New Roman" w:hAnsi="Arial" w:cs="Arial"/>
          <w:kern w:val="0"/>
          <w:sz w:val="22"/>
          <w:szCs w:val="22"/>
          <w:lang w:eastAsia="en-GB"/>
          <w14:ligatures w14:val="none"/>
        </w:rPr>
      </w:pPr>
    </w:p>
    <w:p w14:paraId="5ABB61CB" w14:textId="77777777" w:rsidR="000064C1" w:rsidRDefault="000064C1" w:rsidP="000064C1">
      <w:pPr>
        <w:spacing w:after="0" w:line="360" w:lineRule="auto"/>
        <w:rPr>
          <w:rStyle w:val="bzpyqfadein"/>
        </w:rPr>
      </w:pPr>
    </w:p>
    <w:p w14:paraId="62A9D018" w14:textId="77777777" w:rsidR="000064C1" w:rsidRDefault="000064C1" w:rsidP="000064C1">
      <w:pPr>
        <w:spacing w:after="0" w:line="360" w:lineRule="auto"/>
        <w:rPr>
          <w:rStyle w:val="bzpyqfadein"/>
          <w:rFonts w:ascii="Arial" w:hAnsi="Arial" w:cs="Arial"/>
          <w:sz w:val="22"/>
          <w:szCs w:val="22"/>
        </w:rPr>
      </w:pPr>
    </w:p>
    <w:p w14:paraId="1043F462" w14:textId="77777777" w:rsidR="000064C1" w:rsidRDefault="000064C1" w:rsidP="000064C1">
      <w:pPr>
        <w:spacing w:after="0" w:line="360" w:lineRule="auto"/>
        <w:rPr>
          <w:rStyle w:val="bzpyqfadein"/>
          <w:rFonts w:ascii="Arial" w:hAnsi="Arial" w:cs="Arial"/>
          <w:sz w:val="22"/>
          <w:szCs w:val="22"/>
        </w:rPr>
      </w:pPr>
    </w:p>
    <w:p w14:paraId="4D498D8B" w14:textId="77777777" w:rsidR="000064C1" w:rsidRDefault="000064C1" w:rsidP="000064C1">
      <w:pPr>
        <w:spacing w:after="0" w:line="360" w:lineRule="auto"/>
        <w:rPr>
          <w:rStyle w:val="bzpyqfadein"/>
          <w:rFonts w:ascii="Arial" w:hAnsi="Arial" w:cs="Arial"/>
          <w:sz w:val="22"/>
          <w:szCs w:val="22"/>
        </w:rPr>
      </w:pPr>
    </w:p>
    <w:p w14:paraId="079FB404" w14:textId="77777777" w:rsidR="000064C1" w:rsidRDefault="000064C1" w:rsidP="000064C1">
      <w:pPr>
        <w:spacing w:after="0" w:line="360" w:lineRule="auto"/>
        <w:rPr>
          <w:rStyle w:val="bzpyqfadein"/>
          <w:rFonts w:ascii="Arial" w:hAnsi="Arial" w:cs="Arial"/>
          <w:sz w:val="22"/>
          <w:szCs w:val="22"/>
        </w:rPr>
      </w:pPr>
    </w:p>
    <w:p w14:paraId="5674E184" w14:textId="77777777" w:rsidR="000064C1" w:rsidRPr="00FA19CF" w:rsidRDefault="000064C1" w:rsidP="000064C1">
      <w:pPr>
        <w:spacing w:after="0" w:line="360" w:lineRule="auto"/>
        <w:rPr>
          <w:rFonts w:ascii="Arial" w:eastAsia="Times New Roman" w:hAnsi="Arial" w:cs="Arial"/>
          <w:kern w:val="0"/>
          <w:sz w:val="22"/>
          <w:szCs w:val="22"/>
          <w:lang w:eastAsia="en-GB"/>
          <w14:ligatures w14:val="none"/>
        </w:rPr>
      </w:pPr>
    </w:p>
    <w:p w14:paraId="2139D86A" w14:textId="77777777" w:rsidR="00FA19CF" w:rsidRPr="00E22653" w:rsidRDefault="00FA19CF" w:rsidP="00E22653">
      <w:pPr>
        <w:spacing w:line="360" w:lineRule="auto"/>
        <w:rPr>
          <w:rFonts w:ascii="Arial" w:eastAsia="Times New Roman" w:hAnsi="Arial" w:cs="Arial"/>
          <w:kern w:val="0"/>
          <w:sz w:val="22"/>
          <w:szCs w:val="22"/>
          <w:lang w:eastAsia="en-GB"/>
          <w14:ligatures w14:val="none"/>
        </w:rPr>
      </w:pPr>
    </w:p>
    <w:p w14:paraId="4EED7E22" w14:textId="7772ECD5" w:rsidR="00E22653" w:rsidRPr="00E22653" w:rsidRDefault="00E22653" w:rsidP="00E22653">
      <w:pPr>
        <w:spacing w:after="0" w:line="360" w:lineRule="auto"/>
        <w:rPr>
          <w:rFonts w:ascii="Arial" w:eastAsia="Times New Roman" w:hAnsi="Arial" w:cs="Arial"/>
          <w:kern w:val="0"/>
          <w:sz w:val="22"/>
          <w:szCs w:val="22"/>
          <w:lang w:eastAsia="en-GB"/>
          <w14:ligatures w14:val="none"/>
        </w:rPr>
      </w:pPr>
      <w:r w:rsidRPr="00E22653">
        <w:rPr>
          <w:rFonts w:ascii="Arial" w:eastAsia="Times New Roman" w:hAnsi="Arial" w:cs="Arial"/>
          <w:kern w:val="0"/>
          <w:sz w:val="22"/>
          <w:szCs w:val="22"/>
          <w:lang w:eastAsia="en-GB"/>
          <w14:ligatures w14:val="none"/>
        </w:rPr>
        <w:t xml:space="preserve"> </w:t>
      </w:r>
    </w:p>
    <w:p w14:paraId="7622D194" w14:textId="77777777" w:rsidR="00E22653" w:rsidRPr="00FD7531" w:rsidRDefault="00E22653" w:rsidP="0050120E">
      <w:pPr>
        <w:spacing w:line="360" w:lineRule="auto"/>
        <w:rPr>
          <w:rFonts w:ascii="Arial" w:eastAsia="Times New Roman" w:hAnsi="Arial" w:cs="Arial"/>
          <w:kern w:val="0"/>
          <w:sz w:val="22"/>
          <w:szCs w:val="22"/>
          <w:lang w:eastAsia="en-GB"/>
          <w14:ligatures w14:val="none"/>
        </w:rPr>
      </w:pPr>
    </w:p>
    <w:p w14:paraId="4833997D" w14:textId="7E9919E5" w:rsidR="0050120E" w:rsidRPr="0050120E" w:rsidRDefault="0050120E" w:rsidP="0050120E">
      <w:pPr>
        <w:spacing w:after="0" w:line="240" w:lineRule="auto"/>
        <w:rPr>
          <w:rFonts w:ascii="Times New Roman" w:eastAsia="Times New Roman" w:hAnsi="Times New Roman" w:cs="Times New Roman"/>
          <w:kern w:val="0"/>
          <w:lang w:eastAsia="en-GB"/>
          <w14:ligatures w14:val="none"/>
        </w:rPr>
      </w:pPr>
    </w:p>
    <w:p w14:paraId="18279030" w14:textId="5A2F8F0C" w:rsidR="001F53C8" w:rsidRPr="00E62AA0" w:rsidRDefault="001F53C8" w:rsidP="001F53C8">
      <w:pPr>
        <w:spacing w:line="360" w:lineRule="auto"/>
        <w:rPr>
          <w:rFonts w:ascii="Arial" w:hAnsi="Arial" w:cs="Arial"/>
          <w:b/>
          <w:bCs/>
          <w:sz w:val="52"/>
          <w:szCs w:val="52"/>
          <w:u w:val="single"/>
        </w:rPr>
      </w:pPr>
    </w:p>
    <w:sectPr w:rsidR="001F53C8" w:rsidRPr="00E62AA0" w:rsidSect="00E7608D">
      <w:headerReference w:type="default" r:id="rId13"/>
      <w:pgSz w:w="11906" w:h="16838"/>
      <w:pgMar w:top="1440" w:right="1440" w:bottom="1440" w:left="1440" w:header="737"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9B8E8C" w14:textId="77777777" w:rsidR="006B39E0" w:rsidRDefault="006B39E0" w:rsidP="00C240D8">
      <w:pPr>
        <w:spacing w:after="0" w:line="240" w:lineRule="auto"/>
      </w:pPr>
      <w:r>
        <w:separator/>
      </w:r>
    </w:p>
  </w:endnote>
  <w:endnote w:type="continuationSeparator" w:id="0">
    <w:p w14:paraId="35C59381" w14:textId="77777777" w:rsidR="006B39E0" w:rsidRDefault="006B39E0" w:rsidP="00C240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D702D" w14:textId="77777777" w:rsidR="006B39E0" w:rsidRDefault="006B39E0" w:rsidP="00C240D8">
      <w:pPr>
        <w:spacing w:after="0" w:line="240" w:lineRule="auto"/>
      </w:pPr>
      <w:r>
        <w:separator/>
      </w:r>
    </w:p>
  </w:footnote>
  <w:footnote w:type="continuationSeparator" w:id="0">
    <w:p w14:paraId="29D94C29" w14:textId="77777777" w:rsidR="006B39E0" w:rsidRDefault="006B39E0" w:rsidP="00C240D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7998693"/>
      <w:docPartObj>
        <w:docPartGallery w:val="Page Numbers (Top of Page)"/>
        <w:docPartUnique/>
      </w:docPartObj>
    </w:sdtPr>
    <w:sdtEndPr>
      <w:rPr>
        <w:color w:val="7F7F7F" w:themeColor="background1" w:themeShade="7F"/>
        <w:spacing w:val="60"/>
      </w:rPr>
    </w:sdtEndPr>
    <w:sdtContent>
      <w:p w14:paraId="0752C223" w14:textId="3323952E" w:rsidR="0053560E" w:rsidRDefault="0053560E">
        <w:pPr>
          <w:pStyle w:val="Header"/>
          <w:pBdr>
            <w:bottom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7E49C1A2" w14:textId="77777777" w:rsidR="0053560E" w:rsidRDefault="0053560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3C8"/>
    <w:rsid w:val="000064C1"/>
    <w:rsid w:val="00142665"/>
    <w:rsid w:val="00152D73"/>
    <w:rsid w:val="001655CF"/>
    <w:rsid w:val="001C24BF"/>
    <w:rsid w:val="001F53C8"/>
    <w:rsid w:val="00232820"/>
    <w:rsid w:val="00286FAF"/>
    <w:rsid w:val="002A68B7"/>
    <w:rsid w:val="002D6D1B"/>
    <w:rsid w:val="003942D0"/>
    <w:rsid w:val="003B2504"/>
    <w:rsid w:val="003C204E"/>
    <w:rsid w:val="003C5E83"/>
    <w:rsid w:val="003E3E4D"/>
    <w:rsid w:val="003F4801"/>
    <w:rsid w:val="00404DE7"/>
    <w:rsid w:val="00471DC3"/>
    <w:rsid w:val="004F44C8"/>
    <w:rsid w:val="0050120E"/>
    <w:rsid w:val="00522AE9"/>
    <w:rsid w:val="00526145"/>
    <w:rsid w:val="0053560E"/>
    <w:rsid w:val="005A1A49"/>
    <w:rsid w:val="005B398C"/>
    <w:rsid w:val="00616A3E"/>
    <w:rsid w:val="00635CC8"/>
    <w:rsid w:val="006B39E0"/>
    <w:rsid w:val="00754D74"/>
    <w:rsid w:val="007861FC"/>
    <w:rsid w:val="007B0E68"/>
    <w:rsid w:val="007D74E6"/>
    <w:rsid w:val="007F635F"/>
    <w:rsid w:val="007F7340"/>
    <w:rsid w:val="008F582E"/>
    <w:rsid w:val="0096650C"/>
    <w:rsid w:val="00992EFE"/>
    <w:rsid w:val="009B17FA"/>
    <w:rsid w:val="00A71DB0"/>
    <w:rsid w:val="00B43559"/>
    <w:rsid w:val="00B7119C"/>
    <w:rsid w:val="00B84172"/>
    <w:rsid w:val="00BE4F30"/>
    <w:rsid w:val="00C019D7"/>
    <w:rsid w:val="00C240D8"/>
    <w:rsid w:val="00C2656F"/>
    <w:rsid w:val="00C616A7"/>
    <w:rsid w:val="00C87CAA"/>
    <w:rsid w:val="00CD391A"/>
    <w:rsid w:val="00CF0B02"/>
    <w:rsid w:val="00D5504E"/>
    <w:rsid w:val="00DC0C8F"/>
    <w:rsid w:val="00DF2E6E"/>
    <w:rsid w:val="00DF648D"/>
    <w:rsid w:val="00E02D9F"/>
    <w:rsid w:val="00E14A78"/>
    <w:rsid w:val="00E22653"/>
    <w:rsid w:val="00E31CAE"/>
    <w:rsid w:val="00E62AA0"/>
    <w:rsid w:val="00E7608D"/>
    <w:rsid w:val="00EE36DD"/>
    <w:rsid w:val="00F10F58"/>
    <w:rsid w:val="00F35E02"/>
    <w:rsid w:val="00FA19CF"/>
    <w:rsid w:val="00FA2A8C"/>
    <w:rsid w:val="00FD7531"/>
    <w:rsid w:val="00FF5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D734B"/>
  <w15:chartTrackingRefBased/>
  <w15:docId w15:val="{607D00AB-8C73-423B-AD0B-F246B084B6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3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53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53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53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53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3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3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3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3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3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53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53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53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53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3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3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3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3C8"/>
    <w:rPr>
      <w:rFonts w:eastAsiaTheme="majorEastAsia" w:cstheme="majorBidi"/>
      <w:color w:val="272727" w:themeColor="text1" w:themeTint="D8"/>
    </w:rPr>
  </w:style>
  <w:style w:type="paragraph" w:styleId="Title">
    <w:name w:val="Title"/>
    <w:basedOn w:val="Normal"/>
    <w:next w:val="Normal"/>
    <w:link w:val="TitleChar"/>
    <w:uiPriority w:val="10"/>
    <w:qFormat/>
    <w:rsid w:val="001F53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3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3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3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3C8"/>
    <w:pPr>
      <w:spacing w:before="160"/>
      <w:jc w:val="center"/>
    </w:pPr>
    <w:rPr>
      <w:i/>
      <w:iCs/>
      <w:color w:val="404040" w:themeColor="text1" w:themeTint="BF"/>
    </w:rPr>
  </w:style>
  <w:style w:type="character" w:customStyle="1" w:styleId="QuoteChar">
    <w:name w:val="Quote Char"/>
    <w:basedOn w:val="DefaultParagraphFont"/>
    <w:link w:val="Quote"/>
    <w:uiPriority w:val="29"/>
    <w:rsid w:val="001F53C8"/>
    <w:rPr>
      <w:i/>
      <w:iCs/>
      <w:color w:val="404040" w:themeColor="text1" w:themeTint="BF"/>
    </w:rPr>
  </w:style>
  <w:style w:type="paragraph" w:styleId="ListParagraph">
    <w:name w:val="List Paragraph"/>
    <w:basedOn w:val="Normal"/>
    <w:uiPriority w:val="34"/>
    <w:qFormat/>
    <w:rsid w:val="001F53C8"/>
    <w:pPr>
      <w:ind w:left="720"/>
      <w:contextualSpacing/>
    </w:pPr>
  </w:style>
  <w:style w:type="character" w:styleId="IntenseEmphasis">
    <w:name w:val="Intense Emphasis"/>
    <w:basedOn w:val="DefaultParagraphFont"/>
    <w:uiPriority w:val="21"/>
    <w:qFormat/>
    <w:rsid w:val="001F53C8"/>
    <w:rPr>
      <w:i/>
      <w:iCs/>
      <w:color w:val="0F4761" w:themeColor="accent1" w:themeShade="BF"/>
    </w:rPr>
  </w:style>
  <w:style w:type="paragraph" w:styleId="IntenseQuote">
    <w:name w:val="Intense Quote"/>
    <w:basedOn w:val="Normal"/>
    <w:next w:val="Normal"/>
    <w:link w:val="IntenseQuoteChar"/>
    <w:uiPriority w:val="30"/>
    <w:qFormat/>
    <w:rsid w:val="001F53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3C8"/>
    <w:rPr>
      <w:i/>
      <w:iCs/>
      <w:color w:val="0F4761" w:themeColor="accent1" w:themeShade="BF"/>
    </w:rPr>
  </w:style>
  <w:style w:type="character" w:styleId="IntenseReference">
    <w:name w:val="Intense Reference"/>
    <w:basedOn w:val="DefaultParagraphFont"/>
    <w:uiPriority w:val="32"/>
    <w:qFormat/>
    <w:rsid w:val="001F53C8"/>
    <w:rPr>
      <w:b/>
      <w:bCs/>
      <w:smallCaps/>
      <w:color w:val="0F4761" w:themeColor="accent1" w:themeShade="BF"/>
      <w:spacing w:val="5"/>
    </w:rPr>
  </w:style>
  <w:style w:type="paragraph" w:styleId="NoSpacing">
    <w:name w:val="No Spacing"/>
    <w:link w:val="NoSpacingChar"/>
    <w:uiPriority w:val="1"/>
    <w:qFormat/>
    <w:rsid w:val="00D5504E"/>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5504E"/>
    <w:rPr>
      <w:rFonts w:eastAsiaTheme="minorEastAsia"/>
      <w:kern w:val="0"/>
      <w:sz w:val="22"/>
      <w:szCs w:val="22"/>
      <w:lang w:eastAsia="en-GB"/>
      <w14:ligatures w14:val="none"/>
    </w:rPr>
  </w:style>
  <w:style w:type="character" w:customStyle="1" w:styleId="bzpyqfadein">
    <w:name w:val="bz_pyq_fadein"/>
    <w:basedOn w:val="DefaultParagraphFont"/>
    <w:rsid w:val="00FD7531"/>
  </w:style>
  <w:style w:type="character" w:styleId="Hyperlink">
    <w:name w:val="Hyperlink"/>
    <w:basedOn w:val="DefaultParagraphFont"/>
    <w:uiPriority w:val="99"/>
    <w:unhideWhenUsed/>
    <w:rsid w:val="000064C1"/>
    <w:rPr>
      <w:color w:val="467886" w:themeColor="hyperlink"/>
      <w:u w:val="single"/>
    </w:rPr>
  </w:style>
  <w:style w:type="character" w:styleId="UnresolvedMention">
    <w:name w:val="Unresolved Mention"/>
    <w:basedOn w:val="DefaultParagraphFont"/>
    <w:uiPriority w:val="99"/>
    <w:semiHidden/>
    <w:unhideWhenUsed/>
    <w:rsid w:val="000064C1"/>
    <w:rPr>
      <w:color w:val="605E5C"/>
      <w:shd w:val="clear" w:color="auto" w:fill="E1DFDD"/>
    </w:rPr>
  </w:style>
  <w:style w:type="character" w:styleId="Emphasis">
    <w:name w:val="Emphasis"/>
    <w:basedOn w:val="DefaultParagraphFont"/>
    <w:uiPriority w:val="20"/>
    <w:qFormat/>
    <w:rsid w:val="002A68B7"/>
    <w:rPr>
      <w:i/>
      <w:iCs/>
    </w:rPr>
  </w:style>
  <w:style w:type="paragraph" w:styleId="Header">
    <w:name w:val="header"/>
    <w:basedOn w:val="Normal"/>
    <w:link w:val="HeaderChar"/>
    <w:uiPriority w:val="99"/>
    <w:unhideWhenUsed/>
    <w:rsid w:val="00C240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40D8"/>
  </w:style>
  <w:style w:type="paragraph" w:styleId="Footer">
    <w:name w:val="footer"/>
    <w:basedOn w:val="Normal"/>
    <w:link w:val="FooterChar"/>
    <w:uiPriority w:val="99"/>
    <w:unhideWhenUsed/>
    <w:rsid w:val="00C240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40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3607863.2022.214815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21504/sajg.v2i1" TargetMode="Externa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yperlink" Target="https://doi.org/10.1016/j.jaging.2022.101057" TargetMode="External"/><Relationship Id="rId4" Type="http://schemas.openxmlformats.org/officeDocument/2006/relationships/webSettings" Target="webSettings.xml"/><Relationship Id="rId9" Type="http://schemas.openxmlformats.org/officeDocument/2006/relationships/hyperlink" Target="https://ijal.se"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44724EC8D8E4B44BD24F325E4F702BA"/>
        <w:category>
          <w:name w:val="General"/>
          <w:gallery w:val="placeholder"/>
        </w:category>
        <w:types>
          <w:type w:val="bbPlcHdr"/>
        </w:types>
        <w:behaviors>
          <w:behavior w:val="content"/>
        </w:behaviors>
        <w:guid w:val="{75DF206A-91BD-48FC-BC37-ED9112E8EBA1}"/>
      </w:docPartPr>
      <w:docPartBody>
        <w:p w:rsidR="00F177F4" w:rsidRDefault="00772F1E" w:rsidP="00772F1E">
          <w:pPr>
            <w:pStyle w:val="744724EC8D8E4B44BD24F325E4F702BA"/>
          </w:pPr>
          <w:r>
            <w:rPr>
              <w:rFonts w:asciiTheme="majorHAnsi" w:eastAsiaTheme="majorEastAsia" w:hAnsiTheme="majorHAnsi" w:cstheme="majorBidi"/>
              <w:caps/>
              <w:color w:val="156082" w:themeColor="accent1"/>
              <w:sz w:val="80"/>
              <w:szCs w:val="80"/>
            </w:rPr>
            <w:t>[Document title]</w:t>
          </w:r>
        </w:p>
      </w:docPartBody>
    </w:docPart>
    <w:docPart>
      <w:docPartPr>
        <w:name w:val="5BD4B6D1310949B68C5A09C8BE83EA87"/>
        <w:category>
          <w:name w:val="General"/>
          <w:gallery w:val="placeholder"/>
        </w:category>
        <w:types>
          <w:type w:val="bbPlcHdr"/>
        </w:types>
        <w:behaviors>
          <w:behavior w:val="content"/>
        </w:behaviors>
        <w:guid w:val="{096FA64E-BBF9-4F69-8016-00524CD09E48}"/>
      </w:docPartPr>
      <w:docPartBody>
        <w:p w:rsidR="00F177F4" w:rsidRDefault="00772F1E" w:rsidP="00772F1E">
          <w:pPr>
            <w:pStyle w:val="5BD4B6D1310949B68C5A09C8BE83EA87"/>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F1E"/>
    <w:rsid w:val="004F233E"/>
    <w:rsid w:val="00616A3E"/>
    <w:rsid w:val="00772F1E"/>
    <w:rsid w:val="00C81200"/>
    <w:rsid w:val="00F10F58"/>
    <w:rsid w:val="00F17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44724EC8D8E4B44BD24F325E4F702BA">
    <w:name w:val="744724EC8D8E4B44BD24F325E4F702BA"/>
    <w:rsid w:val="00772F1E"/>
  </w:style>
  <w:style w:type="paragraph" w:customStyle="1" w:styleId="5BD4B6D1310949B68C5A09C8BE83EA87">
    <w:name w:val="5BD4B6D1310949B68C5A09C8BE83EA87"/>
    <w:rsid w:val="00772F1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lectuer: helen PARSONS</PublishDate>
  <Abstract/>
  <CompanyAddress>Student number</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1726</Words>
  <Characters>9844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Psycholigical theories of adult development and wellbing</vt:lpstr>
    </vt:vector>
  </TitlesOfParts>
  <Company>Module code: lchs4010</Company>
  <LinksUpToDate>false</LinksUpToDate>
  <CharactersWithSpaces>11547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Psycholigical theories of adult development and wellbing</dc:title>
  <dc:subject>Patricia Parkes</dc:subject>
  <dc:creator>patricia parkes</dc:creator>
  <cp:keywords/>
  <dc:description/>
  <cp:lastModifiedBy>patricia parkes</cp:lastModifiedBy>
  <cp:revision>3</cp:revision>
  <dcterms:created xsi:type="dcterms:W3CDTF">2026-03-19T11:12:00Z</dcterms:created>
  <dcterms:modified xsi:type="dcterms:W3CDTF">2026-03-19T12:21:00Z</dcterms:modified>
</cp:coreProperties>
</file>