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B62E0B">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b/>
          <w:color w:val="000000"/>
          <w:sz w:val="32"/>
          <w:szCs w:val="32"/>
        </w:rPr>
      </w:pPr>
    </w:p>
    <w:p w14:paraId="34113CA8">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b/>
          <w:color w:val="000000"/>
          <w:sz w:val="32"/>
          <w:szCs w:val="32"/>
        </w:rPr>
      </w:pPr>
    </w:p>
    <w:p w14:paraId="1450B8A6">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b/>
          <w:color w:val="000000"/>
          <w:sz w:val="32"/>
          <w:szCs w:val="32"/>
        </w:rPr>
      </w:pPr>
    </w:p>
    <w:p w14:paraId="77C873F2">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b/>
          <w:color w:val="000000"/>
          <w:sz w:val="32"/>
          <w:szCs w:val="32"/>
        </w:rPr>
      </w:pPr>
    </w:p>
    <w:p w14:paraId="6014FB3B">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b/>
          <w:color w:val="000000"/>
          <w:sz w:val="32"/>
          <w:szCs w:val="32"/>
        </w:rPr>
      </w:pPr>
    </w:p>
    <w:p w14:paraId="1FF6EB11">
      <w:pPr>
        <w:widowControl w:val="0"/>
        <w:spacing w:line="360" w:lineRule="auto"/>
        <w:ind w:left="127"/>
        <w:jc w:val="center"/>
        <w:rPr>
          <w:rFonts w:ascii="Times New Roman" w:hAnsi="Times New Roman" w:eastAsia="Times New Roman" w:cs="Times New Roman"/>
          <w:b/>
          <w:sz w:val="36"/>
          <w:szCs w:val="36"/>
        </w:rPr>
      </w:pPr>
      <w:r>
        <w:rPr>
          <w:rFonts w:ascii="Times New Roman" w:hAnsi="Times New Roman" w:eastAsia="Times New Roman" w:cs="Times New Roman"/>
          <w:b/>
          <w:sz w:val="36"/>
          <w:szCs w:val="36"/>
        </w:rPr>
        <w:t xml:space="preserve">Organisational Consultancy </w:t>
      </w:r>
    </w:p>
    <w:p w14:paraId="5EA49C7A">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b/>
          <w:color w:val="000000"/>
          <w:sz w:val="36"/>
          <w:szCs w:val="36"/>
        </w:rPr>
      </w:pPr>
      <w:r>
        <w:rPr>
          <w:rFonts w:ascii="Times New Roman" w:hAnsi="Times New Roman" w:eastAsia="Times New Roman" w:cs="Times New Roman"/>
          <w:b/>
          <w:color w:val="000000"/>
          <w:sz w:val="36"/>
          <w:szCs w:val="36"/>
        </w:rPr>
        <w:t xml:space="preserve">Name of report: </w:t>
      </w:r>
      <w:r>
        <w:rPr>
          <w:rFonts w:ascii="Times New Roman" w:hAnsi="Times New Roman" w:eastAsia="Times New Roman" w:cs="Times New Roman"/>
          <w:b/>
          <w:sz w:val="36"/>
          <w:szCs w:val="36"/>
        </w:rPr>
        <w:t xml:space="preserve">Organisational Consultancy- Level 6 </w:t>
      </w:r>
    </w:p>
    <w:p w14:paraId="697BC0C0">
      <w:pPr>
        <w:pBdr>
          <w:top w:val="none" w:color="auto" w:sz="0" w:space="0"/>
          <w:left w:val="none" w:color="auto" w:sz="0" w:space="0"/>
          <w:bottom w:val="none" w:color="auto" w:sz="0" w:space="0"/>
          <w:right w:val="none" w:color="auto" w:sz="0" w:space="0"/>
          <w:between w:val="none" w:color="auto" w:sz="0" w:space="0"/>
        </w:pBdr>
        <w:spacing w:line="360" w:lineRule="auto"/>
        <w:jc w:val="center"/>
        <w:rPr>
          <w:rFonts w:hint="default" w:ascii="Times New Roman" w:hAnsi="Times New Roman" w:eastAsia="Times New Roman"/>
          <w:b/>
          <w:color w:val="000000"/>
          <w:sz w:val="36"/>
          <w:szCs w:val="36"/>
          <w:lang w:val="en-GB"/>
        </w:rPr>
      </w:pPr>
      <w:r>
        <w:rPr>
          <w:rFonts w:hint="default" w:ascii="Times New Roman" w:hAnsi="Times New Roman" w:eastAsia="Times New Roman"/>
          <w:b/>
          <w:color w:val="000000"/>
          <w:sz w:val="36"/>
          <w:szCs w:val="36"/>
          <w:lang w:val="en-GB"/>
        </w:rPr>
        <w:t>Student Name: Lidia Leva</w:t>
      </w:r>
    </w:p>
    <w:p w14:paraId="15AE471F">
      <w:pPr>
        <w:pBdr>
          <w:top w:val="none" w:color="auto" w:sz="0" w:space="0"/>
          <w:left w:val="none" w:color="auto" w:sz="0" w:space="0"/>
          <w:bottom w:val="none" w:color="auto" w:sz="0" w:space="0"/>
          <w:right w:val="none" w:color="auto" w:sz="0" w:space="0"/>
          <w:between w:val="none" w:color="auto" w:sz="0" w:space="0"/>
        </w:pBdr>
        <w:spacing w:line="360" w:lineRule="auto"/>
        <w:jc w:val="center"/>
        <w:rPr>
          <w:rFonts w:hint="default" w:ascii="Times New Roman" w:hAnsi="Times New Roman" w:eastAsia="Times New Roman" w:cs="Times New Roman"/>
          <w:b/>
          <w:color w:val="000000"/>
          <w:sz w:val="36"/>
          <w:szCs w:val="36"/>
          <w:lang w:val="en-GB"/>
        </w:rPr>
      </w:pPr>
      <w:r>
        <w:rPr>
          <w:rFonts w:hint="default" w:ascii="Times New Roman" w:hAnsi="Times New Roman" w:eastAsia="Times New Roman"/>
          <w:b/>
          <w:color w:val="000000"/>
          <w:sz w:val="36"/>
          <w:szCs w:val="36"/>
          <w:lang w:val="en-GB"/>
        </w:rPr>
        <w:t>Student ID: 2242891</w:t>
      </w:r>
    </w:p>
    <w:p w14:paraId="32EC17D0">
      <w:pPr>
        <w:pBdr>
          <w:top w:val="none" w:color="auto" w:sz="0" w:space="0"/>
          <w:left w:val="none" w:color="auto" w:sz="0" w:space="0"/>
          <w:bottom w:val="none" w:color="auto" w:sz="0" w:space="0"/>
          <w:right w:val="none" w:color="auto" w:sz="0" w:space="0"/>
          <w:between w:val="none" w:color="auto" w:sz="0" w:space="0"/>
        </w:pBdr>
        <w:spacing w:line="360" w:lineRule="auto"/>
        <w:jc w:val="center"/>
        <w:rPr>
          <w:rFonts w:hint="default" w:ascii="Times New Roman" w:hAnsi="Times New Roman" w:eastAsia="Times New Roman" w:cs="Times New Roman"/>
          <w:b/>
          <w:color w:val="000000"/>
          <w:sz w:val="36"/>
          <w:szCs w:val="36"/>
          <w:lang w:val="en-GB"/>
        </w:rPr>
      </w:pPr>
      <w:bookmarkStart w:id="17" w:name="_GoBack"/>
      <w:bookmarkEnd w:id="17"/>
      <w:r>
        <w:rPr>
          <w:rFonts w:hint="default" w:ascii="Times New Roman" w:hAnsi="Times New Roman" w:eastAsia="Times New Roman" w:cs="Times New Roman"/>
          <w:b/>
          <w:color w:val="000000"/>
          <w:sz w:val="36"/>
          <w:szCs w:val="36"/>
          <w:lang w:val="en-GB"/>
        </w:rPr>
        <w:t xml:space="preserve">  </w:t>
      </w:r>
      <w:r>
        <w:rPr>
          <w:rFonts w:hint="default" w:ascii="Times New Roman" w:hAnsi="Times New Roman" w:eastAsia="Times New Roman"/>
          <w:b/>
          <w:color w:val="000000"/>
          <w:sz w:val="36"/>
          <w:szCs w:val="36"/>
          <w:lang w:val="en-GB"/>
        </w:rPr>
        <w:t>Module Leader : Neil Dyer</w:t>
      </w:r>
    </w:p>
    <w:p w14:paraId="30B6A057">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color w:val="000000"/>
          <w:sz w:val="32"/>
          <w:szCs w:val="32"/>
        </w:rPr>
      </w:pPr>
      <w:r>
        <w:br w:type="page"/>
      </w:r>
    </w:p>
    <w:p w14:paraId="6931E552">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Table of Contents </w:t>
      </w:r>
    </w:p>
    <w:sdt>
      <w:sdtPr>
        <w:id w:val="-426276177"/>
        <w:docPartObj>
          <w:docPartGallery w:val="Table of Contents"/>
          <w:docPartUnique/>
        </w:docPartObj>
      </w:sdtPr>
      <w:sdtContent>
        <w:p w14:paraId="66985BEE">
          <w:pPr>
            <w:pStyle w:val="17"/>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\u \z \t "Heading 1,1,Heading 2,2,Heading 3,3,Heading 4,4,Heading 5,5,Heading 6,6,"</w:instrText>
          </w:r>
          <w:r>
            <w:rPr>
              <w:rFonts w:ascii="Times New Roman" w:hAnsi="Times New Roman" w:cs="Times New Roman"/>
              <w:sz w:val="24"/>
              <w:szCs w:val="24"/>
            </w:rPr>
            <w:fldChar w:fldCharType="separate"/>
          </w:r>
          <w:r>
            <w:fldChar w:fldCharType="begin"/>
          </w:r>
          <w:r>
            <w:instrText xml:space="preserve"> HYPERLINK \l "_Toc199873189" </w:instrText>
          </w:r>
          <w:r>
            <w:fldChar w:fldCharType="separate"/>
          </w:r>
          <w:r>
            <w:rPr>
              <w:rStyle w:val="14"/>
              <w:rFonts w:ascii="Times New Roman" w:hAnsi="Times New Roman" w:cs="Times New Roman"/>
              <w:sz w:val="24"/>
              <w:szCs w:val="24"/>
            </w:rPr>
            <w:t>Executive Summary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_Toc199873189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E0B995E">
          <w:pPr>
            <w:pStyle w:val="17"/>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"_Toc199873190" </w:instrText>
          </w:r>
          <w:r>
            <w:fldChar w:fldCharType="separate"/>
          </w:r>
          <w:r>
            <w:rPr>
              <w:rStyle w:val="14"/>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_Toc199873190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E07982C">
          <w:pPr>
            <w:pStyle w:val="18"/>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"_Toc199873191" </w:instrText>
          </w:r>
          <w:r>
            <w:fldChar w:fldCharType="separate"/>
          </w:r>
          <w:r>
            <w:rPr>
              <w:rStyle w:val="14"/>
              <w:rFonts w:ascii="Times New Roman" w:hAnsi="Times New Roman" w:cs="Times New Roman"/>
              <w:sz w:val="24"/>
              <w:szCs w:val="24"/>
            </w:rPr>
            <w:t>Background of the hotel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_Toc199873191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4658E8D">
          <w:pPr>
            <w:pStyle w:val="18"/>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"_Toc199873192" </w:instrText>
          </w:r>
          <w:r>
            <w:fldChar w:fldCharType="separate"/>
          </w:r>
          <w:r>
            <w:rPr>
              <w:rStyle w:val="14"/>
              <w:rFonts w:ascii="Times New Roman" w:hAnsi="Times New Roman" w:cs="Times New Roman"/>
              <w:sz w:val="24"/>
              <w:szCs w:val="24"/>
            </w:rPr>
            <w:t>Background of the consultancy firm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_Toc199873192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71A8466">
          <w:pPr>
            <w:pStyle w:val="17"/>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"_Toc199873193" </w:instrText>
          </w:r>
          <w:r>
            <w:fldChar w:fldCharType="separate"/>
          </w:r>
          <w:r>
            <w:rPr>
              <w:rStyle w:val="14"/>
              <w:rFonts w:ascii="Times New Roman" w:hAnsi="Times New Roman" w:cs="Times New Roman"/>
              <w:sz w:val="24"/>
              <w:szCs w:val="24"/>
            </w:rPr>
            <w:t>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_Toc199873193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F561A56">
          <w:pPr>
            <w:pStyle w:val="18"/>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"_Toc199873194" </w:instrText>
          </w:r>
          <w:r>
            <w:fldChar w:fldCharType="separate"/>
          </w:r>
          <w:r>
            <w:rPr>
              <w:rStyle w:val="14"/>
              <w:rFonts w:ascii="Times New Roman" w:hAnsi="Times New Roman" w:cs="Times New Roman"/>
              <w:sz w:val="24"/>
              <w:szCs w:val="24"/>
            </w:rPr>
            <w:t>Analysis of the issue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_Toc199873194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53D5AEB">
          <w:pPr>
            <w:pStyle w:val="18"/>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"_Toc199873195" </w:instrText>
          </w:r>
          <w:r>
            <w:fldChar w:fldCharType="separate"/>
          </w:r>
          <w:r>
            <w:rPr>
              <w:rStyle w:val="14"/>
              <w:rFonts w:ascii="Times New Roman" w:hAnsi="Times New Roman" w:cs="Times New Roman"/>
              <w:sz w:val="24"/>
              <w:szCs w:val="24"/>
            </w:rPr>
            <w:t>STEEPLED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_Toc199873195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DD59EA5">
          <w:pPr>
            <w:pStyle w:val="18"/>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"_Toc199873196" </w:instrText>
          </w:r>
          <w:r>
            <w:fldChar w:fldCharType="separate"/>
          </w:r>
          <w:r>
            <w:rPr>
              <w:rStyle w:val="14"/>
              <w:rFonts w:ascii="Times New Roman" w:hAnsi="Times New Roman" w:cs="Times New Roman"/>
              <w:sz w:val="24"/>
              <w:szCs w:val="24"/>
            </w:rPr>
            <w:t>SWOT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_Toc199873196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733FF66">
          <w:pPr>
            <w:pStyle w:val="18"/>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"_Toc199873197" </w:instrText>
          </w:r>
          <w:r>
            <w:fldChar w:fldCharType="separate"/>
          </w:r>
          <w:r>
            <w:rPr>
              <w:rStyle w:val="14"/>
              <w:rFonts w:ascii="Times New Roman" w:hAnsi="Times New Roman" w:cs="Times New Roman"/>
              <w:sz w:val="24"/>
              <w:szCs w:val="24"/>
            </w:rPr>
            <w:t>TOWS Matrix</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_Toc199873197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0D9D5A1">
          <w:pPr>
            <w:pStyle w:val="17"/>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"_Toc199873198" </w:instrText>
          </w:r>
          <w:r>
            <w:fldChar w:fldCharType="separate"/>
          </w:r>
          <w:r>
            <w:rPr>
              <w:rStyle w:val="14"/>
              <w:rFonts w:ascii="Times New Roman" w:hAnsi="Times New Roman" w:cs="Times New Roman"/>
              <w:sz w:val="24"/>
              <w:szCs w:val="24"/>
            </w:rPr>
            <w:t>Recommendations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_Toc199873198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FE558B5">
          <w:pPr>
            <w:pStyle w:val="18"/>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"_Toc199873199" </w:instrText>
          </w:r>
          <w:r>
            <w:fldChar w:fldCharType="separate"/>
          </w:r>
          <w:r>
            <w:rPr>
              <w:rStyle w:val="14"/>
              <w:rFonts w:ascii="Times New Roman" w:hAnsi="Times New Roman" w:cs="Times New Roman"/>
              <w:sz w:val="24"/>
              <w:szCs w:val="24"/>
            </w:rPr>
            <w:t>Potential Recommendations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_Toc199873199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C88DBB8">
          <w:pPr>
            <w:pStyle w:val="18"/>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"_Toc199873200" </w:instrText>
          </w:r>
          <w:r>
            <w:fldChar w:fldCharType="separate"/>
          </w:r>
          <w:r>
            <w:rPr>
              <w:rStyle w:val="14"/>
              <w:rFonts w:ascii="Times New Roman" w:hAnsi="Times New Roman" w:cs="Times New Roman"/>
              <w:sz w:val="24"/>
              <w:szCs w:val="24"/>
            </w:rPr>
            <w:t>Change Management Strategy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_Toc199873200 \h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961CBA7">
          <w:pPr>
            <w:pStyle w:val="18"/>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"_Toc199873201" </w:instrText>
          </w:r>
          <w:r>
            <w:fldChar w:fldCharType="separate"/>
          </w:r>
          <w:r>
            <w:rPr>
              <w:rStyle w:val="14"/>
              <w:rFonts w:ascii="Times New Roman" w:hAnsi="Times New Roman" w:cs="Times New Roman"/>
              <w:sz w:val="24"/>
              <w:szCs w:val="24"/>
            </w:rPr>
            <w:t>Measuring Reviews and Projected Benefits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_Toc199873201 \h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7CEAD25">
          <w:pPr>
            <w:pStyle w:val="18"/>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"_Toc199873202" </w:instrText>
          </w:r>
          <w:r>
            <w:fldChar w:fldCharType="separate"/>
          </w:r>
          <w:r>
            <w:rPr>
              <w:rStyle w:val="14"/>
              <w:rFonts w:ascii="Times New Roman" w:hAnsi="Times New Roman" w:cs="Times New Roman"/>
              <w:sz w:val="24"/>
              <w:szCs w:val="24"/>
            </w:rPr>
            <w:t>Projected Cost Structure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_Toc199873202 \h </w:instrText>
          </w:r>
          <w:r>
            <w:rPr>
              <w:rFonts w:ascii="Times New Roman" w:hAnsi="Times New Roman" w:cs="Times New Roman"/>
              <w:sz w:val="24"/>
              <w:szCs w:val="24"/>
            </w:rPr>
            <w:fldChar w:fldCharType="separate"/>
          </w:r>
          <w:r>
            <w:rPr>
              <w:rFonts w:ascii="Times New Roman" w:hAnsi="Times New Roman" w:cs="Times New Roman"/>
              <w:sz w:val="24"/>
              <w:szCs w:val="24"/>
            </w:rPr>
            <w:t>18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ED53870">
          <w:pPr>
            <w:pStyle w:val="17"/>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"_Toc199873203" </w:instrText>
          </w:r>
          <w:r>
            <w:fldChar w:fldCharType="separate"/>
          </w:r>
          <w:r>
            <w:rPr>
              <w:rStyle w:val="14"/>
              <w:rFonts w:ascii="Times New Roman" w:hAnsi="Times New Roman" w:cs="Times New Roman"/>
              <w:sz w:val="24"/>
              <w:szCs w:val="24"/>
            </w:rPr>
            <w:t>Action Plan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_Toc199873203 \h </w:instrText>
          </w:r>
          <w:r>
            <w:rPr>
              <w:rFonts w:ascii="Times New Roman" w:hAnsi="Times New Roman" w:cs="Times New Roman"/>
              <w:sz w:val="24"/>
              <w:szCs w:val="24"/>
            </w:rPr>
            <w:fldChar w:fldCharType="separate"/>
          </w:r>
          <w:r>
            <w:rPr>
              <w:rFonts w:ascii="Times New Roman" w:hAnsi="Times New Roman" w:cs="Times New Roman"/>
              <w:sz w:val="24"/>
              <w:szCs w:val="24"/>
            </w:rPr>
            <w:t>20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4E2EBEB">
          <w:pPr>
            <w:pStyle w:val="17"/>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"_Toc199873204" </w:instrText>
          </w:r>
          <w:r>
            <w:fldChar w:fldCharType="separate"/>
          </w:r>
          <w:r>
            <w:rPr>
              <w:rStyle w:val="14"/>
              <w:rFonts w:ascii="Times New Roman" w:hAnsi="Times New Roman" w:cs="Times New Roman"/>
              <w:sz w:val="24"/>
              <w:szCs w:val="24"/>
            </w:rPr>
            <w:t>Conclusions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_Toc199873204 \h </w:instrText>
          </w:r>
          <w:r>
            <w:rPr>
              <w:rFonts w:ascii="Times New Roman" w:hAnsi="Times New Roman" w:cs="Times New Roman"/>
              <w:sz w:val="24"/>
              <w:szCs w:val="24"/>
            </w:rPr>
            <w:fldChar w:fldCharType="separate"/>
          </w:r>
          <w:r>
            <w:rPr>
              <w:rFonts w:ascii="Times New Roman" w:hAnsi="Times New Roman" w:cs="Times New Roman"/>
              <w:sz w:val="24"/>
              <w:szCs w:val="24"/>
            </w:rPr>
            <w:t>21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08157EF">
          <w:pPr>
            <w:pStyle w:val="17"/>
            <w:tabs>
              <w:tab w:val="right" w:leader="dot" w:pos="9019"/>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"_Toc199873205" </w:instrText>
          </w:r>
          <w:r>
            <w:fldChar w:fldCharType="separate"/>
          </w:r>
          <w:r>
            <w:rPr>
              <w:rStyle w:val="14"/>
              <w:rFonts w:ascii="Times New Roman" w:hAnsi="Times New Roman" w:cs="Times New Roman"/>
              <w:sz w:val="24"/>
              <w:szCs w:val="24"/>
            </w:rPr>
            <w:t>Reference List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_Toc199873205 \h </w:instrText>
          </w:r>
          <w:r>
            <w:rPr>
              <w:rFonts w:ascii="Times New Roman" w:hAnsi="Times New Roman" w:cs="Times New Roman"/>
              <w:sz w:val="24"/>
              <w:szCs w:val="24"/>
            </w:rPr>
            <w:fldChar w:fldCharType="separate"/>
          </w:r>
          <w:r>
            <w:rPr>
              <w:rFonts w:ascii="Times New Roman" w:hAnsi="Times New Roman" w:cs="Times New Roman"/>
              <w:sz w:val="24"/>
              <w:szCs w:val="24"/>
            </w:rPr>
            <w:t>23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0A88D9C">
          <w:pPr>
            <w:widowControl w:val="0"/>
            <w:tabs>
              <w:tab w:val="right" w:leader="dot" w:pos="9025"/>
            </w:tabs>
            <w:spacing w:before="60" w:line="360" w:lineRule="auto"/>
            <w:jc w:val="both"/>
            <w:rPr>
              <w:rFonts w:ascii="Times New Roman" w:hAnsi="Times New Roman" w:eastAsia="Times New Roman" w:cs="Times New Roman"/>
              <w:color w:val="000000"/>
              <w:sz w:val="24"/>
              <w:szCs w:val="24"/>
            </w:rPr>
          </w:pPr>
          <w:r>
            <w:rPr>
              <w:rFonts w:ascii="Times New Roman" w:hAnsi="Times New Roman" w:cs="Times New Roman"/>
              <w:sz w:val="24"/>
              <w:szCs w:val="24"/>
            </w:rPr>
            <w:fldChar w:fldCharType="end"/>
          </w:r>
        </w:p>
      </w:sdtContent>
    </w:sdt>
    <w:p w14:paraId="5D4D41AF">
      <w:pPr>
        <w:pBdr>
          <w:top w:val="none" w:color="auto" w:sz="0" w:space="0"/>
          <w:left w:val="none" w:color="auto" w:sz="0" w:space="0"/>
          <w:bottom w:val="none" w:color="auto" w:sz="0" w:space="0"/>
          <w:right w:val="none" w:color="auto" w:sz="0" w:space="0"/>
          <w:between w:val="none" w:color="auto" w:sz="0" w:space="0"/>
        </w:pBdr>
        <w:spacing w:line="360" w:lineRule="auto"/>
        <w:jc w:val="center"/>
        <w:rPr>
          <w:rFonts w:ascii="Times New Roman" w:hAnsi="Times New Roman" w:eastAsia="Times New Roman" w:cs="Times New Roman"/>
          <w:b/>
          <w:color w:val="000000"/>
          <w:sz w:val="24"/>
          <w:szCs w:val="24"/>
        </w:rPr>
      </w:pPr>
    </w:p>
    <w:p w14:paraId="77DDB043">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b/>
          <w:color w:val="000000"/>
          <w:sz w:val="24"/>
          <w:szCs w:val="24"/>
        </w:rPr>
      </w:pPr>
      <w:r>
        <w:br w:type="page"/>
      </w:r>
    </w:p>
    <w:p w14:paraId="0EBFEFE8">
      <w:pPr>
        <w:pStyle w:val="2"/>
        <w:spacing w:before="0" w:after="0"/>
      </w:pPr>
      <w:bookmarkStart w:id="0" w:name="_Toc199873189"/>
      <w:r>
        <w:t>Executive Summary</w:t>
      </w:r>
      <w:bookmarkEnd w:id="0"/>
      <w:r>
        <w:t xml:space="preserve"> </w:t>
      </w:r>
    </w:p>
    <w:p w14:paraId="74634A9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this contemporary era, Hospital companies in the UK face, labour shortage become one of the major issues that directly harm organisational practices and operations. This study focuses on Oakview Hotel, a popular hospitality chain in the UK. Through this consultancy report, critical issues of labour shortage and potential recommendation strategies are explored. This study showed that after the pandemic and Brexit situations, companies in the hospitality sector in the UK face labour shortage due to stringent migration policies, diplomatic boundaries for the nation to work within the European Union, and evolving market environments due to the post-pandemic circumstances. The study showed organisation backgrounds and mentioned that Oakview Hotel is a 04-star hospitality company, which is located in the magnificent location of Bath. The industrial issue of labour shortage and related challenges are also faced by the company in this contemporary time. A shortage of housekeeping, operational and food and beverage department employees creates significant challenges for the company in the competitive landscape. These challenges directly influence organisational activities and service providing operations that harm its market reputation and customer satisfaction badly. The primary objective of this research was to identify the root causes behind the workforce shortage and analyse the impact of ongoing challenges on organisational practices. Additionally, the study also portrayed strategic recommendations along with an action plan for further development. This consultancy report utilised different types of strategic tools, including STEEPLED Matrix, SWOT Analysis and TOWS Matrix to analyse the situation and comprehend and death understanding by considering both external and internal influencing factors on the organisation’s overall performance. </w:t>
      </w:r>
    </w:p>
    <w:p w14:paraId="2032066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From the understanding and evaluation of STEEPLED Analysis, it has been found that different micro environmental factors influence the company, including social, economic, technological, environmental, political, legal and demographic factors, which are impacting the firm while operating in large-scale activities. From this analysis, it has been found that after the Brexit referendum, the European Union imposed different critical boundaries for the UK and introduced some different boundaries for the country for free trading throughout the European market. Just because of these strict regulations, UK-based companies face issues in getting labour supply from other European markets. As a result, labour shortage becomes a common issue for nearly all sectors. To identify micro environmental factors for the company, this study employed the SWOT analysis. By identifying internal strengths and weaknesses, the consultancy report tried to portray effective areas where the company needs to focus by adopting strategies and considering opportunities. This framework also portrayed external threats to the company and identified how these potential threats can be resolved and implemented in further development policies. In this contemporary situation, it becomes important to identify and analyse how potential strengths and opportunities can be utilised for achieving advantages in the marketplace. Through the TOWS analysis, this consultancy report tried to meet this requirement accordingly. The TOWS matrix is used to strategically develop management policies to meet industrial requirements and essential activities for further development. </w:t>
      </w:r>
    </w:p>
    <w:p w14:paraId="3A2CA56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recommendation part of the consultancy report showed strategic recommendations and their impacts, benefits, probable cost and implementation strategies accordingly. Based on the market situation, developing partnerships with alternative employment organisations, focusing on non-European candidates, establishing employee-engaging strategies and fostering strong branding, this consultancy report created strategic policies accordingly. This portion of the study also highlighted vital change management strategies by considering a relevant model, Lewin’s Framework. Additionally, it also discussed projected development, measuring policies and probable benefits. It is anticipated that through the proper implementation of policies, the company might be able to overcome its potential issues related to employee shortage and negative responses to employee retention. </w:t>
      </w:r>
    </w:p>
    <w:p w14:paraId="5DD2A0FB">
      <w:pPr>
        <w:spacing w:line="360" w:lineRule="auto"/>
        <w:jc w:val="both"/>
      </w:pPr>
      <w:r>
        <w:rPr>
          <w:rFonts w:ascii="Times New Roman" w:hAnsi="Times New Roman" w:eastAsia="Times New Roman" w:cs="Times New Roman"/>
          <w:sz w:val="24"/>
          <w:szCs w:val="24"/>
        </w:rPr>
        <w:t xml:space="preserve">Establishing a proper Action Plan is important for organisations to implement recommended Strategies for development. In this consultancy report, the researcher developed an action plan by considering different identified issues, their probable solutions, projected outcomes, time frame and estimated costs. To overcome the employee shortage in the workplace, especially in different hospitality services, this action plan aims to implement strategic policies for developing strong partnerships with different institutions and conducting placement campaigns with skill development workshops. Simultaneously, the action plan also intends to apply effective strategies of advanced organisational branding to reach a huge number of potential talent from different workplaces. Through this strategy, it is anticipated that the company might get opportunities to enhance its brand reputation and popularity in the job market and get sufficient employees, even from local and outside marketplaces, to overcome issues related to employee shortage. Finally, the consultancy report concluded the findings and discussed how Oakview Hotel can obtain a strong market position without facing difficulties on employee shortage. Through digitalised strategies and globalisation policies, the company might also adopt opportunities that are also discussed in this study. </w:t>
      </w:r>
    </w:p>
    <w:p w14:paraId="7476B657">
      <w:pPr>
        <w:pStyle w:val="2"/>
      </w:pPr>
      <w:bookmarkStart w:id="1" w:name="_Toc199873190"/>
      <w:r>
        <w:t>Introduction</w:t>
      </w:r>
      <w:bookmarkEnd w:id="1"/>
      <w:r>
        <w:t xml:space="preserve"> </w:t>
      </w:r>
    </w:p>
    <w:p w14:paraId="093E1CCC">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The UK hospitality sector has faced plenty of problems and transformations in the last few years due to the occurrence of Brexit, COVID-19 and other issues (</w:t>
      </w:r>
      <w:r>
        <w:rPr>
          <w:rFonts w:ascii="Times New Roman" w:hAnsi="Times New Roman" w:eastAsia="Times New Roman" w:cs="Times New Roman"/>
          <w:sz w:val="24"/>
          <w:szCs w:val="24"/>
        </w:rPr>
        <w:t>Cipd.org, 2021)</w:t>
      </w:r>
      <w:r>
        <w:rPr>
          <w:rFonts w:ascii="Times New Roman" w:hAnsi="Times New Roman" w:eastAsia="Times New Roman" w:cs="Times New Roman"/>
          <w:color w:val="000000"/>
          <w:sz w:val="24"/>
          <w:szCs w:val="24"/>
        </w:rPr>
        <w:t xml:space="preserve">. The impact of these issues on the sector is evident in the shortage of skilled workers and experienced staff in the hotel industry. This issue is severe for small and medium-sized enterprises operating in the UK hotel sector, including Oakview Hotel. The hotel has recently faced fierce competition from other large hotel chains in the UK, and due to a lack of adequate capital, it has also limited access to international labour markets. Therefore, the purpose of this consultancy report is to evaluate the critical issue of labour shortage at Oakview Hotel in the aftermath of COVID-19 and Brexit, along with proposing strategic solutions and recommendations that will enable Oakview to navigate these challenges. </w:t>
      </w:r>
    </w:p>
    <w:p w14:paraId="2EE374E2">
      <w:pPr>
        <w:pStyle w:val="4"/>
        <w:rPr>
          <w:i w:val="0"/>
        </w:rPr>
      </w:pPr>
      <w:bookmarkStart w:id="2" w:name="_Toc199873191"/>
      <w:r>
        <w:t>Background of the hotel</w:t>
      </w:r>
      <w:bookmarkEnd w:id="2"/>
    </w:p>
    <w:p w14:paraId="6707D379">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Oakview Hotel is one of the most popular and independently owned hotels in the UK, boasting a 4-star rating. Its location is on the outskirts of Bath, Somerset, which is designated a UNESCO World Heritage city for its historic Roman Baths and architecture. The hotel began its operations in 2004, and it has been more than two decades since then. It offers 78 en-suite rooms, along with a fine dining experience, spa facilities, and extensive event space in the UK, catering to both corporate and leisure guests. The hotel also excels in delivering personalised and tranquil guest experiences to its customers, and it is known for its excellent customer service (Agoda, 2025).</w:t>
      </w:r>
    </w:p>
    <w:p w14:paraId="3248ACD6">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However, in recent years, the hotel has been facing increased adversities in the recruitment and retention of staff in the operational, housekeeping and food and beverage sectors. This has impeded effective service delivery and customer service of the hotel and it now has to rely extensively on the agency staff. As a result of all these factors, the operational costs of the firm have also increased. The key reasons for which, there has been an increase in the operational costs of the company include Brexit and the pandemic which has forced plenty of professionals within the hospitality sector to leave their employment. </w:t>
      </w:r>
    </w:p>
    <w:p w14:paraId="291B6C74">
      <w:pPr>
        <w:pStyle w:val="4"/>
      </w:pPr>
      <w:r>
        <w:t xml:space="preserve"> </w:t>
      </w:r>
      <w:bookmarkStart w:id="3" w:name="_Toc199873192"/>
      <w:r>
        <w:t>Background of the consultancy firm</w:t>
      </w:r>
      <w:bookmarkEnd w:id="3"/>
      <w:r>
        <w:t xml:space="preserve"> </w:t>
      </w:r>
    </w:p>
    <w:p w14:paraId="1C1C6866">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The current research is created for SummitEdge Consultancy, which is one of the popular consultancy firms based in the UK and specialises in the areas of strategic advisory and strategic management for the leisure and hospitality sector. This consultancy firm has more than 15 years of experience working in the hospitality and hotel sector and has been effective in managing the issue of workforce management. The current research has opted for a data-driven and solution-oriented approach by combining rigorous environmental analysis and also providing practical implications for the eradication of the issue. </w:t>
      </w:r>
    </w:p>
    <w:p w14:paraId="08DDC4C2">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The current study has considered a range of theories, models and frameworks including STEEPLED, SWOT and TOWS matrices for conducting the analysis. The macro-environmental factors which have led to the workforce shortage issue at Oakview Hotel have been analysed through the application of the STEEPLED framework. Moreover, the SWOT framework has helped in evaluating the internal strengths and weaknesses of the company along with identifying the key trends or opportunities in the hospitality sector. The TOWS matrix has helped in coming up with strategic options for the hotel in alignment with its strengths, weaknesses, opportunities and threats.</w:t>
      </w:r>
    </w:p>
    <w:p w14:paraId="3ED206B1">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Thus, the overall aim of the current report has been to shed light on the labour shortage crisis faced by Oakview Hotel of the UK and analyse the factors responsible for the issue, along with the key market dynamics. The issue has been discussed in detail so that there is a proposal of a suitable action plan for eradication of the issue for Oakview Hotel. </w:t>
      </w:r>
    </w:p>
    <w:p w14:paraId="1A578154">
      <w:pPr>
        <w:pStyle w:val="2"/>
      </w:pPr>
      <w:bookmarkStart w:id="4" w:name="_Toc199873193"/>
      <w:r>
        <w:t>Analysis</w:t>
      </w:r>
      <w:bookmarkEnd w:id="4"/>
      <w:r>
        <w:t xml:space="preserve"> </w:t>
      </w:r>
    </w:p>
    <w:p w14:paraId="2A0942DE">
      <w:pPr>
        <w:pStyle w:val="4"/>
      </w:pPr>
      <w:bookmarkStart w:id="5" w:name="_Toc199873194"/>
      <w:r>
        <w:t>Analysis of the issue</w:t>
      </w:r>
      <w:bookmarkEnd w:id="5"/>
      <w:r>
        <w:t xml:space="preserve"> </w:t>
      </w:r>
    </w:p>
    <w:p w14:paraId="4056FFD6">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The labour shortage issue faced by Oakview Hotel has impeded service offerings and effective customer service at the firm. As studied by Innerhofer </w:t>
      </w:r>
      <w:r>
        <w:rPr>
          <w:rFonts w:ascii="Times New Roman" w:hAnsi="Times New Roman" w:eastAsia="Times New Roman" w:cs="Times New Roman"/>
          <w:i/>
          <w:color w:val="000000"/>
          <w:sz w:val="24"/>
          <w:szCs w:val="24"/>
        </w:rPr>
        <w:t xml:space="preserve">et al. </w:t>
      </w:r>
      <w:r>
        <w:rPr>
          <w:rFonts w:ascii="Times New Roman" w:hAnsi="Times New Roman" w:eastAsia="Times New Roman" w:cs="Times New Roman"/>
          <w:color w:val="000000"/>
          <w:sz w:val="24"/>
          <w:szCs w:val="24"/>
        </w:rPr>
        <w:t>(2025), the instance of limiting the restaurant hours by the hotel could be provided along with the lack of scalability of the housekeeping services due to which guest satisfaction in the firm has been affected. Thus, this issue increases the likelihood of frustration, dissatisfaction and resentment among the workforce, thereby, hampering customer loyalty.</w:t>
      </w:r>
    </w:p>
    <w:p w14:paraId="64A18FA1">
      <w:pPr>
        <w:pBdr>
          <w:top w:val="none" w:color="auto" w:sz="0" w:space="0"/>
          <w:left w:val="none" w:color="auto" w:sz="0" w:space="0"/>
          <w:bottom w:val="none" w:color="auto" w:sz="0" w:space="0"/>
          <w:right w:val="none" w:color="auto" w:sz="0" w:space="0"/>
          <w:between w:val="none" w:color="auto" w:sz="0" w:space="0"/>
        </w:pBdr>
        <w:spacing w:before="240" w:after="240" w:line="36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drawing>
          <wp:inline distT="0" distB="0" distL="0" distR="0">
            <wp:extent cx="2663190" cy="14097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referRelativeResize="0"/>
                  </pic:nvPicPr>
                  <pic:blipFill>
                    <a:blip r:embed="rId12"/>
                    <a:srcRect l="43859" t="35477" r="9690" b="31707"/>
                    <a:stretch>
                      <a:fillRect/>
                    </a:stretch>
                  </pic:blipFill>
                  <pic:spPr>
                    <a:xfrm>
                      <a:off x="0" y="0"/>
                      <a:ext cx="2663190" cy="1409700"/>
                    </a:xfrm>
                    <a:prstGeom prst="rect">
                      <a:avLst/>
                    </a:prstGeom>
                  </pic:spPr>
                </pic:pic>
              </a:graphicData>
            </a:graphic>
          </wp:inline>
        </w:drawing>
      </w:r>
    </w:p>
    <w:p w14:paraId="250FF9FE">
      <w:pPr>
        <w:pBdr>
          <w:top w:val="none" w:color="auto" w:sz="0" w:space="0"/>
          <w:left w:val="none" w:color="auto" w:sz="0" w:space="0"/>
          <w:bottom w:val="none" w:color="auto" w:sz="0" w:space="0"/>
          <w:right w:val="none" w:color="auto" w:sz="0" w:space="0"/>
          <w:between w:val="none" w:color="auto" w:sz="0" w:space="0"/>
        </w:pBdr>
        <w:spacing w:before="240" w:after="240" w:line="360" w:lineRule="auto"/>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 xml:space="preserve">Figure: Shortage of skills among workers in hotel industry </w:t>
      </w:r>
    </w:p>
    <w:p w14:paraId="70F64B54">
      <w:pPr>
        <w:pBdr>
          <w:top w:val="none" w:color="auto" w:sz="0" w:space="0"/>
          <w:left w:val="none" w:color="auto" w:sz="0" w:space="0"/>
          <w:bottom w:val="none" w:color="auto" w:sz="0" w:space="0"/>
          <w:right w:val="none" w:color="auto" w:sz="0" w:space="0"/>
          <w:between w:val="none" w:color="auto" w:sz="0" w:space="0"/>
        </w:pBdr>
        <w:spacing w:before="240" w:after="240" w:line="36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(Source: Innerhofer </w:t>
      </w:r>
      <w:r>
        <w:rPr>
          <w:rFonts w:ascii="Times New Roman" w:hAnsi="Times New Roman" w:eastAsia="Times New Roman" w:cs="Times New Roman"/>
          <w:i/>
          <w:color w:val="000000"/>
          <w:sz w:val="24"/>
          <w:szCs w:val="24"/>
        </w:rPr>
        <w:t xml:space="preserve">et al. </w:t>
      </w:r>
      <w:r>
        <w:rPr>
          <w:rFonts w:ascii="Times New Roman" w:hAnsi="Times New Roman" w:eastAsia="Times New Roman" w:cs="Times New Roman"/>
          <w:color w:val="000000"/>
          <w:sz w:val="24"/>
          <w:szCs w:val="24"/>
        </w:rPr>
        <w:t>2025)</w:t>
      </w:r>
    </w:p>
    <w:p w14:paraId="33B4CF5A">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One of the strategies implemented by Oakview for combating this challenge is to increase the wage of the workforce and it has also aligned with the National Living Wage of the UK. As studied by Gov.UK (2025), the National Living Wage of the UK has increased to £12.21 hourly as of April 2024. Moreover, the costs of the hotel have also increased due to reliance on agency staff to fill skill gaps in the firm which has further put financial strains on the hotel. The impact of this is directly witnessed on inconsistent service quality as a result of which, the reputation of the company would be hampered in the long run. </w:t>
      </w:r>
    </w:p>
    <w:p w14:paraId="3A8370A9">
      <w:pPr>
        <w:pBdr>
          <w:top w:val="none" w:color="auto" w:sz="0" w:space="0"/>
          <w:left w:val="none" w:color="auto" w:sz="0" w:space="0"/>
          <w:bottom w:val="none" w:color="auto" w:sz="0" w:space="0"/>
          <w:right w:val="none" w:color="auto" w:sz="0" w:space="0"/>
          <w:between w:val="none" w:color="auto" w:sz="0" w:space="0"/>
        </w:pBdr>
        <w:spacing w:before="240" w:after="240" w:line="36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drawing>
          <wp:inline distT="0" distB="0" distL="0" distR="0">
            <wp:extent cx="3644265" cy="16764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referRelativeResize="0"/>
                  </pic:nvPicPr>
                  <pic:blipFill>
                    <a:blip r:embed="rId13"/>
                    <a:srcRect l="1494" t="34811" r="34942" b="26164"/>
                    <a:stretch>
                      <a:fillRect/>
                    </a:stretch>
                  </pic:blipFill>
                  <pic:spPr>
                    <a:xfrm>
                      <a:off x="0" y="0"/>
                      <a:ext cx="3644265" cy="1676400"/>
                    </a:xfrm>
                    <a:prstGeom prst="rect">
                      <a:avLst/>
                    </a:prstGeom>
                  </pic:spPr>
                </pic:pic>
              </a:graphicData>
            </a:graphic>
          </wp:inline>
        </w:drawing>
      </w:r>
    </w:p>
    <w:p w14:paraId="5F85C960">
      <w:pPr>
        <w:pBdr>
          <w:top w:val="none" w:color="auto" w:sz="0" w:space="0"/>
          <w:left w:val="none" w:color="auto" w:sz="0" w:space="0"/>
          <w:bottom w:val="none" w:color="auto" w:sz="0" w:space="0"/>
          <w:right w:val="none" w:color="auto" w:sz="0" w:space="0"/>
          <w:between w:val="none" w:color="auto" w:sz="0" w:space="0"/>
        </w:pBdr>
        <w:spacing w:before="240" w:after="240" w:line="360" w:lineRule="auto"/>
        <w:jc w:val="center"/>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rPr>
        <w:t>Figure: Minimum Wage standard in UK</w:t>
      </w:r>
    </w:p>
    <w:p w14:paraId="2A8B5ABE">
      <w:pPr>
        <w:pBdr>
          <w:top w:val="none" w:color="auto" w:sz="0" w:space="0"/>
          <w:left w:val="none" w:color="auto" w:sz="0" w:space="0"/>
          <w:bottom w:val="none" w:color="auto" w:sz="0" w:space="0"/>
          <w:right w:val="none" w:color="auto" w:sz="0" w:space="0"/>
          <w:between w:val="none" w:color="auto" w:sz="0" w:space="0"/>
        </w:pBdr>
        <w:spacing w:before="240" w:after="240" w:line="36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(Source: Gov.UK, 2025)</w:t>
      </w:r>
    </w:p>
    <w:p w14:paraId="3F24EFF5">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There are multifaceted factors responsible for this issue including the Brexit of the UK resulting in changing immigration policies. Brexit has forced plenty of EU individuals residing in the UK to return to their home countries and only a few people had access to the UK for educational or employment purposes. Moreover, a number of workers have also been laid off or furloughed during the pandemic which has incurred a permanent adverse impact on the industry. The Reports of Office for National Statistics (2021) showed that 83% of the companies in the hospitality sector have faced issues related to vacancies. </w:t>
      </w:r>
    </w:p>
    <w:p w14:paraId="0716680B">
      <w:pPr>
        <w:pStyle w:val="4"/>
      </w:pPr>
      <w:bookmarkStart w:id="6" w:name="_Toc199873195"/>
      <w:r>
        <w:t>STEEPLED Analysis</w:t>
      </w:r>
      <w:bookmarkEnd w:id="6"/>
      <w:r>
        <w:t> </w:t>
      </w:r>
    </w:p>
    <w:p w14:paraId="01A21FE7">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Social Factors</w:t>
      </w:r>
    </w:p>
    <w:p w14:paraId="43AE935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UK hospitality industry is currently facing a significant shift in workforce attitudes. According to a 2023 report by UKHospitality, 65% of UK nationals view hospitality roles as having low status, low pay, and limited career progression (UKHospitality, 2022). The COVID-19 pandemic accelerated early retirement and career adjustments, particularly among older workers, resulting in a 15% decline in the experienced hospitality workforce in 2020 (ONS, 2023). This shift has created a recruitment gap that Oakview Hotel struggles to fill, as fewer home candidates show interest in historically demanding roles such as housekeeping and food service, exacerbating labour shortages across the industry.</w:t>
      </w:r>
    </w:p>
    <w:p w14:paraId="1B577A2D">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Technological Factors</w:t>
      </w:r>
    </w:p>
    <w:p w14:paraId="05F6E22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Technological advancements within the hospitality sector, such as contactless check-ins, AI-powered chatbots, and digital ordering systems, have primarily created opportunities to reduce labour dependency (Rydzik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2021). However, for Oakview Hotel, the capital funding required to implement such technologies may be prohibitive. </w:t>
      </w:r>
    </w:p>
    <w:p w14:paraId="3E90A430">
      <w:pPr>
        <w:spacing w:line="360" w:lineRule="auto"/>
        <w:jc w:val="center"/>
        <w:rPr>
          <w:rFonts w:ascii="Times New Roman" w:hAnsi="Times New Roman" w:eastAsia="Times New Roman" w:cs="Times New Roman"/>
          <w:sz w:val="24"/>
          <w:szCs w:val="24"/>
        </w:rPr>
      </w:pPr>
      <w:r>
        <w:drawing>
          <wp:inline distT="0" distB="0" distL="0" distR="0">
            <wp:extent cx="5242560" cy="3169920"/>
            <wp:effectExtent l="0" t="0" r="0" b="0"/>
            <wp:docPr id="1895677998" name="Picture 1" descr="Businesses 03 00014 g001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677998" name="Picture 1" descr="Businesses 03 00014 g001 55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242560" cy="3169920"/>
                    </a:xfrm>
                    <a:prstGeom prst="rect">
                      <a:avLst/>
                    </a:prstGeom>
                    <a:noFill/>
                    <a:ln>
                      <a:noFill/>
                    </a:ln>
                  </pic:spPr>
                </pic:pic>
              </a:graphicData>
            </a:graphic>
          </wp:inline>
        </w:drawing>
      </w:r>
    </w:p>
    <w:p w14:paraId="4DF79CE1">
      <w:pPr>
        <w:spacing w:line="36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Figure: Measure of Technological advancements within the hospitality sector in Uk</w:t>
      </w:r>
    </w:p>
    <w:p w14:paraId="2F4A3C9B">
      <w:pPr>
        <w:spacing w:line="360" w:lineRule="auto"/>
        <w:jc w:val="center"/>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(Source: </w:t>
      </w:r>
      <w:r>
        <w:rPr>
          <w:rFonts w:ascii="Times New Roman" w:hAnsi="Times New Roman" w:cs="Times New Roman"/>
        </w:rPr>
        <w:t xml:space="preserve">Molina </w:t>
      </w:r>
      <w:r>
        <w:rPr>
          <w:rFonts w:ascii="Times New Roman" w:hAnsi="Times New Roman" w:cs="Times New Roman"/>
          <w:i/>
          <w:iCs/>
        </w:rPr>
        <w:t xml:space="preserve">et al., </w:t>
      </w:r>
      <w:r>
        <w:rPr>
          <w:rFonts w:ascii="Times New Roman" w:hAnsi="Times New Roman" w:cs="Times New Roman"/>
        </w:rPr>
        <w:t>2023)</w:t>
      </w:r>
    </w:p>
    <w:p w14:paraId="09A5F40F">
      <w:pPr>
        <w:spacing w:line="360" w:lineRule="auto"/>
        <w:jc w:val="both"/>
        <w:rPr>
          <w:rFonts w:ascii="Times New Roman" w:hAnsi="Times New Roman" w:eastAsia="Times New Roman" w:cs="Times New Roman"/>
          <w:sz w:val="24"/>
          <w:szCs w:val="24"/>
        </w:rPr>
      </w:pPr>
    </w:p>
    <w:p w14:paraId="6B4F72F2">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Economic Factors</w:t>
      </w:r>
    </w:p>
    <w:p w14:paraId="61F99A4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Economic instability in the UK continues to challenge the primary hospitality sector mainly. As of April 2024, inflation stood at 3.2%, elevating the cost of essential goods and services (ONS, 2024). Coupled with the National Living Wage increase to £12.21 in keeping with the hour (Gov.UK, 2024), Oakview Hotel faces mounting operational charges. These rising prices, along with reduced family disposable income, have led many clients to cut back on discretionary spending, including tours and amusement. </w:t>
      </w:r>
    </w:p>
    <w:p w14:paraId="3F9FC8FE">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Environmental Factors</w:t>
      </w:r>
    </w:p>
    <w:p w14:paraId="6FEE8B2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environmental sustainability agenda is one of the increasingly influential consumer and employee preferences. Potential recruits may be particularly attracted to businesses that demonstrate a commitment to various forms of green practices. Oakview Hotel, being a property located near a UNESCO heritage site, could capitalise on its proximity by offering eco-tourism services. However, sustainability initiatives may also require upfront investments in electricity-green infrastructure, posing an additional monetary undertaking during a time of labour crisis.</w:t>
      </w:r>
    </w:p>
    <w:p w14:paraId="2D5CE03C">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Political Factors</w:t>
      </w:r>
    </w:p>
    <w:p w14:paraId="5F1336E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Post-Brexit immigration rules have reshaped the UK labour market, particularly through their impact on the hospitality sector. The introduction of the points-based immigration system in 2021 prioritises high-skilled roles, except for many essential hospitality positions, such as housekeeping and kitchen staff (Home Office, 2021). According to UKHospitality (2023), over 60% of resorts reported recruiting for access-degree roles due to a decrease in the admission of EU citizens. Oakview Hotel, lacking the size to sponsor workers from distant places, is disproportionately suffering from those restrictions, resulting in severe staffing shortages. </w:t>
      </w:r>
    </w:p>
    <w:p w14:paraId="7F2D7B2D">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Legal Factors</w:t>
      </w:r>
    </w:p>
    <w:p w14:paraId="0EDB6FF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UK's legal obligations regarding fair wages, employee rights, and workplace safety have added various levels of compliance responsibilities for hotels. Oakview Hotel must ensure adherence to employment laws, including the latest updates to minimum wage rules and worker protection mandates. Non-compliance should bring about penalties, reputational damage, and operational disruptions.</w:t>
      </w:r>
    </w:p>
    <w:p w14:paraId="136287D6">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Ethical Factors</w:t>
      </w:r>
    </w:p>
    <w:p w14:paraId="4601C5F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There is growing pressure on hospitality organisations to provide ethical working conditions (Papadopoulos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2021). Ensuring truthful pay, a work-life balance and inclusive employment practices is no longer just a legal requirement but a moral imperative. Oakview Hotel's reliance on the business enterprise body of workers, while important, raises concerns about consistency in labour practices, benefits, and process security, which may reflect poorly on its brand image.</w:t>
      </w:r>
    </w:p>
    <w:p w14:paraId="4D13F7BC">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Demographic Factors</w:t>
      </w:r>
    </w:p>
    <w:p w14:paraId="1213B5D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ageing UK population and the reduced influx of young international workers have caused a mismatch in supply and demand within the hospitality sector. With fewer, more youthful individuals entering the industry, Oakview Hotel faces recruitment challenges, especially for physically demanding roles such as housekeeping and food service.</w:t>
      </w:r>
    </w:p>
    <w:p w14:paraId="193320EB">
      <w:pPr>
        <w:pStyle w:val="4"/>
      </w:pPr>
      <w:bookmarkStart w:id="7" w:name="_Toc199873196"/>
      <w:r>
        <w:t>SWOT Analysis</w:t>
      </w:r>
      <w:bookmarkEnd w:id="7"/>
      <w:r>
        <w:t> </w:t>
      </w:r>
    </w:p>
    <w:p w14:paraId="598292DD">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Strengths</w:t>
      </w:r>
    </w:p>
    <w:p w14:paraId="01490AAC">
      <w:pPr>
        <w:numPr>
          <w:ilvl w:val="0"/>
          <w:numId w:val="1"/>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Oakview Hotel holds a strong reputation as a four-star, independently well-managed property that offers a unique and personalised form of guest experience.  </w:t>
      </w:r>
    </w:p>
    <w:p w14:paraId="6A2B088D">
      <w:pPr>
        <w:numPr>
          <w:ilvl w:val="0"/>
          <w:numId w:val="1"/>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Situated near the ancient metropolis of Bath, a UNESCO World Heritage Site, the resort benefits from a steady stream of vacationers looking for cultural and wellbeing-cantered remains (Buttrick</w:t>
      </w:r>
      <w:r>
        <w:rPr>
          <w:rFonts w:ascii="Times New Roman" w:hAnsi="Times New Roman" w:eastAsia="Times New Roman" w:cs="Times New Roman"/>
          <w:i/>
          <w:color w:val="000000"/>
          <w:sz w:val="24"/>
          <w:szCs w:val="24"/>
        </w:rPr>
        <w:t xml:space="preserve">et al., </w:t>
      </w:r>
      <w:r>
        <w:rPr>
          <w:rFonts w:ascii="Times New Roman" w:hAnsi="Times New Roman" w:eastAsia="Times New Roman" w:cs="Times New Roman"/>
          <w:color w:val="000000"/>
          <w:sz w:val="24"/>
          <w:szCs w:val="24"/>
        </w:rPr>
        <w:t>2009).</w:t>
      </w:r>
    </w:p>
    <w:p w14:paraId="0FF3FF8A">
      <w:pPr>
        <w:numPr>
          <w:ilvl w:val="0"/>
          <w:numId w:val="1"/>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The hotel also boasts 78 en-suite rooms, excellent eating options, a spa, and event spaces catering to each amusement and corporate shop. Over two long periods of operational excellence, the lodge has established itself as a trusted provider in the local hospitality </w:t>
      </w:r>
      <w:r>
        <w:rPr>
          <w:rFonts w:ascii="Times New Roman" w:hAnsi="Times New Roman" w:eastAsia="Times New Roman" w:cs="Times New Roman"/>
          <w:sz w:val="24"/>
          <w:szCs w:val="24"/>
        </w:rPr>
        <w:t>landscape</w:t>
      </w:r>
      <w:r>
        <w:t xml:space="preserve">. </w:t>
      </w:r>
    </w:p>
    <w:p w14:paraId="1E9F08CF">
      <w:pPr>
        <w:numPr>
          <w:ilvl w:val="0"/>
          <w:numId w:val="1"/>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Its focus on tranquil and customer-centric provider transport has earned it high visitor satisfaction rankings. Furthermore, the hotel has taken proactive steps by aligning wages with country-wide requirements, demonstrating its commitment to employee well-being and legal compliance.</w:t>
      </w:r>
    </w:p>
    <w:p w14:paraId="56219F1A">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Weaknesses</w:t>
      </w:r>
    </w:p>
    <w:p w14:paraId="62E1813C">
      <w:pPr>
        <w:numPr>
          <w:ilvl w:val="0"/>
          <w:numId w:val="2"/>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Despite its strengths, Oakview Hotel is constrained by financial limitations, which affect its main capacity to compete with larger chains that have access to global recruitment markets as well as advanced technologies (Burnes</w:t>
      </w:r>
      <w:r>
        <w:rPr>
          <w:rFonts w:ascii="Times New Roman" w:hAnsi="Times New Roman" w:eastAsia="Times New Roman" w:cs="Times New Roman"/>
          <w:i/>
          <w:color w:val="000000"/>
          <w:sz w:val="24"/>
          <w:szCs w:val="24"/>
        </w:rPr>
        <w:t xml:space="preserve">et al., </w:t>
      </w:r>
      <w:r>
        <w:rPr>
          <w:rFonts w:ascii="Times New Roman" w:hAnsi="Times New Roman" w:eastAsia="Times New Roman" w:cs="Times New Roman"/>
          <w:color w:val="000000"/>
          <w:sz w:val="24"/>
          <w:szCs w:val="24"/>
        </w:rPr>
        <w:t xml:space="preserve">2014). </w:t>
      </w:r>
    </w:p>
    <w:p w14:paraId="0027BE02">
      <w:pPr>
        <w:numPr>
          <w:ilvl w:val="0"/>
          <w:numId w:val="2"/>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The hotel’s overdependence on the brief and employer body of workers ends in inconsistencies in provider shipping and multiplied operational fees. </w:t>
      </w:r>
    </w:p>
    <w:p w14:paraId="0FB0F2B9">
      <w:pPr>
        <w:numPr>
          <w:ilvl w:val="0"/>
          <w:numId w:val="2"/>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A loss of scalability in its internal HR and recruitment strategies also hampers its capacity to respond to fluctuating demands. Limited funding for digital transformation tools, as well as automation and workforce training systems, has also limited the resort's ability to offset labour shortages through technological approaches. </w:t>
      </w:r>
    </w:p>
    <w:p w14:paraId="125C6C31">
      <w:pPr>
        <w:numPr>
          <w:ilvl w:val="0"/>
          <w:numId w:val="2"/>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Additionally, gaps in the centre and decreased control stages have contributed to declining morale and productivity among workers.</w:t>
      </w:r>
    </w:p>
    <w:p w14:paraId="7EAF527E">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Opportunities</w:t>
      </w:r>
    </w:p>
    <w:p w14:paraId="26FCB51A">
      <w:pPr>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There is a significant opportunity for Oakview Hotel to differentiate itself through the process of promoting sustainable tourism, as well as green hospitality practices, aligning with the growing environmental consciousness among various travellers. </w:t>
      </w:r>
    </w:p>
    <w:p w14:paraId="47BC5FC4">
      <w:pPr>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As digital technology becomes more accessible, more resorts can implement solutions that include personalised booking systems, virtual concierge offerings, and comprehensive cost management systems, reducing dependency on physical labour. </w:t>
      </w:r>
    </w:p>
    <w:p w14:paraId="20B2BA52">
      <w:pPr>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The home tourism market, encouraged by the price-of-living crisis and global travel regulations, presents an opportunity for hotels to attract more UK-based guests through targeted marketing (Noordzife</w:t>
      </w:r>
      <w:r>
        <w:rPr>
          <w:rFonts w:ascii="Times New Roman" w:hAnsi="Times New Roman" w:eastAsia="Times New Roman" w:cs="Times New Roman"/>
          <w:i/>
          <w:color w:val="000000"/>
          <w:sz w:val="24"/>
          <w:szCs w:val="24"/>
        </w:rPr>
        <w:t xml:space="preserve">et al., </w:t>
      </w:r>
      <w:r>
        <w:rPr>
          <w:rFonts w:ascii="Times New Roman" w:hAnsi="Times New Roman" w:eastAsia="Times New Roman" w:cs="Times New Roman"/>
          <w:color w:val="000000"/>
          <w:sz w:val="24"/>
          <w:szCs w:val="24"/>
        </w:rPr>
        <w:t>2014).</w:t>
      </w:r>
    </w:p>
    <w:p w14:paraId="03A2A6A5">
      <w:pPr>
        <w:numPr>
          <w:ilvl w:val="0"/>
          <w:numId w:val="3"/>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Collaboration with nearby schools and vocational training centres may additionally assist in establishing an inner expertise pipeline and reducing dependency on outside recruitment agencies.</w:t>
      </w:r>
    </w:p>
    <w:p w14:paraId="11DFCD07">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Threats</w:t>
      </w:r>
    </w:p>
    <w:p w14:paraId="51C94B27">
      <w:pPr>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The most immediate threat facing Oakview Hotel is the primary chronic labour shortage triggered by Brexit and also the pandemic. </w:t>
      </w:r>
    </w:p>
    <w:p w14:paraId="3254E731">
      <w:pPr>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The evolving criminal and regulatory panorama, along with minimal wage increases and more stringent health and protection requirements, continues to elevate operational costs. </w:t>
      </w:r>
    </w:p>
    <w:p w14:paraId="7E361C56">
      <w:pPr>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Competition from large hotel chains and digital lodging systems like Airbnb threatens Oakview's market share, mainly due to inconsistencies in its service delivery (Whittington,</w:t>
      </w:r>
      <w:r>
        <w:rPr>
          <w:rFonts w:ascii="Times New Roman" w:hAnsi="Times New Roman" w:eastAsia="Times New Roman" w:cs="Times New Roman"/>
          <w:i/>
          <w:color w:val="000000"/>
          <w:sz w:val="24"/>
          <w:szCs w:val="24"/>
        </w:rPr>
        <w:t xml:space="preserve">et al., </w:t>
      </w:r>
      <w:r>
        <w:rPr>
          <w:rFonts w:ascii="Times New Roman" w:hAnsi="Times New Roman" w:eastAsia="Times New Roman" w:cs="Times New Roman"/>
          <w:color w:val="000000"/>
          <w:sz w:val="24"/>
          <w:szCs w:val="24"/>
        </w:rPr>
        <w:t xml:space="preserve">2020) . </w:t>
      </w:r>
    </w:p>
    <w:p w14:paraId="7CEA11C4">
      <w:pPr>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Furthermore, financial instability and inflation can also reduce customer spending on travel and entertainment, leading to lower occupancy rates and profitability.</w:t>
      </w:r>
    </w:p>
    <w:p w14:paraId="3AB8763A">
      <w:pPr>
        <w:numPr>
          <w:ilvl w:val="0"/>
          <w:numId w:val="4"/>
        </w:numPr>
        <w:pBdr>
          <w:top w:val="none" w:color="auto" w:sz="0" w:space="0"/>
          <w:left w:val="none" w:color="auto" w:sz="0" w:space="0"/>
          <w:bottom w:val="none" w:color="auto" w:sz="0" w:space="0"/>
          <w:right w:val="none" w:color="auto" w:sz="0" w:space="0"/>
          <w:between w:val="none" w:color="auto" w:sz="0" w:space="0"/>
        </w:pBdr>
        <w:spacing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The hotel is also vulnerable to reputational harm if the provider continues to say no due to staff shortages, which can impact customer loyalty and long-term growth.</w:t>
      </w:r>
    </w:p>
    <w:p w14:paraId="519C69CF">
      <w:pPr>
        <w:pStyle w:val="4"/>
        <w:rPr>
          <w:i w:val="0"/>
        </w:rPr>
      </w:pPr>
      <w:bookmarkStart w:id="8" w:name="_Toc199873197"/>
      <w:r>
        <w:t>TOWS Matrix</w:t>
      </w:r>
      <w:bookmarkEnd w:id="8"/>
      <w:r>
        <w:t xml:space="preserve"> </w:t>
      </w:r>
    </w:p>
    <w:sdt>
      <w:sdtPr>
        <w:tag w:val="goog_rdk_0"/>
        <w:id w:val="-1484156340"/>
        <w:lock w:val="contentLocked"/>
      </w:sdtPr>
      <w:sdtContent>
        <w:tbl>
          <w:tblPr>
            <w:tblStyle w:val="26"/>
            <w:tblW w:w="10620" w:type="dxa"/>
            <w:tblInd w:w="-79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145"/>
            <w:gridCol w:w="4785"/>
            <w:gridCol w:w="3690"/>
          </w:tblGrid>
          <w:tr w14:paraId="6868AC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145" w:type="dxa"/>
                <w:shd w:val="clear" w:color="auto" w:fill="auto"/>
                <w:tcMar>
                  <w:top w:w="100" w:type="dxa"/>
                  <w:left w:w="100" w:type="dxa"/>
                  <w:bottom w:w="100" w:type="dxa"/>
                  <w:right w:w="100" w:type="dxa"/>
                </w:tcMar>
              </w:tcPr>
              <w:p w14:paraId="789402C3">
                <w:pPr>
                  <w:widowControl w:val="0"/>
                  <w:spacing w:line="360" w:lineRule="auto"/>
                  <w:jc w:val="both"/>
                  <w:rPr>
                    <w:rFonts w:ascii="Times New Roman" w:hAnsi="Times New Roman" w:eastAsia="Times New Roman" w:cs="Times New Roman"/>
                    <w:sz w:val="24"/>
                    <w:szCs w:val="24"/>
                  </w:rPr>
                </w:pPr>
              </w:p>
            </w:tc>
            <w:tc>
              <w:tcPr>
                <w:tcW w:w="4785" w:type="dxa"/>
                <w:shd w:val="clear" w:color="auto" w:fill="auto"/>
                <w:tcMar>
                  <w:top w:w="100" w:type="dxa"/>
                  <w:left w:w="100" w:type="dxa"/>
                  <w:bottom w:w="100" w:type="dxa"/>
                  <w:right w:w="100" w:type="dxa"/>
                </w:tcMar>
              </w:tcPr>
              <w:p w14:paraId="613AE780">
                <w:pPr>
                  <w:widowControl w:val="0"/>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Opportunities (O)</w:t>
                </w:r>
              </w:p>
            </w:tc>
            <w:tc>
              <w:tcPr>
                <w:tcW w:w="3690" w:type="dxa"/>
                <w:shd w:val="clear" w:color="auto" w:fill="auto"/>
                <w:tcMar>
                  <w:top w:w="100" w:type="dxa"/>
                  <w:left w:w="100" w:type="dxa"/>
                  <w:bottom w:w="100" w:type="dxa"/>
                  <w:right w:w="100" w:type="dxa"/>
                </w:tcMar>
              </w:tcPr>
              <w:p w14:paraId="2BD012A9">
                <w:pPr>
                  <w:widowControl w:val="0"/>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Threats (T)</w:t>
                </w:r>
              </w:p>
            </w:tc>
          </w:tr>
          <w:tr w14:paraId="56AF5F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145" w:type="dxa"/>
                <w:shd w:val="clear" w:color="auto" w:fill="auto"/>
                <w:tcMar>
                  <w:top w:w="100" w:type="dxa"/>
                  <w:left w:w="100" w:type="dxa"/>
                  <w:bottom w:w="100" w:type="dxa"/>
                  <w:right w:w="100" w:type="dxa"/>
                </w:tcMar>
              </w:tcPr>
              <w:p w14:paraId="12A3BD7C">
                <w:pPr>
                  <w:widowControl w:val="0"/>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Strengths (S)</w:t>
                </w:r>
              </w:p>
            </w:tc>
            <w:tc>
              <w:tcPr>
                <w:tcW w:w="4785" w:type="dxa"/>
                <w:shd w:val="clear" w:color="auto" w:fill="auto"/>
                <w:tcMar>
                  <w:top w:w="100" w:type="dxa"/>
                  <w:left w:w="100" w:type="dxa"/>
                  <w:bottom w:w="100" w:type="dxa"/>
                  <w:right w:w="100" w:type="dxa"/>
                </w:tcMar>
              </w:tcPr>
              <w:p w14:paraId="2EA8E90F">
                <w:pPr>
                  <w:widowControl w:val="0"/>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Strengths-Opportunities (SO)</w:t>
                </w:r>
              </w:p>
            </w:tc>
            <w:tc>
              <w:tcPr>
                <w:tcW w:w="3690" w:type="dxa"/>
                <w:shd w:val="clear" w:color="auto" w:fill="auto"/>
                <w:tcMar>
                  <w:top w:w="100" w:type="dxa"/>
                  <w:left w:w="100" w:type="dxa"/>
                  <w:bottom w:w="100" w:type="dxa"/>
                  <w:right w:w="100" w:type="dxa"/>
                </w:tcMar>
              </w:tcPr>
              <w:p w14:paraId="2101A1F8">
                <w:pPr>
                  <w:widowControl w:val="0"/>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Strengths-Threats </w:t>
                </w:r>
              </w:p>
            </w:tc>
          </w:tr>
          <w:tr w14:paraId="2F5CAC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145" w:type="dxa"/>
                <w:shd w:val="clear" w:color="auto" w:fill="auto"/>
                <w:tcMar>
                  <w:top w:w="100" w:type="dxa"/>
                  <w:left w:w="100" w:type="dxa"/>
                  <w:bottom w:w="100" w:type="dxa"/>
                  <w:right w:w="100" w:type="dxa"/>
                </w:tcMar>
              </w:tcPr>
              <w:p w14:paraId="20ED3C4F">
                <w:pPr>
                  <w:widowControl w:val="0"/>
                  <w:spacing w:line="360" w:lineRule="auto"/>
                  <w:jc w:val="both"/>
                  <w:rPr>
                    <w:rFonts w:ascii="Times New Roman" w:hAnsi="Times New Roman" w:eastAsia="Times New Roman" w:cs="Times New Roman"/>
                    <w:sz w:val="24"/>
                    <w:szCs w:val="24"/>
                  </w:rPr>
                </w:pPr>
              </w:p>
            </w:tc>
            <w:tc>
              <w:tcPr>
                <w:tcW w:w="4785" w:type="dxa"/>
                <w:shd w:val="clear" w:color="auto" w:fill="auto"/>
                <w:tcMar>
                  <w:top w:w="100" w:type="dxa"/>
                  <w:left w:w="100" w:type="dxa"/>
                  <w:bottom w:w="100" w:type="dxa"/>
                  <w:right w:w="100" w:type="dxa"/>
                </w:tcMar>
              </w:tcPr>
              <w:p w14:paraId="482F5666">
                <w:pPr>
                  <w:widowControl w:val="0"/>
                  <w:numPr>
                    <w:ilvl w:val="0"/>
                    <w:numId w:val="5"/>
                  </w:numPr>
                  <w:spacing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Emphasising the hotel’s sustainable practices and eco-friendly spots to promote sustainable and ethical tourism practices to attract environmentally conscious tourists. </w:t>
                </w:r>
              </w:p>
              <w:p w14:paraId="5B126DA1">
                <w:pPr>
                  <w:widowControl w:val="0"/>
                  <w:numPr>
                    <w:ilvl w:val="0"/>
                    <w:numId w:val="5"/>
                  </w:numPr>
                  <w:spacing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Enhancing digital presence by promoting customer services and positive customer reviews to reach more customers. This approach might create self-services for tourists and reduce over-dependency on employees (Oakviewgroup, 2024). </w:t>
                </w:r>
              </w:p>
              <w:p w14:paraId="6D04ACE0">
                <w:pPr>
                  <w:widowControl w:val="0"/>
                  <w:numPr>
                    <w:ilvl w:val="0"/>
                    <w:numId w:val="5"/>
                  </w:numPr>
                  <w:spacing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company can utilise its strong brand image and support from a huge customer base to expand its operations in the competitive environment. </w:t>
                </w:r>
              </w:p>
            </w:tc>
            <w:tc>
              <w:tcPr>
                <w:tcW w:w="3690" w:type="dxa"/>
                <w:shd w:val="clear" w:color="auto" w:fill="auto"/>
                <w:tcMar>
                  <w:top w:w="100" w:type="dxa"/>
                  <w:left w:w="100" w:type="dxa"/>
                  <w:bottom w:w="100" w:type="dxa"/>
                  <w:right w:w="100" w:type="dxa"/>
                </w:tcMar>
              </w:tcPr>
              <w:p w14:paraId="67690316">
                <w:pPr>
                  <w:widowControl w:val="0"/>
                  <w:numPr>
                    <w:ilvl w:val="0"/>
                    <w:numId w:val="5"/>
                  </w:numPr>
                  <w:spacing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Utilising brand identity along with different loyalty programs to reduce potential market risks and suppress limitations of employees. </w:t>
                </w:r>
              </w:p>
              <w:p w14:paraId="42A84A9E">
                <w:pPr>
                  <w:widowControl w:val="0"/>
                  <w:numPr>
                    <w:ilvl w:val="0"/>
                    <w:numId w:val="5"/>
                  </w:numPr>
                  <w:spacing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Focusing on personalised guest services to obtain competitive advantages in the international hospitality industry. </w:t>
                </w:r>
              </w:p>
              <w:p w14:paraId="4D437141">
                <w:pPr>
                  <w:widowControl w:val="0"/>
                  <w:numPr>
                    <w:ilvl w:val="0"/>
                    <w:numId w:val="5"/>
                  </w:numPr>
                  <w:spacing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 become more competitive in this tight competitive market, the company needs to foster its guest-engaging approaches accordingly. </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p>
            </w:tc>
          </w:tr>
          <w:tr w14:paraId="2D4125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145" w:type="dxa"/>
                <w:shd w:val="clear" w:color="auto" w:fill="auto"/>
                <w:tcMar>
                  <w:top w:w="100" w:type="dxa"/>
                  <w:left w:w="100" w:type="dxa"/>
                  <w:bottom w:w="100" w:type="dxa"/>
                  <w:right w:w="100" w:type="dxa"/>
                </w:tcMar>
              </w:tcPr>
              <w:p w14:paraId="11657913">
                <w:pPr>
                  <w:widowControl w:val="0"/>
                  <w:spacing w:line="360" w:lineRule="auto"/>
                  <w:jc w:val="both"/>
                  <w:rPr>
                    <w:rFonts w:ascii="Times New Roman" w:hAnsi="Times New Roman" w:eastAsia="Times New Roman" w:cs="Times New Roman"/>
                    <w:sz w:val="24"/>
                    <w:szCs w:val="24"/>
                  </w:rPr>
                </w:pPr>
              </w:p>
            </w:tc>
            <w:tc>
              <w:tcPr>
                <w:tcW w:w="4785" w:type="dxa"/>
                <w:shd w:val="clear" w:color="auto" w:fill="auto"/>
                <w:tcMar>
                  <w:top w:w="100" w:type="dxa"/>
                  <w:left w:w="100" w:type="dxa"/>
                  <w:bottom w:w="100" w:type="dxa"/>
                  <w:right w:w="100" w:type="dxa"/>
                </w:tcMar>
              </w:tcPr>
              <w:p w14:paraId="7CE2777C">
                <w:pPr>
                  <w:widowControl w:val="0"/>
                  <w:spacing w:line="240" w:lineRule="auto"/>
                  <w:ind w:left="720" w:hanging="360"/>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Weaknesses-Opportunities (WO)</w:t>
                </w:r>
              </w:p>
            </w:tc>
            <w:tc>
              <w:tcPr>
                <w:tcW w:w="3690" w:type="dxa"/>
                <w:shd w:val="clear" w:color="auto" w:fill="auto"/>
                <w:tcMar>
                  <w:top w:w="100" w:type="dxa"/>
                  <w:left w:w="100" w:type="dxa"/>
                  <w:bottom w:w="100" w:type="dxa"/>
                  <w:right w:w="100" w:type="dxa"/>
                </w:tcMar>
              </w:tcPr>
              <w:p w14:paraId="170EC8FC">
                <w:pPr>
                  <w:widowControl w:val="0"/>
                  <w:spacing w:line="240" w:lineRule="auto"/>
                  <w:ind w:left="720" w:hanging="360"/>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Weaknesses-Threats (WT)</w:t>
                </w:r>
              </w:p>
            </w:tc>
          </w:tr>
          <w:tr w14:paraId="35A3FD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145" w:type="dxa"/>
                <w:shd w:val="clear" w:color="auto" w:fill="auto"/>
                <w:tcMar>
                  <w:top w:w="100" w:type="dxa"/>
                  <w:left w:w="100" w:type="dxa"/>
                  <w:bottom w:w="100" w:type="dxa"/>
                  <w:right w:w="100" w:type="dxa"/>
                </w:tcMar>
              </w:tcPr>
              <w:p w14:paraId="374CEF79">
                <w:pPr>
                  <w:widowControl w:val="0"/>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Weaknesses (W)</w:t>
                </w:r>
              </w:p>
            </w:tc>
            <w:tc>
              <w:tcPr>
                <w:tcW w:w="4785" w:type="dxa"/>
                <w:shd w:val="clear" w:color="auto" w:fill="auto"/>
                <w:tcMar>
                  <w:top w:w="100" w:type="dxa"/>
                  <w:left w:w="100" w:type="dxa"/>
                  <w:bottom w:w="100" w:type="dxa"/>
                  <w:right w:w="100" w:type="dxa"/>
                </w:tcMar>
              </w:tcPr>
              <w:p w14:paraId="1D8BBCF7">
                <w:pPr>
                  <w:widowControl w:val="0"/>
                  <w:numPr>
                    <w:ilvl w:val="0"/>
                    <w:numId w:val="6"/>
                  </w:numPr>
                  <w:spacing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By developing strategic partnerships with local employment hubs to collect potential talent from different locations. Moreover, the company can also collaborate with different universities to conduct employment campaigns (Innerhofer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2024). </w:t>
                </w:r>
              </w:p>
              <w:p w14:paraId="14DD1890">
                <w:pPr>
                  <w:widowControl w:val="0"/>
                  <w:numPr>
                    <w:ilvl w:val="0"/>
                    <w:numId w:val="6"/>
                  </w:numPr>
                  <w:spacing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company also needs to focus on self-service kiosks to avoid detrimental impacts due to a shortage of labourers. </w:t>
                </w:r>
              </w:p>
            </w:tc>
            <w:tc>
              <w:tcPr>
                <w:tcW w:w="3690" w:type="dxa"/>
                <w:shd w:val="clear" w:color="auto" w:fill="auto"/>
                <w:tcMar>
                  <w:top w:w="100" w:type="dxa"/>
                  <w:left w:w="100" w:type="dxa"/>
                  <w:bottom w:w="100" w:type="dxa"/>
                  <w:right w:w="100" w:type="dxa"/>
                </w:tcMar>
              </w:tcPr>
              <w:p w14:paraId="01041512">
                <w:pPr>
                  <w:widowControl w:val="0"/>
                  <w:numPr>
                    <w:ilvl w:val="0"/>
                    <w:numId w:val="7"/>
                  </w:numPr>
                  <w:spacing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By availing financial support from banks and other organisations, the company can increase its financial abilities to expand operations. </w:t>
                </w:r>
              </w:p>
              <w:p w14:paraId="14A91554">
                <w:pPr>
                  <w:widowControl w:val="0"/>
                  <w:numPr>
                    <w:ilvl w:val="0"/>
                    <w:numId w:val="7"/>
                  </w:numPr>
                  <w:spacing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Developing HRM strategies to adopt the latest employment considerations to enhance abilities in developing talent acquisition policies. </w:t>
                </w:r>
              </w:p>
            </w:tc>
          </w:tr>
        </w:tbl>
      </w:sdtContent>
    </w:sdt>
    <w:p w14:paraId="6F3E0FA1">
      <w:pPr>
        <w:rPr>
          <w:rFonts w:ascii="Times New Roman" w:hAnsi="Times New Roman" w:eastAsia="Times New Roman" w:cs="Times New Roman"/>
          <w:sz w:val="24"/>
          <w:szCs w:val="24"/>
        </w:rPr>
      </w:pPr>
    </w:p>
    <w:p w14:paraId="3AEA9185">
      <w:pPr>
        <w:pStyle w:val="2"/>
      </w:pPr>
      <w:bookmarkStart w:id="9" w:name="_Toc199873198"/>
      <w:r>
        <w:t>Recommendations</w:t>
      </w:r>
      <w:bookmarkEnd w:id="9"/>
      <w:r>
        <w:t xml:space="preserve">  </w:t>
      </w:r>
    </w:p>
    <w:p w14:paraId="53DD62D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Based on the situation of limited employee resources in the organisational workplace, Oakview Hotel needs to consider several recommended strategies and also change management policies to obtain success and competitiveness in the marketplace. </w:t>
      </w:r>
    </w:p>
    <w:p w14:paraId="6F26F0C2">
      <w:pPr>
        <w:pStyle w:val="4"/>
      </w:pPr>
      <w:bookmarkStart w:id="10" w:name="_Toc199873199"/>
      <w:r>
        <w:t>Potential Recommendations</w:t>
      </w:r>
      <w:bookmarkEnd w:id="10"/>
      <w:r>
        <w:t xml:space="preserve"> </w:t>
      </w:r>
    </w:p>
    <w:p w14:paraId="43EF23F5">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Implementation of Talent Acquisition Policies by Partnering with Local Institutes and Placement Firms </w:t>
      </w:r>
    </w:p>
    <w:p w14:paraId="484353F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Impact:</w:t>
      </w:r>
      <w:r>
        <w:rPr>
          <w:rFonts w:ascii="Times New Roman" w:hAnsi="Times New Roman" w:eastAsia="Times New Roman" w:cs="Times New Roman"/>
          <w:sz w:val="24"/>
          <w:szCs w:val="24"/>
        </w:rPr>
        <w:t xml:space="preserve"> According to the research work of Portes and Springford (2023), it has been identified there after the pandemic and Brexit situations, companies in the UK market phase difficulties in attracting higher potential talent from wider marketplaces. Being a large UK-based hospitality firm with a business issue of limited workforce resources, Oakview Hotel Chain need to focus on a reliable local employee base. Based on the opinion of Opada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(2024), it can be recommended to the company to develop partnerships with local placement firms, institutes, including management and engineering universities, to attract fresh potential talent and enhance their skill sets to be successful employees in multiple hospitality responsibilities. </w:t>
      </w:r>
    </w:p>
    <w:p w14:paraId="59F9A63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 xml:space="preserve">Implementation Stages: </w:t>
      </w:r>
      <w:r>
        <w:rPr>
          <w:rFonts w:ascii="Times New Roman" w:hAnsi="Times New Roman" w:eastAsia="Times New Roman" w:cs="Times New Roman"/>
          <w:sz w:val="24"/>
          <w:szCs w:val="24"/>
        </w:rPr>
        <w:t>To make the process applicable, the company needs to consider multiple implementation steps (Burnes, 2014). In the initial step, the company needs to establish partnerships with local colleges and universities for conducting workshops, apprenticeships and vocational training programs. After completing this, the company needs to establish recruitment campaigns. Based on the results of candidates, who have participated in these campaigns, the organisation needs to employ them in temporary services. Based on performance in temporary services, the company needs to employ them in actual organisational workplaces.</w:t>
      </w:r>
    </w:p>
    <w:p w14:paraId="59696FC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Success Measurements</w:t>
      </w:r>
      <w:r>
        <w:rPr>
          <w:rFonts w:ascii="Times New Roman" w:hAnsi="Times New Roman" w:eastAsia="Times New Roman" w:cs="Times New Roman"/>
          <w:sz w:val="24"/>
          <w:szCs w:val="24"/>
        </w:rPr>
        <w:t xml:space="preserve">: The company can measure its success by considering some key performance indicators, including a tracking process to evaluate employee satisfaction rates, retention rates and staff engagement rates. By analysing the results of the shift from temporary to permanent employees, the company can measure its success rates in ethical employment practices. </w:t>
      </w:r>
    </w:p>
    <w:p w14:paraId="3CF123A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 xml:space="preserve">Benefits: </w:t>
      </w:r>
      <w:r>
        <w:rPr>
          <w:rFonts w:ascii="Times New Roman" w:hAnsi="Times New Roman" w:eastAsia="Times New Roman" w:cs="Times New Roman"/>
          <w:sz w:val="24"/>
          <w:szCs w:val="24"/>
        </w:rPr>
        <w:t xml:space="preserve">As per the opinion of Whittington (2020), it has been found that involving the local workforce base is considered as a supportive CSR strategy, which might benefit organisations to enhance reputation and abilities to attract potential talents from local markets. Thus, by establishing localised employment channels, the company can enhance its reputation in the competitive market as an ethical recruiter. Conversely, this strategy will also help the firm to reduce dependency on third-party firms in hiring processes. </w:t>
      </w:r>
    </w:p>
    <w:p w14:paraId="09F227D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 xml:space="preserve">Cost: </w:t>
      </w:r>
      <w:r>
        <w:rPr>
          <w:rFonts w:ascii="Times New Roman" w:hAnsi="Times New Roman" w:eastAsia="Times New Roman" w:cs="Times New Roman"/>
          <w:sz w:val="24"/>
          <w:szCs w:val="24"/>
        </w:rPr>
        <w:t xml:space="preserve">It has been anticipated that the organisation might need the cost of £20,500 to £55,000 annually for conducting hiring campaigns, training programs and partnership expenses. For better actions, the company might take governmental support (post-pandemic grants). </w:t>
      </w:r>
    </w:p>
    <w:p w14:paraId="29EE6ED2">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Establishing Attractive Employment Benefits with Appreciations and Work-Life Balance </w:t>
      </w:r>
    </w:p>
    <w:p w14:paraId="3B1E255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Based on the research work of Kipping and Clark (2012), it has been observed that by establishing attractive employment benefit programs, such as proper wage systems, fair salary policies, rewards and acknowledgement. To overcome the problems related to limited employee bases and staff dissatisfaction, Oakview Hotel needs to emphasise employee attraction policies, such as proper working schedules, monetary benefits and work-life balance throughout its workplaces. </w:t>
      </w:r>
    </w:p>
    <w:p w14:paraId="0E8C27A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 xml:space="preserve">Impact: </w:t>
      </w:r>
      <w:r>
        <w:rPr>
          <w:rFonts w:ascii="Times New Roman" w:hAnsi="Times New Roman" w:eastAsia="Times New Roman" w:cs="Times New Roman"/>
          <w:sz w:val="24"/>
          <w:szCs w:val="24"/>
        </w:rPr>
        <w:t xml:space="preserve">According to the research work of Ahamad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(2022), the implementation of employee attraction policies, including fair wage policies, proper working schedules, appreciation strategies and establishing work-life balance, an organisation can enhance its abilities to attract more potential talent in the workplace and reduce the level of employee dissatisfaction. By maintaining this recommended strategy for further development, it is anticipated that the company will be impacted in a positive way. </w:t>
      </w:r>
    </w:p>
    <w:p w14:paraId="31DA9E8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 xml:space="preserve">Implementation Strategies: </w:t>
      </w:r>
      <w:r>
        <w:rPr>
          <w:rFonts w:ascii="Times New Roman" w:hAnsi="Times New Roman" w:eastAsia="Times New Roman" w:cs="Times New Roman"/>
          <w:sz w:val="24"/>
          <w:szCs w:val="24"/>
        </w:rPr>
        <w:t xml:space="preserve">To implement employee-engagement strategies, the company might consider feedback platforms and software for establishing rotational shifts for employees. After implementing these platforms in workplace settings, the company needs to adopt scheduling worksheets to create a constructive routine for employees. Here, it can be recommended that the company should focus on rotational shifts for employees to offer uninterrupted customer service and stress-free working distributions for employees. After completing these essential steps, the company might consider an Employee Assistance Program application to ensure constant employee support and develop an employee-engaging interface. </w:t>
      </w:r>
    </w:p>
    <w:p w14:paraId="2B000E2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Measurement:</w:t>
      </w:r>
      <w:r>
        <w:rPr>
          <w:rFonts w:ascii="Times New Roman" w:hAnsi="Times New Roman" w:eastAsia="Times New Roman" w:cs="Times New Roman"/>
          <w:sz w:val="24"/>
          <w:szCs w:val="24"/>
        </w:rPr>
        <w:t xml:space="preserve"> By involving some specific heat performance indicators, the company needs to evaluate its effort by tracking employee turnover rate within fixed intervals, analysing absenteeism rates, and also evaluating employees’ satisfaction rates. It can also be stated that the company needs to evaluate tourists’ feedback and analyse operational effectiveness by analysing guests’ satisfaction rates. </w:t>
      </w:r>
    </w:p>
    <w:p w14:paraId="3C2C1D6D">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4004945" cy="374015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referRelativeResize="0"/>
                  </pic:nvPicPr>
                  <pic:blipFill>
                    <a:blip r:embed="rId15"/>
                    <a:srcRect/>
                    <a:stretch>
                      <a:fillRect/>
                    </a:stretch>
                  </pic:blipFill>
                  <pic:spPr>
                    <a:xfrm>
                      <a:off x="0" y="0"/>
                      <a:ext cx="4005263" cy="3740323"/>
                    </a:xfrm>
                    <a:prstGeom prst="rect">
                      <a:avLst/>
                    </a:prstGeom>
                  </pic:spPr>
                </pic:pic>
              </a:graphicData>
            </a:graphic>
          </wp:inline>
        </w:drawing>
      </w:r>
    </w:p>
    <w:p w14:paraId="0371B2F9">
      <w:pPr>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Employee Engagement Policies</w:t>
      </w:r>
    </w:p>
    <w:p w14:paraId="3BEB9BCD">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Garcia, 2025)</w:t>
      </w:r>
    </w:p>
    <w:p w14:paraId="58C4DACB">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 xml:space="preserve">Benefits: </w:t>
      </w:r>
      <w:r>
        <w:rPr>
          <w:rFonts w:ascii="Times New Roman" w:hAnsi="Times New Roman" w:eastAsia="Times New Roman" w:cs="Times New Roman"/>
          <w:sz w:val="24"/>
          <w:szCs w:val="24"/>
        </w:rPr>
        <w:t xml:space="preserve">According to the perspective of Herr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(2022), it has been identified that by establishing employee-engaging workplace practices and job styles, companies can easily attract potential talent from different resources to develop their strong employment base. Based on these identifications, it can be anticipated that by implementing employee-engaging strategies, including proper work-life balance, efficient workplace practices and reward policies, Oakview can easily attract potential candidates as employees and overcome its limitations related to insufficient employees in the post-pandemic situation. </w:t>
      </w:r>
    </w:p>
    <w:p w14:paraId="130A76F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Cost:</w:t>
      </w:r>
      <w:r>
        <w:rPr>
          <w:rFonts w:ascii="Times New Roman" w:hAnsi="Times New Roman" w:eastAsia="Times New Roman" w:cs="Times New Roman"/>
          <w:sz w:val="24"/>
          <w:szCs w:val="24"/>
        </w:rPr>
        <w:t xml:space="preserve"> It is expected that the company will need to implement nearly £3,500 to £5,000 for buying and maintaining scheduling software every year. On the other hand, it is anticipated that the company might need to use nearly £20 to £30 on different employee support practices. Thus, it can be recommended that the company needs to use approximately £4,000 to £5,000 yearly for overall development and maintenance, related to engagement strategies. </w:t>
      </w:r>
    </w:p>
    <w:p w14:paraId="1383883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Developing Employer’s Branding Programs </w:t>
      </w:r>
    </w:p>
    <w:p w14:paraId="380CE086">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Impact:</w:t>
      </w:r>
      <w:r>
        <w:rPr>
          <w:rFonts w:ascii="Times New Roman" w:hAnsi="Times New Roman" w:eastAsia="Times New Roman" w:cs="Times New Roman"/>
          <w:sz w:val="24"/>
          <w:szCs w:val="24"/>
        </w:rPr>
        <w:t xml:space="preserve"> As opined by Garcia (2025),  to attract potential talent as employees within the workplace, companies need to develop their brand identity and promote them to achieve success. These strategies can efficiently impact organisations’ ethical sourcing programs and overcome the scarcity of employees. Being a popular international hotel chain, Oakview has brand value in the competitive marketplace. To foster organisational brand values, the company is recommended to adopt ethical employment policies, community-driven employment programs, sustainability efforts in employment and local community-focused hiring policies. </w:t>
      </w:r>
    </w:p>
    <w:p w14:paraId="610E3FE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Implementation Strategies:</w:t>
      </w:r>
      <w:r>
        <w:rPr>
          <w:rFonts w:ascii="Times New Roman" w:hAnsi="Times New Roman" w:eastAsia="Times New Roman" w:cs="Times New Roman"/>
          <w:sz w:val="24"/>
          <w:szCs w:val="24"/>
        </w:rPr>
        <w:t xml:space="preserve"> For developing the employer’s brand value, Oakview Hotel needs to conduct repetitive social media campaigns along with physical campaigns to reach more people about its ethical employment policies, practices and benefits, related to workplace culture, democratic practices and employees’ reviews on their employment. Through these social campaigns, the company needs to offer its employment benefits, reward policies, career development opportunities and seasonal promotion thoroughly. Based on the perspective of Reis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(2021), it has been identified that through proper branding practices, an organisation can enhance its attractiveness in front of potential candidates. In the post-pandemic and post-Brexit situations, the organisation also needs to focus on non-European talent, especially those who are studying or residing in the country and looking for a placement. </w:t>
      </w:r>
    </w:p>
    <w:p w14:paraId="7AB68F3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 xml:space="preserve">Measurements: </w:t>
      </w:r>
      <w:r>
        <w:rPr>
          <w:rFonts w:ascii="Times New Roman" w:hAnsi="Times New Roman" w:eastAsia="Times New Roman" w:cs="Times New Roman"/>
          <w:sz w:val="24"/>
          <w:szCs w:val="24"/>
        </w:rPr>
        <w:t xml:space="preserve">To measure the success of the branding strategies, the company firstly needs to analyse and evaluate social media engagement metrics and identify how many audiences are viewing, following and sharing its posts and content. Apart from this, the company also needs to identify and analyse new job applications within 06 months intervals to determine how many new people are attracted by the company’s employment policies. </w:t>
      </w:r>
    </w:p>
    <w:p w14:paraId="48A0BB9F">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4438650" cy="43434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7" name="image2.png"/>
                    <pic:cNvPicPr preferRelativeResize="0"/>
                  </pic:nvPicPr>
                  <pic:blipFill>
                    <a:blip r:embed="rId16"/>
                    <a:srcRect/>
                    <a:stretch>
                      <a:fillRect/>
                    </a:stretch>
                  </pic:blipFill>
                  <pic:spPr>
                    <a:xfrm>
                      <a:off x="0" y="0"/>
                      <a:ext cx="4438650" cy="4343400"/>
                    </a:xfrm>
                    <a:prstGeom prst="rect">
                      <a:avLst/>
                    </a:prstGeom>
                  </pic:spPr>
                </pic:pic>
              </a:graphicData>
            </a:graphic>
          </wp:inline>
        </w:drawing>
      </w:r>
    </w:p>
    <w:p w14:paraId="594A94CF">
      <w:pPr>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Organisational Talent Management Through Branding Strategies </w:t>
      </w:r>
    </w:p>
    <w:p w14:paraId="1D3B9F12">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(Source: Reis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2021)</w:t>
      </w:r>
    </w:p>
    <w:p w14:paraId="13522F2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Benefits:</w:t>
      </w:r>
      <w:r>
        <w:rPr>
          <w:rFonts w:ascii="Times New Roman" w:hAnsi="Times New Roman" w:eastAsia="Times New Roman" w:cs="Times New Roman"/>
          <w:sz w:val="24"/>
          <w:szCs w:val="24"/>
        </w:rPr>
        <w:t xml:space="preserve"> By developing a strong brand identity, companies can easily enhance their reputation, customer trust factors and competitiveness in the marketplace. For Oakview Hotel, it can be said that through branding strategies through social media and physical campaigns, the company can achieve success in developing visitors’ trust and brand reputation. Based on the opinion of Nanjundeswaraswamy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(2025), ethical branding and sustainable employment policies also help the firm to obtain governmental sanctions.  </w:t>
      </w:r>
    </w:p>
    <w:p w14:paraId="52E80585">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i/>
          <w:sz w:val="24"/>
          <w:szCs w:val="24"/>
        </w:rPr>
        <w:t>Costs:</w:t>
      </w:r>
      <w:r>
        <w:rPr>
          <w:rFonts w:ascii="Times New Roman" w:hAnsi="Times New Roman" w:eastAsia="Times New Roman" w:cs="Times New Roman"/>
          <w:sz w:val="24"/>
          <w:szCs w:val="24"/>
        </w:rPr>
        <w:t xml:space="preserve"> Social media campaign is one of the most effective and budget-friendly branding strategies that organisations consider to promote their product, services or brands. It is estimated that for online brand promotions, the company might need £1500 to £2500 per year for maintenance and £15,000-£20,000 for salaries of digital media marketing employees. </w:t>
      </w:r>
    </w:p>
    <w:p w14:paraId="2A28A00D">
      <w:pPr>
        <w:pStyle w:val="4"/>
      </w:pPr>
      <w:bookmarkStart w:id="11" w:name="_Toc199873200"/>
      <w:r>
        <w:t>Change Management Strategy</w:t>
      </w:r>
      <w:bookmarkEnd w:id="11"/>
      <w:r>
        <w:t xml:space="preserve"> </w:t>
      </w:r>
    </w:p>
    <w:p w14:paraId="7390D94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According to the perspective of Errida and Lotfi (2021), it has been observed that after recommending efficient policies for further development, it is important to determine the most appropriate change management and change implication policies accordingly. In real-world scenarios, different change management theories and frameworks are widely popular. Among these alternatives, it has been found that Lewin’s Change Management Model will be beneficial for this organisation. Based on </w:t>
      </w:r>
      <w:r>
        <w:rPr>
          <w:rFonts w:ascii="Times New Roman" w:hAnsi="Times New Roman" w:eastAsia="Times New Roman" w:cs="Times New Roman"/>
          <w:b/>
          <w:i/>
          <w:sz w:val="24"/>
          <w:szCs w:val="24"/>
        </w:rPr>
        <w:t>Lewin’s Change Management Model</w:t>
      </w:r>
      <w:r>
        <w:rPr>
          <w:rFonts w:ascii="Times New Roman" w:hAnsi="Times New Roman" w:eastAsia="Times New Roman" w:cs="Times New Roman"/>
          <w:sz w:val="24"/>
          <w:szCs w:val="24"/>
        </w:rPr>
        <w:t xml:space="preserve">, companies need to consider three fundamental steps, including Unfreezing existing strategies, implementing Changes and Refreezing them to get proper outputs (Amina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2021). </w:t>
      </w:r>
    </w:p>
    <w:sdt>
      <w:sdtPr>
        <w:tag w:val="goog_rdk_1"/>
        <w:id w:val="-781252582"/>
        <w:lock w:val="contentLocked"/>
      </w:sdtPr>
      <w:sdtContent>
        <w:tbl>
          <w:tblPr>
            <w:tblStyle w:val="27"/>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470"/>
            <w:gridCol w:w="7890"/>
          </w:tblGrid>
          <w:tr w14:paraId="3BE8B6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470" w:type="dxa"/>
                <w:shd w:val="clear" w:color="auto" w:fill="auto"/>
                <w:tcMar>
                  <w:top w:w="100" w:type="dxa"/>
                  <w:left w:w="100" w:type="dxa"/>
                  <w:bottom w:w="100" w:type="dxa"/>
                  <w:right w:w="100" w:type="dxa"/>
                </w:tcMar>
              </w:tcPr>
              <w:p w14:paraId="16ED6339">
                <w:pPr>
                  <w:widowControl w:val="0"/>
                  <w:spacing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Unfreezing </w:t>
                </w:r>
              </w:p>
            </w:tc>
            <w:tc>
              <w:tcPr>
                <w:tcW w:w="7890" w:type="dxa"/>
                <w:shd w:val="clear" w:color="auto" w:fill="auto"/>
                <w:tcMar>
                  <w:top w:w="100" w:type="dxa"/>
                  <w:left w:w="100" w:type="dxa"/>
                  <w:bottom w:w="100" w:type="dxa"/>
                  <w:right w:w="100" w:type="dxa"/>
                </w:tcMar>
              </w:tcPr>
              <w:p w14:paraId="2C044C1D">
                <w:pPr>
                  <w:widowControl w:val="0"/>
                  <w:spacing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 overcome the shortage of employees inside the workplace, Oakview Hotel needs to adjust its operations by attracting potential candidates from local markets. For this purpose, the company needs to reorganise its employment channels and practices. Additionally, the organisation needs to explore multiple channels to hire employees and develop a strong brand reputation by using social media campaigns. For these initiatives, the company needs to explore a variety of new strategies, so that this initial phase will be named as the unfreezing phase in Lewin’s Model. </w:t>
                </w:r>
              </w:p>
            </w:tc>
          </w:tr>
          <w:tr w14:paraId="52CB11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470" w:type="dxa"/>
                <w:shd w:val="clear" w:color="auto" w:fill="auto"/>
                <w:tcMar>
                  <w:top w:w="100" w:type="dxa"/>
                  <w:left w:w="100" w:type="dxa"/>
                  <w:bottom w:w="100" w:type="dxa"/>
                  <w:right w:w="100" w:type="dxa"/>
                </w:tcMar>
              </w:tcPr>
              <w:p w14:paraId="69A19451">
                <w:pPr>
                  <w:widowControl w:val="0"/>
                  <w:spacing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Change </w:t>
                </w:r>
              </w:p>
            </w:tc>
            <w:tc>
              <w:tcPr>
                <w:tcW w:w="7890" w:type="dxa"/>
                <w:shd w:val="clear" w:color="auto" w:fill="auto"/>
                <w:tcMar>
                  <w:top w:w="100" w:type="dxa"/>
                  <w:left w:w="100" w:type="dxa"/>
                  <w:bottom w:w="100" w:type="dxa"/>
                  <w:right w:w="100" w:type="dxa"/>
                </w:tcMar>
              </w:tcPr>
              <w:p w14:paraId="76C3DB90">
                <w:pPr>
                  <w:widowControl w:val="0"/>
                  <w:spacing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After unfreezing different stereotypical and ongoing operations, the company needs to utilise different channels to conduct employment programs, reconstruct its employee-engagement practices, workplace flexibilities, time management approaches, develop connections with non-European aspirant candidates for employment and develop partnerships with different colleges and universities to get potential talent. Though this phase is acting as a changing player within the company’s operations, this phase will be identified as the Change phase as per Lewin’s Model.</w:t>
                </w:r>
              </w:p>
            </w:tc>
          </w:tr>
          <w:tr w14:paraId="083527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470" w:type="dxa"/>
                <w:shd w:val="clear" w:color="auto" w:fill="auto"/>
                <w:tcMar>
                  <w:top w:w="100" w:type="dxa"/>
                  <w:left w:w="100" w:type="dxa"/>
                  <w:bottom w:w="100" w:type="dxa"/>
                  <w:right w:w="100" w:type="dxa"/>
                </w:tcMar>
              </w:tcPr>
              <w:p w14:paraId="537DAEF6">
                <w:pPr>
                  <w:widowControl w:val="0"/>
                  <w:spacing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Freezing</w:t>
                </w:r>
              </w:p>
            </w:tc>
            <w:tc>
              <w:tcPr>
                <w:tcW w:w="7890" w:type="dxa"/>
                <w:shd w:val="clear" w:color="auto" w:fill="auto"/>
                <w:tcMar>
                  <w:top w:w="100" w:type="dxa"/>
                  <w:left w:w="100" w:type="dxa"/>
                  <w:bottom w:w="100" w:type="dxa"/>
                  <w:right w:w="100" w:type="dxa"/>
                </w:tcMar>
              </w:tcPr>
              <w:p w14:paraId="17ADF8F9">
                <w:pPr>
                  <w:widowControl w:val="0"/>
                  <w:spacing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Based on Lewin’s model, the freezing stage refers to the process of solidifying adopted changes throughout the workplace. In this context, after implementing changes in the workplace, Oakview Hotel needs to acknowledge the adopted changes and initiate new operations with updated operational policies. In this phase, the company can focus on non-traditional approaches to hiring employees and attracting a larger employee base from wider areas. </w:t>
                </w:r>
              </w:p>
            </w:tc>
          </w:tr>
        </w:tbl>
      </w:sdtContent>
    </w:sdt>
    <w:p w14:paraId="7A3DDD51">
      <w:pPr>
        <w:spacing w:line="360" w:lineRule="auto"/>
        <w:jc w:val="both"/>
        <w:rPr>
          <w:rFonts w:ascii="Times New Roman" w:hAnsi="Times New Roman" w:eastAsia="Times New Roman" w:cs="Times New Roman"/>
          <w:sz w:val="24"/>
          <w:szCs w:val="24"/>
        </w:rPr>
      </w:pPr>
    </w:p>
    <w:p w14:paraId="32607579">
      <w:pPr>
        <w:pStyle w:val="4"/>
      </w:pPr>
      <w:bookmarkStart w:id="12" w:name="_Toc199873201"/>
      <w:r>
        <w:t>Measuring Reviews and Projected Benefits</w:t>
      </w:r>
      <w:bookmarkEnd w:id="12"/>
    </w:p>
    <w:p w14:paraId="39875EFA">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Measuring Reviews </w:t>
      </w:r>
    </w:p>
    <w:p w14:paraId="19536341">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According to the perspective of Abrahams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(2024), it has been observed that for ensuring the effectiveness of recommended strategies for father development, companies need to initiate strong and effective performance review systems. Oakview Hotel also needs to implement such measuring strategies by considering multiple key performance indicators. Based on the aforementioned recommendations, it can be said that this hotel chain needs to analyse employee turnover rates within every 6-month interval. Additionally, the company also needs to identify employees’ absenteeism to determine whether employees are engaged with the organisation's activities or not. Based on the perspective of Abrahams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(2024), it has been found that to measure performance, an organisation needs to analyse other competitors’ current performance rates and determine which areas need to be developed to become sustainable. Here, for Oakview Hotel, the company needs to analyse and evaluate the organisational operations of Premier Inn, JW Marriott and other hospitality companies and determine which strategies will be beneficial for the company to develop its guest satisfaction rates. Additionally, the company can measure its success rates based on employee engagement and retention by conducting employee surveys and collecting their responses to identify which strategies need further development. </w:t>
      </w:r>
    </w:p>
    <w:p w14:paraId="2F138490">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Projected Benefits </w:t>
      </w:r>
    </w:p>
    <w:p w14:paraId="1AD15AE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On the projected recommendations, it can be anticipated that by considering these strategies, Oakview Hotel might obtain a handful of benefits and opportunities to enhance its operations in a tight competitive environment. Firstly, through independent talent acquisition strategies and developing partnerships with different institutes, the company will benefit by reducing over-dependency on third-party employment hubs. With this strategy, the company can easily develop campaigns and train fresher candidates to employ a skilled workforce. Conversely, by focusing on non-European candidates for employment in these organisational areas, the company can overcome its contemporary business issues throughout its workplaces. By strong branding approaches, the company can reach a wider audience range and attract them as aspirational candidates. As a result, the company can get access to many potential talents and involve them in the workplace to overcome its limitations regarding the sufficiency of employees. Finally, ethical employment targets might help the company to increase its brand reputation in the market and attract more talent from different marketplaces. </w:t>
      </w:r>
    </w:p>
    <w:p w14:paraId="6C987062">
      <w:pPr>
        <w:pStyle w:val="4"/>
      </w:pPr>
      <w:bookmarkStart w:id="13" w:name="_Toc199873202"/>
      <w:r>
        <w:t>Projected Cost Structure</w:t>
      </w:r>
      <w:bookmarkEnd w:id="13"/>
      <w:r>
        <w:t xml:space="preserve"> </w:t>
      </w:r>
    </w:p>
    <w:sdt>
      <w:sdtPr>
        <w:tag w:val="goog_rdk_2"/>
        <w:id w:val="349611538"/>
        <w:lock w:val="contentLocked"/>
      </w:sdtPr>
      <w:sdtContent>
        <w:tbl>
          <w:tblPr>
            <w:tblStyle w:val="28"/>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6705"/>
            <w:gridCol w:w="2655"/>
          </w:tblGrid>
          <w:tr w14:paraId="413186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6705" w:type="dxa"/>
                <w:shd w:val="clear" w:color="auto" w:fill="auto"/>
                <w:tcMar>
                  <w:top w:w="100" w:type="dxa"/>
                  <w:left w:w="100" w:type="dxa"/>
                  <w:bottom w:w="100" w:type="dxa"/>
                  <w:right w:w="100" w:type="dxa"/>
                </w:tcMar>
              </w:tcPr>
              <w:p w14:paraId="2F1C491A">
                <w:pPr>
                  <w:widowControl w:val="0"/>
                  <w:spacing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Recommended Areas of Investment </w:t>
                </w:r>
              </w:p>
            </w:tc>
            <w:tc>
              <w:tcPr>
                <w:tcW w:w="2655" w:type="dxa"/>
                <w:shd w:val="clear" w:color="auto" w:fill="auto"/>
                <w:tcMar>
                  <w:top w:w="100" w:type="dxa"/>
                  <w:left w:w="100" w:type="dxa"/>
                  <w:bottom w:w="100" w:type="dxa"/>
                  <w:right w:w="100" w:type="dxa"/>
                </w:tcMar>
              </w:tcPr>
              <w:p w14:paraId="6B2D3AB1">
                <w:pPr>
                  <w:widowControl w:val="0"/>
                  <w:spacing w:line="24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Estimated Annual Cost </w:t>
                </w:r>
              </w:p>
            </w:tc>
          </w:tr>
          <w:tr w14:paraId="2C9617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6705" w:type="dxa"/>
                <w:shd w:val="clear" w:color="auto" w:fill="auto"/>
                <w:tcMar>
                  <w:top w:w="100" w:type="dxa"/>
                  <w:left w:w="100" w:type="dxa"/>
                  <w:bottom w:w="100" w:type="dxa"/>
                  <w:right w:w="100" w:type="dxa"/>
                </w:tcMar>
              </w:tcPr>
              <w:p w14:paraId="240B1D56">
                <w:pPr>
                  <w:widowControl w:val="0"/>
                  <w:numPr>
                    <w:ilvl w:val="0"/>
                    <w:numId w:val="8"/>
                  </w:num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Campus Interview Programs </w:t>
                </w:r>
              </w:p>
              <w:p w14:paraId="59713ED0">
                <w:pPr>
                  <w:widowControl w:val="0"/>
                  <w:numPr>
                    <w:ilvl w:val="0"/>
                    <w:numId w:val="8"/>
                  </w:num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Campaigning and Training Programs </w:t>
                </w:r>
              </w:p>
              <w:p w14:paraId="688391D8">
                <w:pPr>
                  <w:widowControl w:val="0"/>
                  <w:numPr>
                    <w:ilvl w:val="0"/>
                    <w:numId w:val="8"/>
                  </w:num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Implementation of Digital Tools </w:t>
                </w:r>
              </w:p>
              <w:p w14:paraId="1A7EF4F8">
                <w:pPr>
                  <w:widowControl w:val="0"/>
                  <w:numPr>
                    <w:ilvl w:val="0"/>
                    <w:numId w:val="8"/>
                  </w:num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Maintenance of Digital Devices </w:t>
                </w:r>
              </w:p>
              <w:p w14:paraId="13889E58">
                <w:pPr>
                  <w:widowControl w:val="0"/>
                  <w:numPr>
                    <w:ilvl w:val="0"/>
                    <w:numId w:val="8"/>
                  </w:num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Social Media Campaigns </w:t>
                </w:r>
              </w:p>
              <w:p w14:paraId="7B2F5E0C">
                <w:pPr>
                  <w:widowControl w:val="0"/>
                  <w:numPr>
                    <w:ilvl w:val="0"/>
                    <w:numId w:val="8"/>
                  </w:num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Branding Programs </w:t>
                </w:r>
              </w:p>
              <w:p w14:paraId="6337E885">
                <w:pPr>
                  <w:widowControl w:val="0"/>
                  <w:numPr>
                    <w:ilvl w:val="0"/>
                    <w:numId w:val="8"/>
                  </w:num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Employee-Encouragement Programs </w:t>
                </w:r>
              </w:p>
              <w:p w14:paraId="72E02163">
                <w:pPr>
                  <w:widowControl w:val="0"/>
                  <w:numPr>
                    <w:ilvl w:val="0"/>
                    <w:numId w:val="8"/>
                  </w:num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Employee Value Proposition Programs </w:t>
                </w:r>
              </w:p>
            </w:tc>
            <w:tc>
              <w:tcPr>
                <w:tcW w:w="2655" w:type="dxa"/>
                <w:shd w:val="clear" w:color="auto" w:fill="auto"/>
                <w:tcMar>
                  <w:top w:w="100" w:type="dxa"/>
                  <w:left w:w="100" w:type="dxa"/>
                  <w:bottom w:w="100" w:type="dxa"/>
                  <w:right w:w="100" w:type="dxa"/>
                </w:tcMar>
              </w:tcPr>
              <w:p w14:paraId="1B6DC276">
                <w:pPr>
                  <w:widowControl w:val="0"/>
                  <w:spacing w:line="24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£1,200</w:t>
                </w:r>
              </w:p>
              <w:p w14:paraId="5CC9E722">
                <w:pPr>
                  <w:widowControl w:val="0"/>
                  <w:spacing w:line="24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£11,000</w:t>
                </w:r>
              </w:p>
              <w:p w14:paraId="48B4DB04">
                <w:pPr>
                  <w:widowControl w:val="0"/>
                  <w:spacing w:line="24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£7,000</w:t>
                </w:r>
              </w:p>
              <w:p w14:paraId="5D431639">
                <w:pPr>
                  <w:widowControl w:val="0"/>
                  <w:spacing w:line="24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£6,500</w:t>
                </w:r>
              </w:p>
              <w:p w14:paraId="71B86684">
                <w:pPr>
                  <w:widowControl w:val="0"/>
                  <w:spacing w:line="24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£3,300</w:t>
                </w:r>
              </w:p>
              <w:p w14:paraId="4A41BFAD">
                <w:pPr>
                  <w:widowControl w:val="0"/>
                  <w:spacing w:line="24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£6,700</w:t>
                </w:r>
              </w:p>
              <w:p w14:paraId="57633513">
                <w:pPr>
                  <w:widowControl w:val="0"/>
                  <w:spacing w:line="24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£15,500</w:t>
                </w:r>
              </w:p>
              <w:p w14:paraId="13F802F4">
                <w:pPr>
                  <w:widowControl w:val="0"/>
                  <w:spacing w:line="24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£11,000</w:t>
                </w:r>
              </w:p>
            </w:tc>
          </w:tr>
          <w:tr w14:paraId="191E86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6705" w:type="dxa"/>
                <w:shd w:val="clear" w:color="auto" w:fill="auto"/>
                <w:tcMar>
                  <w:top w:w="100" w:type="dxa"/>
                  <w:left w:w="100" w:type="dxa"/>
                  <w:bottom w:w="100" w:type="dxa"/>
                  <w:right w:w="100" w:type="dxa"/>
                </w:tcMar>
              </w:tcPr>
              <w:p w14:paraId="150E2ADC">
                <w:pPr>
                  <w:widowControl w:val="0"/>
                  <w:spacing w:line="240" w:lineRule="auto"/>
                  <w:jc w:val="right"/>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Projected Total Costs</w:t>
                </w:r>
              </w:p>
            </w:tc>
            <w:tc>
              <w:tcPr>
                <w:tcW w:w="2655" w:type="dxa"/>
                <w:shd w:val="clear" w:color="auto" w:fill="auto"/>
                <w:tcMar>
                  <w:top w:w="100" w:type="dxa"/>
                  <w:left w:w="100" w:type="dxa"/>
                  <w:bottom w:w="100" w:type="dxa"/>
                  <w:right w:w="100" w:type="dxa"/>
                </w:tcMar>
              </w:tcPr>
              <w:p w14:paraId="5B8F0779">
                <w:pPr>
                  <w:widowControl w:val="0"/>
                  <w:spacing w:line="24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£62,200</w:t>
                </w:r>
              </w:p>
            </w:tc>
          </w:tr>
        </w:tbl>
      </w:sdtContent>
    </w:sdt>
    <w:p w14:paraId="432331E9">
      <w:pPr>
        <w:pStyle w:val="2"/>
      </w:pPr>
      <w:r>
        <w:br w:type="page"/>
      </w:r>
      <w:bookmarkStart w:id="14" w:name="_Toc199873203"/>
      <w:r>
        <w:t>Action Plan</w:t>
      </w:r>
      <w:bookmarkEnd w:id="14"/>
      <w:r>
        <w:t xml:space="preserve">  </w:t>
      </w:r>
    </w:p>
    <w:sdt>
      <w:sdtPr>
        <w:tag w:val="goog_rdk_3"/>
        <w:id w:val="1747219236"/>
        <w:lock w:val="contentLocked"/>
      </w:sdtPr>
      <w:sdtContent>
        <w:tbl>
          <w:tblPr>
            <w:tblStyle w:val="29"/>
            <w:tblW w:w="10245" w:type="dxa"/>
            <w:tblInd w:w="-69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230"/>
            <w:gridCol w:w="1365"/>
            <w:gridCol w:w="1605"/>
            <w:gridCol w:w="1875"/>
            <w:gridCol w:w="1290"/>
            <w:gridCol w:w="1500"/>
            <w:gridCol w:w="1380"/>
          </w:tblGrid>
          <w:tr w14:paraId="3DF779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230" w:type="dxa"/>
                <w:tcBorders>
                  <w:top w:val="single" w:color="000000" w:sz="8" w:space="0"/>
                  <w:left w:val="single" w:color="000000" w:sz="8" w:space="0"/>
                  <w:bottom w:val="single" w:color="000000" w:sz="8" w:space="0"/>
                  <w:right w:val="single" w:color="000000" w:sz="8" w:space="0"/>
                </w:tcBorders>
                <w:tcMar>
                  <w:top w:w="0" w:type="dxa"/>
                  <w:left w:w="100" w:type="dxa"/>
                  <w:bottom w:w="0" w:type="dxa"/>
                  <w:right w:w="100" w:type="dxa"/>
                </w:tcMar>
              </w:tcPr>
              <w:p w14:paraId="383E9528">
                <w:pPr>
                  <w:spacing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Number</w:t>
                </w:r>
              </w:p>
            </w:tc>
            <w:tc>
              <w:tcPr>
                <w:tcW w:w="1365" w:type="dxa"/>
                <w:tcBorders>
                  <w:top w:val="single" w:color="000000" w:sz="8" w:space="0"/>
                  <w:left w:val="nil"/>
                  <w:bottom w:val="single" w:color="000000" w:sz="8" w:space="0"/>
                  <w:right w:val="single" w:color="000000" w:sz="8" w:space="0"/>
                </w:tcBorders>
                <w:tcMar>
                  <w:top w:w="0" w:type="dxa"/>
                  <w:left w:w="100" w:type="dxa"/>
                  <w:bottom w:w="0" w:type="dxa"/>
                  <w:right w:w="100" w:type="dxa"/>
                </w:tcMar>
              </w:tcPr>
              <w:p w14:paraId="53ECED61">
                <w:pPr>
                  <w:spacing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Problem</w:t>
                </w:r>
              </w:p>
            </w:tc>
            <w:tc>
              <w:tcPr>
                <w:tcW w:w="1605" w:type="dxa"/>
                <w:tcBorders>
                  <w:top w:val="single" w:color="000000" w:sz="8" w:space="0"/>
                  <w:left w:val="nil"/>
                  <w:bottom w:val="single" w:color="000000" w:sz="8" w:space="0"/>
                  <w:right w:val="single" w:color="000000" w:sz="8" w:space="0"/>
                </w:tcBorders>
                <w:tcMar>
                  <w:top w:w="0" w:type="dxa"/>
                  <w:left w:w="100" w:type="dxa"/>
                  <w:bottom w:w="0" w:type="dxa"/>
                  <w:right w:w="100" w:type="dxa"/>
                </w:tcMar>
              </w:tcPr>
              <w:p w14:paraId="435B97E0">
                <w:pPr>
                  <w:spacing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Solution</w:t>
                </w:r>
              </w:p>
            </w:tc>
            <w:tc>
              <w:tcPr>
                <w:tcW w:w="1875" w:type="dxa"/>
                <w:tcBorders>
                  <w:top w:val="single" w:color="000000" w:sz="8" w:space="0"/>
                  <w:left w:val="nil"/>
                  <w:bottom w:val="single" w:color="000000" w:sz="8" w:space="0"/>
                  <w:right w:val="single" w:color="000000" w:sz="8" w:space="0"/>
                </w:tcBorders>
                <w:tcMar>
                  <w:top w:w="0" w:type="dxa"/>
                  <w:left w:w="100" w:type="dxa"/>
                  <w:bottom w:w="0" w:type="dxa"/>
                  <w:right w:w="100" w:type="dxa"/>
                </w:tcMar>
              </w:tcPr>
              <w:p w14:paraId="2BDE4CF6">
                <w:pPr>
                  <w:spacing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Desired Outcome</w:t>
                </w:r>
              </w:p>
            </w:tc>
            <w:tc>
              <w:tcPr>
                <w:tcW w:w="1290" w:type="dxa"/>
                <w:tcBorders>
                  <w:top w:val="single" w:color="000000" w:sz="8" w:space="0"/>
                  <w:left w:val="nil"/>
                  <w:bottom w:val="single" w:color="000000" w:sz="8" w:space="0"/>
                  <w:right w:val="single" w:color="000000" w:sz="8" w:space="0"/>
                </w:tcBorders>
                <w:tcMar>
                  <w:top w:w="0" w:type="dxa"/>
                  <w:left w:w="100" w:type="dxa"/>
                  <w:bottom w:w="0" w:type="dxa"/>
                  <w:right w:w="100" w:type="dxa"/>
                </w:tcMar>
              </w:tcPr>
              <w:p w14:paraId="0A3B3204">
                <w:pPr>
                  <w:spacing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Time Scale</w:t>
                </w:r>
              </w:p>
            </w:tc>
            <w:tc>
              <w:tcPr>
                <w:tcW w:w="1500" w:type="dxa"/>
                <w:tcBorders>
                  <w:top w:val="single" w:color="000000" w:sz="8" w:space="0"/>
                  <w:left w:val="nil"/>
                  <w:bottom w:val="single" w:color="000000" w:sz="8" w:space="0"/>
                  <w:right w:val="single" w:color="000000" w:sz="8" w:space="0"/>
                </w:tcBorders>
                <w:tcMar>
                  <w:top w:w="0" w:type="dxa"/>
                  <w:left w:w="100" w:type="dxa"/>
                  <w:bottom w:w="0" w:type="dxa"/>
                  <w:right w:w="100" w:type="dxa"/>
                </w:tcMar>
              </w:tcPr>
              <w:p w14:paraId="1BFA8338">
                <w:pPr>
                  <w:spacing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Completion Date</w:t>
                </w:r>
              </w:p>
            </w:tc>
            <w:tc>
              <w:tcPr>
                <w:tcW w:w="1380" w:type="dxa"/>
                <w:tcBorders>
                  <w:top w:val="single" w:color="000000" w:sz="8" w:space="0"/>
                  <w:left w:val="nil"/>
                  <w:bottom w:val="single" w:color="000000" w:sz="8" w:space="0"/>
                  <w:right w:val="single" w:color="000000" w:sz="8" w:space="0"/>
                </w:tcBorders>
                <w:tcMar>
                  <w:top w:w="0" w:type="dxa"/>
                  <w:left w:w="100" w:type="dxa"/>
                  <w:bottom w:w="0" w:type="dxa"/>
                  <w:right w:w="100" w:type="dxa"/>
                </w:tcMar>
              </w:tcPr>
              <w:p w14:paraId="7488C4EC">
                <w:pPr>
                  <w:spacing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Planned Budget</w:t>
                </w:r>
              </w:p>
            </w:tc>
          </w:tr>
          <w:tr w14:paraId="3C86AE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230" w:type="dxa"/>
                <w:tcBorders>
                  <w:top w:val="nil"/>
                  <w:left w:val="single" w:color="000000" w:sz="8" w:space="0"/>
                  <w:bottom w:val="single" w:color="000000" w:sz="8" w:space="0"/>
                  <w:right w:val="single" w:color="000000" w:sz="8" w:space="0"/>
                </w:tcBorders>
                <w:tcMar>
                  <w:top w:w="0" w:type="dxa"/>
                  <w:left w:w="100" w:type="dxa"/>
                  <w:bottom w:w="0" w:type="dxa"/>
                  <w:right w:w="100" w:type="dxa"/>
                </w:tcMar>
              </w:tcPr>
              <w:p w14:paraId="5A08DF93">
                <w:p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1365" w:type="dxa"/>
                <w:tcBorders>
                  <w:top w:val="nil"/>
                  <w:left w:val="nil"/>
                  <w:bottom w:val="single" w:color="000000" w:sz="8" w:space="0"/>
                  <w:right w:val="single" w:color="000000" w:sz="8" w:space="0"/>
                </w:tcBorders>
                <w:tcMar>
                  <w:top w:w="0" w:type="dxa"/>
                  <w:left w:w="100" w:type="dxa"/>
                  <w:bottom w:w="0" w:type="dxa"/>
                  <w:right w:w="100" w:type="dxa"/>
                </w:tcMar>
              </w:tcPr>
              <w:p w14:paraId="21760164">
                <w:p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High rate of employee turnover in the food and beverage department along with housekeeping</w:t>
                </w:r>
              </w:p>
            </w:tc>
            <w:tc>
              <w:tcPr>
                <w:tcW w:w="1605" w:type="dxa"/>
                <w:tcBorders>
                  <w:top w:val="nil"/>
                  <w:left w:val="nil"/>
                  <w:bottom w:val="single" w:color="000000" w:sz="8" w:space="0"/>
                  <w:right w:val="single" w:color="000000" w:sz="8" w:space="0"/>
                </w:tcBorders>
                <w:tcMar>
                  <w:top w:w="0" w:type="dxa"/>
                  <w:left w:w="100" w:type="dxa"/>
                  <w:bottom w:w="0" w:type="dxa"/>
                  <w:right w:w="100" w:type="dxa"/>
                </w:tcMar>
              </w:tcPr>
              <w:p w14:paraId="47201DE3">
                <w:p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 solution that the hotel should implement is to form partnerships with the local vocational colleges and training organisations. The intent is to create a talent pool of workforce and for that, they could be provided with internship or employment opportunities which would pave the way towards their career development.</w:t>
                </w:r>
              </w:p>
            </w:tc>
            <w:tc>
              <w:tcPr>
                <w:tcW w:w="1875" w:type="dxa"/>
                <w:tcBorders>
                  <w:top w:val="nil"/>
                  <w:left w:val="nil"/>
                  <w:bottom w:val="single" w:color="000000" w:sz="8" w:space="0"/>
                  <w:right w:val="single" w:color="000000" w:sz="8" w:space="0"/>
                </w:tcBorders>
                <w:tcMar>
                  <w:top w:w="0" w:type="dxa"/>
                  <w:left w:w="100" w:type="dxa"/>
                  <w:bottom w:w="0" w:type="dxa"/>
                  <w:right w:w="100" w:type="dxa"/>
                </w:tcMar>
              </w:tcPr>
              <w:p w14:paraId="36276F06">
                <w:p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 outcome of this would be witnessed in the building and development of a sustainable recruitment source. Moreover, this would also culminate in a reduction of employee turnover rate in the concerned sector along with bringing improvement in staff performance and retention.</w:t>
                </w:r>
              </w:p>
            </w:tc>
            <w:tc>
              <w:tcPr>
                <w:tcW w:w="1290" w:type="dxa"/>
                <w:tcBorders>
                  <w:top w:val="nil"/>
                  <w:left w:val="nil"/>
                  <w:bottom w:val="single" w:color="000000" w:sz="8" w:space="0"/>
                  <w:right w:val="single" w:color="000000" w:sz="8" w:space="0"/>
                </w:tcBorders>
                <w:tcMar>
                  <w:top w:w="0" w:type="dxa"/>
                  <w:left w:w="100" w:type="dxa"/>
                  <w:bottom w:w="0" w:type="dxa"/>
                  <w:right w:w="100" w:type="dxa"/>
                </w:tcMar>
              </w:tcPr>
              <w:p w14:paraId="21DAFFB0">
                <w:p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3-4 months</w:t>
                </w:r>
              </w:p>
            </w:tc>
            <w:tc>
              <w:tcPr>
                <w:tcW w:w="1500" w:type="dxa"/>
                <w:tcBorders>
                  <w:top w:val="nil"/>
                  <w:left w:val="nil"/>
                  <w:bottom w:val="single" w:color="000000" w:sz="8" w:space="0"/>
                  <w:right w:val="single" w:color="000000" w:sz="8" w:space="0"/>
                </w:tcBorders>
                <w:tcMar>
                  <w:top w:w="0" w:type="dxa"/>
                  <w:left w:w="100" w:type="dxa"/>
                  <w:bottom w:w="0" w:type="dxa"/>
                  <w:right w:w="100" w:type="dxa"/>
                </w:tcMar>
              </w:tcPr>
              <w:p w14:paraId="698FD9DA">
                <w:p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15.10.25</w:t>
                </w:r>
              </w:p>
            </w:tc>
            <w:tc>
              <w:tcPr>
                <w:tcW w:w="1380" w:type="dxa"/>
                <w:tcBorders>
                  <w:top w:val="nil"/>
                  <w:left w:val="nil"/>
                  <w:bottom w:val="single" w:color="000000" w:sz="8" w:space="0"/>
                  <w:right w:val="single" w:color="000000" w:sz="8" w:space="0"/>
                </w:tcBorders>
                <w:tcMar>
                  <w:top w:w="0" w:type="dxa"/>
                  <w:left w:w="100" w:type="dxa"/>
                  <w:bottom w:w="0" w:type="dxa"/>
                  <w:right w:w="100" w:type="dxa"/>
                </w:tcMar>
              </w:tcPr>
              <w:p w14:paraId="4EA57502">
                <w:pP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£10,000</w:t>
                </w:r>
              </w:p>
            </w:tc>
          </w:tr>
          <w:tr w14:paraId="158B2E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23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14:paraId="15DCCB95">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2 </w:t>
                </w:r>
              </w:p>
            </w:tc>
            <w:tc>
              <w:tcPr>
                <w:tcW w:w="136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14:paraId="527ACEC5">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Limited workforce after the Brexit situation due to complicated international trade diplomacy. </w:t>
                </w:r>
              </w:p>
            </w:tc>
            <w:tc>
              <w:tcPr>
                <w:tcW w:w="160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14:paraId="4C5B4BE2">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Implementation of strong branding to attract potential candidates from different geographic areas. By focusing on non-European candidates as employees and attracting them to join the workplace. </w:t>
                </w:r>
              </w:p>
            </w:tc>
            <w:tc>
              <w:tcPr>
                <w:tcW w:w="187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14:paraId="657B01A7">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It is anticipated that the company will get sufficient employees in its operational areas. By focusing on a non-European employee base, the company might get opportunities to overcome complicated international business barriers, due to the Brexit event. </w:t>
                </w:r>
              </w:p>
            </w:tc>
            <w:tc>
              <w:tcPr>
                <w:tcW w:w="129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14:paraId="3AFB5ABB">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04-05 months </w:t>
                </w:r>
              </w:p>
            </w:tc>
            <w:tc>
              <w:tcPr>
                <w:tcW w:w="150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14:paraId="57D48376">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15-10-2025</w:t>
                </w:r>
              </w:p>
            </w:tc>
            <w:tc>
              <w:tcPr>
                <w:tcW w:w="138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14:paraId="0EC4234E">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£16,000</w:t>
                </w:r>
              </w:p>
            </w:tc>
          </w:tr>
          <w:tr w14:paraId="01729E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23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14:paraId="1778EDBE">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136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14:paraId="15454BDF">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Less employee motivation in the workplace due to inefficient motivation strategies. </w:t>
                </w:r>
              </w:p>
            </w:tc>
            <w:tc>
              <w:tcPr>
                <w:tcW w:w="160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14:paraId="1E7C662E">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By developing different employee engagement practices, including proper work schedules, reward strategies and ensuring work-life balance for employees. </w:t>
                </w:r>
              </w:p>
            </w:tc>
            <w:tc>
              <w:tcPr>
                <w:tcW w:w="187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14:paraId="2568C715">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Through the implementation of employee motivation strategies, the company will get positive results in employee retention. Additionally, through motivated workforce, the company will be able to enhance its productivity levels. </w:t>
                </w:r>
              </w:p>
            </w:tc>
            <w:tc>
              <w:tcPr>
                <w:tcW w:w="129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14:paraId="3FAA3856">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05-06 months </w:t>
                </w:r>
              </w:p>
            </w:tc>
            <w:tc>
              <w:tcPr>
                <w:tcW w:w="150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14:paraId="00400E91">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11-11-2025</w:t>
                </w:r>
              </w:p>
            </w:tc>
            <w:tc>
              <w:tcPr>
                <w:tcW w:w="138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14:paraId="347B838E">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£21,000</w:t>
                </w:r>
              </w:p>
            </w:tc>
          </w:tr>
        </w:tbl>
      </w:sdtContent>
    </w:sdt>
    <w:p w14:paraId="2545D9C2"/>
    <w:p w14:paraId="03BFADEA">
      <w:pPr>
        <w:spacing w:line="36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Table: Action Plan</w:t>
      </w:r>
    </w:p>
    <w:p w14:paraId="6B7F9F18">
      <w:pPr>
        <w:spacing w:line="36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Created by Author)</w:t>
      </w:r>
    </w:p>
    <w:p w14:paraId="1A073CF1">
      <w:pPr>
        <w:pStyle w:val="2"/>
      </w:pPr>
      <w:bookmarkStart w:id="15" w:name="_Toc199873204"/>
      <w:r>
        <w:t>Conclusions</w:t>
      </w:r>
      <w:bookmarkEnd w:id="15"/>
      <w:r>
        <w:t xml:space="preserve">  </w:t>
      </w:r>
    </w:p>
    <w:p w14:paraId="22B9A3EC">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the course of doing this consultancy report, there is valuable insight gained about the human resource and operational challenges faced by Oakview Hotel. There is evidence-based analysis conducted about the specific issue faced by Oakview Hotel and in the course, the key issue identified is labour shortage due to the pandemic and Brexit as a result of which, plenty of other issues have also been faced by the hotel including lack of employee engagement, staff turnover and customer experience. There is also the identification of high turnover rates of the workforce in the hotel due to which the functioning of the important departments such as food and beverage, and housekeeping is hindered. There is also service inconsistency resulting in high resentment and dissatisfaction among the customers. Thus, this data and analysis accords with the key trends prevalent in the industry and are also indicative of the internal issues in the operations and HR departments of the firm such as limitation in career growth opportunities, low morale and satisfaction among the workforce and unclear communication between leadership and the different departments.  </w:t>
      </w:r>
    </w:p>
    <w:p w14:paraId="46D25B51">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Additionally, the weakness of the hotel in terms of employee development strategies and onboarding procedures has also been highlighted where plenty of new joiners in the hotel have reported a lack of support and assistance from the senior hotels due to which their motivation and productivity are hampered. There is also a dearth of structured mentorship and training programmes due to which, the level of confidence among the workforce is low, resulting in their dissatisfaction. The internal stakeholders of the hotel have also provided feedback which addresses the need for implementing a more proactive approach which would turn out to be beneficial for enhancement of employee engagement through regular feedback mechanisms, career growth opportunities and recognition schemes. These aspects are considered to be immensely beneficial for boosting retention and also maintaining high service standards which would contribute to the competitive advantage of the hotel in a highly competitive hospitality sector of the UK.</w:t>
      </w:r>
    </w:p>
    <w:p w14:paraId="0F061050">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current consultancy report also provides a range of recommendations which would enhance strategic goal accomplishment and the operational structure of the firm. For instance, there could be partnerships formed between the hotel and other employee development institutions which would help in the development of the talent pool of the workforce. This would also help in addressing the major issue of staff shortage in the hotel along with creating a supportive and community-oriented workplace environment. Thus, the recommendations provided aim to reduce the turnover rate among the employees and also provide them with the necessary skills and knowledge in order to work in an environment where there is a shortage of labourers. This would help in enhancing customer perception and reinforcement. Moreover, the recommendations provided for the hotel for eradicating the issue of labour shortage amidst Brexit and COVID-19 include implementation of talent acquisition policies along with provision of work-life balance and rewards and benefits to the workforce. Additionally, employer branding programs could also be implemented and there should be targeting of candidates from foreign countries who do not belong to EU countries as that would help in mitigating the issue of labour shortage resulting from Brexit. In the course of providing the recommendations and action plan, the factors of feasibility, cost and time have also been considered for effective change implementation without disrupting the existing operations. The implementation approach proposed in the report would be applied in a gradual way to ensure employee well-being and gain competitive advantage. </w:t>
      </w:r>
    </w:p>
    <w:p w14:paraId="76AC9763">
      <w:pPr>
        <w:rPr>
          <w:rFonts w:ascii="Times New Roman" w:hAnsi="Times New Roman" w:eastAsia="Times New Roman" w:cs="Times New Roman"/>
          <w:sz w:val="24"/>
          <w:szCs w:val="24"/>
        </w:rPr>
      </w:pPr>
    </w:p>
    <w:p w14:paraId="5638B85C">
      <w:pPr>
        <w:spacing w:line="360" w:lineRule="auto"/>
        <w:rPr>
          <w:rFonts w:ascii="Times New Roman" w:hAnsi="Times New Roman" w:eastAsia="Times New Roman" w:cs="Times New Roman"/>
          <w:sz w:val="24"/>
          <w:szCs w:val="24"/>
        </w:rPr>
      </w:pPr>
    </w:p>
    <w:p w14:paraId="590583F4">
      <w:pPr>
        <w:rPr>
          <w:rFonts w:ascii="Times New Roman" w:hAnsi="Times New Roman" w:eastAsia="Times New Roman" w:cs="Times New Roman"/>
          <w:b/>
          <w:sz w:val="24"/>
          <w:szCs w:val="24"/>
        </w:rPr>
      </w:pPr>
      <w:r>
        <w:br w:type="page"/>
      </w:r>
    </w:p>
    <w:p w14:paraId="43A3FC03">
      <w:pPr>
        <w:pStyle w:val="2"/>
      </w:pPr>
      <w:bookmarkStart w:id="16" w:name="_Toc199873205"/>
      <w:r>
        <w:t>Reference List</w:t>
      </w:r>
      <w:bookmarkEnd w:id="16"/>
      <w:r>
        <w:t xml:space="preserve"> </w:t>
      </w:r>
    </w:p>
    <w:p w14:paraId="768D57BF">
      <w:pPr>
        <w:widowControl w:val="0"/>
        <w:spacing w:line="360" w:lineRule="auto"/>
        <w:ind w:right="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Abrahams, T.O., Farayola, O.A., Kaggwa, S., Uwaoma, P.U., Hassan, A.O. and Dawodu, S.O., 2024. Cybersecurity awareness and education programs: a review of employee engagement and accountability. </w:t>
      </w:r>
      <w:r>
        <w:rPr>
          <w:rFonts w:ascii="Times New Roman" w:hAnsi="Times New Roman" w:eastAsia="Times New Roman" w:cs="Times New Roman"/>
          <w:i/>
          <w:sz w:val="24"/>
          <w:szCs w:val="24"/>
        </w:rPr>
        <w:t>Computer Science &amp; IT Research Journal</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5</w:t>
      </w:r>
      <w:r>
        <w:rPr>
          <w:rFonts w:ascii="Times New Roman" w:hAnsi="Times New Roman" w:eastAsia="Times New Roman" w:cs="Times New Roman"/>
          <w:sz w:val="24"/>
          <w:szCs w:val="24"/>
        </w:rPr>
        <w:t>(1), pp.100-119.</w:t>
      </w:r>
    </w:p>
    <w:p w14:paraId="276C357F">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Agoda., 2025. Oak View, Keswick, United Kingdom. [online] Available at: https://www.agoda.com/en-in/oak-view/hotel/keswick-gb.html [Accessed on: 02.06.25]</w:t>
      </w:r>
    </w:p>
    <w:p w14:paraId="7D4D0D65">
      <w:pPr>
        <w:widowControl w:val="0"/>
        <w:spacing w:line="360" w:lineRule="auto"/>
        <w:ind w:right="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Ahamad, F., Saini, G.K. and Jawahar, I.M., 2022. Interactive influence of work–life balance benefits, employee recommendation, and job attributes on employer attractiveness and job pursuit intentions: two experiments. </w:t>
      </w:r>
      <w:r>
        <w:rPr>
          <w:rFonts w:ascii="Times New Roman" w:hAnsi="Times New Roman" w:eastAsia="Times New Roman" w:cs="Times New Roman"/>
          <w:i/>
          <w:sz w:val="24"/>
          <w:szCs w:val="24"/>
        </w:rPr>
        <w:t>Asian Business &amp; Management</w:t>
      </w:r>
      <w:r>
        <w:rPr>
          <w:rFonts w:ascii="Times New Roman" w:hAnsi="Times New Roman" w:eastAsia="Times New Roman" w:cs="Times New Roman"/>
          <w:sz w:val="24"/>
          <w:szCs w:val="24"/>
        </w:rPr>
        <w:t>, p.1.</w:t>
      </w:r>
    </w:p>
    <w:p w14:paraId="1007C7BE">
      <w:pPr>
        <w:widowControl w:val="0"/>
        <w:spacing w:line="360" w:lineRule="auto"/>
        <w:ind w:right="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Amina, A., Kassem, A. and Sleem, W., 2022. Applying Lewin's change management theory to improve patient's discharge plan. </w:t>
      </w:r>
      <w:r>
        <w:rPr>
          <w:rFonts w:ascii="Times New Roman" w:hAnsi="Times New Roman" w:eastAsia="Times New Roman" w:cs="Times New Roman"/>
          <w:i/>
          <w:sz w:val="24"/>
          <w:szCs w:val="24"/>
        </w:rPr>
        <w:t>Mansoura Nursing Journal</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9</w:t>
      </w:r>
      <w:r>
        <w:rPr>
          <w:rFonts w:ascii="Times New Roman" w:hAnsi="Times New Roman" w:eastAsia="Times New Roman" w:cs="Times New Roman"/>
          <w:sz w:val="24"/>
          <w:szCs w:val="24"/>
        </w:rPr>
        <w:t>(2), pp.335-348.</w:t>
      </w:r>
    </w:p>
    <w:p w14:paraId="158674CE">
      <w:pPr>
        <w:widowControl w:val="0"/>
        <w:spacing w:line="360" w:lineRule="auto"/>
        <w:ind w:right="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Burnes, B. (2014) 4th Edition, Managing Change, Great  Britain, Prentice Hall.</w:t>
      </w:r>
    </w:p>
    <w:p w14:paraId="293AFC50">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Buttrick, R. (2009) The Project Workout, London: Prentice  Hall</w:t>
      </w:r>
    </w:p>
    <w:p w14:paraId="56EE49CD">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Cipd.org., 2021. Addressing skills and labour shortages post-Brexit. [online] Available at: https://www.cipd.org/uk/knowledge/reports/skills-labour-shortages/ [Accessed on: 03.06.25] </w:t>
      </w:r>
    </w:p>
    <w:p w14:paraId="0E9214EB">
      <w:pPr>
        <w:widowControl w:val="0"/>
        <w:spacing w:line="360" w:lineRule="auto"/>
        <w:ind w:right="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Errida, A. and Lotfi, B., 2021. The determinants of organizational change management success: Literature review and case study. </w:t>
      </w:r>
      <w:r>
        <w:rPr>
          <w:rFonts w:ascii="Times New Roman" w:hAnsi="Times New Roman" w:eastAsia="Times New Roman" w:cs="Times New Roman"/>
          <w:i/>
          <w:sz w:val="24"/>
          <w:szCs w:val="24"/>
        </w:rPr>
        <w:t>International Journal of Engineering Business Management</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13</w:t>
      </w:r>
      <w:r>
        <w:rPr>
          <w:rFonts w:ascii="Times New Roman" w:hAnsi="Times New Roman" w:eastAsia="Times New Roman" w:cs="Times New Roman"/>
          <w:sz w:val="24"/>
          <w:szCs w:val="24"/>
        </w:rPr>
        <w:t>, p.18479790211016273.</w:t>
      </w:r>
    </w:p>
    <w:p w14:paraId="15392DE0">
      <w:pPr>
        <w:widowControl w:val="0"/>
        <w:spacing w:line="360" w:lineRule="auto"/>
        <w:ind w:right="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Garcia, A.G., 2025. The impact of sustainable practices on employee well-being and organizational success. </w:t>
      </w:r>
      <w:r>
        <w:rPr>
          <w:rFonts w:ascii="Times New Roman" w:hAnsi="Times New Roman" w:eastAsia="Times New Roman" w:cs="Times New Roman"/>
          <w:i/>
          <w:sz w:val="24"/>
          <w:szCs w:val="24"/>
        </w:rPr>
        <w:t>Brazilian Journal of Development</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11</w:t>
      </w:r>
      <w:r>
        <w:rPr>
          <w:rFonts w:ascii="Times New Roman" w:hAnsi="Times New Roman" w:eastAsia="Times New Roman" w:cs="Times New Roman"/>
          <w:sz w:val="24"/>
          <w:szCs w:val="24"/>
        </w:rPr>
        <w:t>(3), pp.e78599-e78599.</w:t>
      </w:r>
    </w:p>
    <w:p w14:paraId="4DA1AE2F">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Gov.uk (2024) https://www.gov.uk/guidance/india-young-professionals-scheme-visa-ballot-system</w:t>
      </w:r>
    </w:p>
    <w:p w14:paraId="4EA429AC">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Gov.uk., 2025. National Minimum Wage and National Living Wage rates. [online] Available at: https://www.gov.uk/national-minimum-wage-rates [Accessed on: 02.06.25]</w:t>
      </w:r>
    </w:p>
    <w:p w14:paraId="0ADF9B35">
      <w:pPr>
        <w:widowControl w:val="0"/>
        <w:spacing w:line="360" w:lineRule="auto"/>
        <w:ind w:right="7"/>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de-DE"/>
        </w:rPr>
        <w:t xml:space="preserve">Herr, R.M., Brokmeier, L.L., Fischer, J.E. and Mauss, D., 2022. </w:t>
      </w:r>
      <w:r>
        <w:rPr>
          <w:rFonts w:ascii="Times New Roman" w:hAnsi="Times New Roman" w:eastAsia="Times New Roman" w:cs="Times New Roman"/>
          <w:sz w:val="24"/>
          <w:szCs w:val="24"/>
        </w:rPr>
        <w:t xml:space="preserve">The benefits of an employee-friendly company on job attitudes and health of employees: Findings from matched employer–employee data. </w:t>
      </w:r>
      <w:r>
        <w:rPr>
          <w:rFonts w:ascii="Times New Roman" w:hAnsi="Times New Roman" w:eastAsia="Times New Roman" w:cs="Times New Roman"/>
          <w:i/>
          <w:sz w:val="24"/>
          <w:szCs w:val="24"/>
        </w:rPr>
        <w:t>International Journal of Environmental Research and Public Health</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19</w:t>
      </w:r>
      <w:r>
        <w:rPr>
          <w:rFonts w:ascii="Times New Roman" w:hAnsi="Times New Roman" w:eastAsia="Times New Roman" w:cs="Times New Roman"/>
          <w:sz w:val="24"/>
          <w:szCs w:val="24"/>
        </w:rPr>
        <w:t>(15), p.9046.</w:t>
      </w:r>
    </w:p>
    <w:p w14:paraId="3F51ED10">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lang w:val="de-DE"/>
        </w:rPr>
        <w:t xml:space="preserve">Innerhofer, J., Nasta, L. and Zehrer, A., 2024. </w:t>
      </w:r>
      <w:r>
        <w:rPr>
          <w:rFonts w:ascii="Times New Roman" w:hAnsi="Times New Roman" w:eastAsia="Times New Roman" w:cs="Times New Roman"/>
          <w:color w:val="000000"/>
          <w:sz w:val="24"/>
          <w:szCs w:val="24"/>
        </w:rPr>
        <w:t xml:space="preserve">Antecedents of labour shortage in the rural hospitality industry: A comparative study of employees and employers. </w:t>
      </w:r>
      <w:r>
        <w:rPr>
          <w:rFonts w:ascii="Times New Roman" w:hAnsi="Times New Roman" w:eastAsia="Times New Roman" w:cs="Times New Roman"/>
          <w:i/>
          <w:color w:val="000000"/>
          <w:sz w:val="24"/>
          <w:szCs w:val="24"/>
        </w:rPr>
        <w:t>Journal of Hospitality and Tourism Insights</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i/>
          <w:color w:val="000000"/>
          <w:sz w:val="24"/>
          <w:szCs w:val="24"/>
        </w:rPr>
        <w:t>7</w:t>
      </w:r>
      <w:r>
        <w:rPr>
          <w:rFonts w:ascii="Times New Roman" w:hAnsi="Times New Roman" w:eastAsia="Times New Roman" w:cs="Times New Roman"/>
          <w:color w:val="000000"/>
          <w:sz w:val="24"/>
          <w:szCs w:val="24"/>
        </w:rPr>
        <w:t>(1), pp.28-55.</w:t>
      </w:r>
    </w:p>
    <w:p w14:paraId="45004A1E">
      <w:pPr>
        <w:widowControl w:val="0"/>
        <w:spacing w:line="360" w:lineRule="auto"/>
        <w:ind w:right="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Kipping, and Clark, T. (2012). </w:t>
      </w:r>
      <w:r>
        <w:rPr>
          <w:rFonts w:ascii="Times New Roman" w:hAnsi="Times New Roman" w:eastAsia="Times New Roman" w:cs="Times New Roman"/>
          <w:i/>
          <w:sz w:val="24"/>
          <w:szCs w:val="24"/>
        </w:rPr>
        <w:t>The Oxford handbook of  management consulting</w:t>
      </w:r>
      <w:r>
        <w:rPr>
          <w:rFonts w:ascii="Times New Roman" w:hAnsi="Times New Roman" w:eastAsia="Times New Roman" w:cs="Times New Roman"/>
          <w:sz w:val="24"/>
          <w:szCs w:val="24"/>
        </w:rPr>
        <w:t xml:space="preserve">. Oxford University Press </w:t>
      </w:r>
    </w:p>
    <w:p w14:paraId="3728296E">
      <w:pPr>
        <w:pStyle w:val="25"/>
      </w:pPr>
      <w:r>
        <w:t>Molina-Castillo, F.J., Meroño-Cerdán, A.L., Lopez-Nicolas, C. and Fernandez-Espinar, L., 2023. Innovation and technology in hospitality sector: Outcome and performance. </w:t>
      </w:r>
      <w:r>
        <w:rPr>
          <w:i/>
          <w:iCs/>
        </w:rPr>
        <w:t>Businesses</w:t>
      </w:r>
      <w:r>
        <w:t>, </w:t>
      </w:r>
      <w:r>
        <w:rPr>
          <w:i/>
          <w:iCs/>
        </w:rPr>
        <w:t>3</w:t>
      </w:r>
      <w:r>
        <w:t>(1), pp.198-219.</w:t>
      </w:r>
    </w:p>
    <w:p w14:paraId="1ACA3435">
      <w:pPr>
        <w:widowControl w:val="0"/>
        <w:spacing w:line="360" w:lineRule="auto"/>
        <w:ind w:right="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Nanjundeswaraswamy, T.S., Bharath, S. and Nagesh, P., 2025. Employer branding: design and development of a scale. </w:t>
      </w:r>
      <w:r>
        <w:rPr>
          <w:rFonts w:ascii="Times New Roman" w:hAnsi="Times New Roman" w:eastAsia="Times New Roman" w:cs="Times New Roman"/>
          <w:i/>
          <w:sz w:val="24"/>
          <w:szCs w:val="24"/>
        </w:rPr>
        <w:t>Journal of economic and administrative sciences</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41</w:t>
      </w:r>
      <w:r>
        <w:rPr>
          <w:rFonts w:ascii="Times New Roman" w:hAnsi="Times New Roman" w:eastAsia="Times New Roman" w:cs="Times New Roman"/>
          <w:sz w:val="24"/>
          <w:szCs w:val="24"/>
        </w:rPr>
        <w:t>(1), pp.88-113.</w:t>
      </w:r>
    </w:p>
    <w:p w14:paraId="5A41A786">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Noordzife, G. (2014) Project Management of Hotel  Opening Processes: Exploring Better Ways to Manage  New Hotel Openings, CreateSpace</w:t>
      </w:r>
    </w:p>
    <w:p w14:paraId="23C4AA74">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Oakviewgroup, 2024, ‘Sustainability’, available at: </w:t>
      </w:r>
      <w:r>
        <w:rPr>
          <w:rFonts w:ascii="Times New Roman" w:hAnsi="Times New Roman" w:eastAsia="Times New Roman" w:cs="Times New Roman"/>
          <w:color w:val="1155CC"/>
          <w:sz w:val="24"/>
          <w:szCs w:val="24"/>
          <w:u w:val="single"/>
        </w:rPr>
        <w:t>https://www.oakviewgroup.com/sustainability/</w:t>
      </w:r>
      <w:r>
        <w:rPr>
          <w:rFonts w:ascii="Times New Roman" w:hAnsi="Times New Roman" w:eastAsia="Times New Roman" w:cs="Times New Roman"/>
          <w:color w:val="000000"/>
          <w:sz w:val="24"/>
          <w:szCs w:val="24"/>
        </w:rPr>
        <w:t xml:space="preserve"> accessed on: 02-06-2025</w:t>
      </w:r>
    </w:p>
    <w:p w14:paraId="4ACBF7C3">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Office for National Statistics., 2021. Hospitality businesses are most likely to be struggling to fill vacancies. [online] Available at: https://www.ons.gov.uk/employmentandlabourmarket/peopleinwork/employmentandemployeetypes/articles/hospitalitybusinessesaremostlikelytobestrugglingtofillvacancies/2021-09-16 [Accessed on: 02.06.25] </w:t>
      </w:r>
    </w:p>
    <w:p w14:paraId="0DECC298">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Ons (2022) Office for National Statistics  https://www.ons.gov.uk</w:t>
      </w:r>
    </w:p>
    <w:p w14:paraId="4EF1F106">
      <w:pPr>
        <w:widowControl w:val="0"/>
        <w:spacing w:line="360" w:lineRule="auto"/>
        <w:ind w:right="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Opada, F.M.M., Ibrahim, M.B.H., Irawan, A., Akbar, M.A. and Rasyid, A., 2024. Talent Acquisition Strategies: A Comprehensive Examination of Recruitment Policies for Organizational Success. </w:t>
      </w:r>
      <w:r>
        <w:rPr>
          <w:rFonts w:ascii="Times New Roman" w:hAnsi="Times New Roman" w:eastAsia="Times New Roman" w:cs="Times New Roman"/>
          <w:i/>
          <w:sz w:val="24"/>
          <w:szCs w:val="24"/>
        </w:rPr>
        <w:t>Advances in Human Resource Management Research</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2</w:t>
      </w:r>
      <w:r>
        <w:rPr>
          <w:rFonts w:ascii="Times New Roman" w:hAnsi="Times New Roman" w:eastAsia="Times New Roman" w:cs="Times New Roman"/>
          <w:sz w:val="24"/>
          <w:szCs w:val="24"/>
        </w:rPr>
        <w:t>(2), pp.63-77.</w:t>
      </w:r>
    </w:p>
    <w:p w14:paraId="32B848AD">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Papadopoulos, O., Lopez</w:t>
      </w:r>
      <w:r>
        <w:rPr>
          <w:rFonts w:ascii="Cambria Math" w:hAnsi="Cambria Math" w:eastAsia="Cambria Math" w:cs="Cambria Math"/>
          <w:color w:val="000000"/>
          <w:sz w:val="24"/>
          <w:szCs w:val="24"/>
        </w:rPr>
        <w:t>‐</w:t>
      </w:r>
      <w:r>
        <w:rPr>
          <w:rFonts w:ascii="Times New Roman" w:hAnsi="Times New Roman" w:eastAsia="Times New Roman" w:cs="Times New Roman"/>
          <w:color w:val="000000"/>
          <w:sz w:val="24"/>
          <w:szCs w:val="24"/>
        </w:rPr>
        <w:t xml:space="preserve">Andreu, M. and Jamalian, M., 2021. Violation and lack of awareness of employment rights in the United Kingdom's hotel industry: Isolation, fragmentation and barriers to labour enforcement. </w:t>
      </w:r>
      <w:r>
        <w:rPr>
          <w:rFonts w:ascii="Times New Roman" w:hAnsi="Times New Roman" w:eastAsia="Times New Roman" w:cs="Times New Roman"/>
          <w:i/>
          <w:color w:val="000000"/>
          <w:sz w:val="24"/>
          <w:szCs w:val="24"/>
        </w:rPr>
        <w:t>Industrial Relations Journal</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i/>
          <w:color w:val="000000"/>
          <w:sz w:val="24"/>
          <w:szCs w:val="24"/>
        </w:rPr>
        <w:t>52</w:t>
      </w:r>
      <w:r>
        <w:rPr>
          <w:rFonts w:ascii="Times New Roman" w:hAnsi="Times New Roman" w:eastAsia="Times New Roman" w:cs="Times New Roman"/>
          <w:color w:val="000000"/>
          <w:sz w:val="24"/>
          <w:szCs w:val="24"/>
        </w:rPr>
        <w:t>(4), pp.315-330.</w:t>
      </w:r>
    </w:p>
    <w:p w14:paraId="62C8D1FD">
      <w:pPr>
        <w:widowControl w:val="0"/>
        <w:spacing w:line="360" w:lineRule="auto"/>
        <w:ind w:right="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Portes, J. and Springford, J., 2023. The impact of the post-Brexit migration system on the UK labour market. </w:t>
      </w:r>
      <w:r>
        <w:rPr>
          <w:rFonts w:ascii="Times New Roman" w:hAnsi="Times New Roman" w:eastAsia="Times New Roman" w:cs="Times New Roman"/>
          <w:i/>
          <w:sz w:val="24"/>
          <w:szCs w:val="24"/>
        </w:rPr>
        <w:t>Contemporary Social Science</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18</w:t>
      </w:r>
      <w:r>
        <w:rPr>
          <w:rFonts w:ascii="Times New Roman" w:hAnsi="Times New Roman" w:eastAsia="Times New Roman" w:cs="Times New Roman"/>
          <w:sz w:val="24"/>
          <w:szCs w:val="24"/>
        </w:rPr>
        <w:t>(2), pp.132-149.</w:t>
      </w:r>
    </w:p>
    <w:p w14:paraId="4D2CB924">
      <w:pPr>
        <w:widowControl w:val="0"/>
        <w:spacing w:line="360" w:lineRule="auto"/>
        <w:ind w:right="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Reis, I., Sousa, M.J. and Dionísio, A., 2021. Employer branding as a talent management tool: A systematic literature revision. </w:t>
      </w:r>
      <w:r>
        <w:rPr>
          <w:rFonts w:ascii="Times New Roman" w:hAnsi="Times New Roman" w:eastAsia="Times New Roman" w:cs="Times New Roman"/>
          <w:i/>
          <w:sz w:val="24"/>
          <w:szCs w:val="24"/>
        </w:rPr>
        <w:t>Sustainability</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13</w:t>
      </w:r>
      <w:r>
        <w:rPr>
          <w:rFonts w:ascii="Times New Roman" w:hAnsi="Times New Roman" w:eastAsia="Times New Roman" w:cs="Times New Roman"/>
          <w:sz w:val="24"/>
          <w:szCs w:val="24"/>
        </w:rPr>
        <w:t>(19), p.10698.</w:t>
      </w:r>
    </w:p>
    <w:p w14:paraId="47C778F0">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Rydzik, A. and Kissoon, C.S., 2022. The shaping of the neoliberal worker: Socialisation of young adults through flexible hospitality work. </w:t>
      </w:r>
      <w:r>
        <w:rPr>
          <w:rFonts w:ascii="Times New Roman" w:hAnsi="Times New Roman" w:eastAsia="Times New Roman" w:cs="Times New Roman"/>
          <w:i/>
          <w:color w:val="000000"/>
          <w:sz w:val="24"/>
          <w:szCs w:val="24"/>
        </w:rPr>
        <w:t>Annals of Tourism Research</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i/>
          <w:color w:val="000000"/>
          <w:sz w:val="24"/>
          <w:szCs w:val="24"/>
        </w:rPr>
        <w:t>97</w:t>
      </w:r>
      <w:r>
        <w:rPr>
          <w:rFonts w:ascii="Times New Roman" w:hAnsi="Times New Roman" w:eastAsia="Times New Roman" w:cs="Times New Roman"/>
          <w:color w:val="000000"/>
          <w:sz w:val="24"/>
          <w:szCs w:val="24"/>
        </w:rPr>
        <w:t>, p.103470.</w:t>
      </w:r>
    </w:p>
    <w:p w14:paraId="4A776761">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UK hospitality (2022), </w:t>
      </w:r>
      <w:r>
        <w:fldChar w:fldCharType="begin"/>
      </w:r>
      <w:r>
        <w:instrText xml:space="preserve"> HYPERLINK "https://www.ukhospitality.org.uk" \h </w:instrText>
      </w:r>
      <w:r>
        <w:fldChar w:fldCharType="separate"/>
      </w:r>
      <w:r>
        <w:rPr>
          <w:rFonts w:ascii="Times New Roman" w:hAnsi="Times New Roman" w:eastAsia="Times New Roman" w:cs="Times New Roman"/>
          <w:color w:val="1155CC"/>
          <w:sz w:val="24"/>
          <w:szCs w:val="24"/>
          <w:u w:val="single"/>
        </w:rPr>
        <w:t>https://www.ukhospitality.org.uk</w:t>
      </w:r>
      <w:r>
        <w:rPr>
          <w:rFonts w:ascii="Times New Roman" w:hAnsi="Times New Roman" w:eastAsia="Times New Roman" w:cs="Times New Roman"/>
          <w:color w:val="1155CC"/>
          <w:sz w:val="24"/>
          <w:szCs w:val="24"/>
          <w:u w:val="single"/>
        </w:rPr>
        <w:fldChar w:fldCharType="end"/>
      </w:r>
    </w:p>
    <w:p w14:paraId="61C5C60F">
      <w:pPr>
        <w:widowControl w:val="0"/>
        <w:spacing w:line="360" w:lineRule="auto"/>
        <w:ind w:right="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Whittington, R. et al (2020) Exploring Strategy. Harlow:  Pearson Education Limited. </w:t>
      </w:r>
    </w:p>
    <w:p w14:paraId="312C0F83">
      <w:pPr>
        <w:widowControl w:val="0"/>
        <w:spacing w:line="360" w:lineRule="auto"/>
        <w:ind w:right="7"/>
        <w:jc w:val="both"/>
        <w:rPr>
          <w:rFonts w:ascii="Times New Roman" w:hAnsi="Times New Roman" w:eastAsia="Times New Roman" w:cs="Times New Roman"/>
          <w:sz w:val="24"/>
          <w:szCs w:val="24"/>
        </w:rPr>
      </w:pPr>
    </w:p>
    <w:p w14:paraId="2F950CA1">
      <w:pPr>
        <w:spacing w:line="360" w:lineRule="auto"/>
        <w:jc w:val="both"/>
        <w:rPr>
          <w:rFonts w:ascii="Times New Roman" w:hAnsi="Times New Roman" w:eastAsia="Times New Roman" w:cs="Times New Roman"/>
        </w:rPr>
      </w:pPr>
    </w:p>
    <w:sectPr>
      <w:headerReference r:id="rId7" w:type="first"/>
      <w:footerReference r:id="rId10" w:type="first"/>
      <w:headerReference r:id="rId5" w:type="default"/>
      <w:footerReference r:id="rId8" w:type="default"/>
      <w:headerReference r:id="rId6" w:type="even"/>
      <w:footerReference r:id="rId9" w:type="even"/>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DB6D5F22-195B-49C5-B25B-F6D037655117}"/>
  </w:font>
  <w:font w:name="Arial">
    <w:panose1 w:val="020B0604020202020204"/>
    <w:charset w:val="86"/>
    <w:family w:val="swiss"/>
    <w:pitch w:val="default"/>
    <w:sig w:usb0="E0002EFF" w:usb1="C000785B" w:usb2="00000009" w:usb3="00000000" w:csb0="400001FF" w:csb1="FFFF0000"/>
    <w:embedRegular r:id="rId2" w:fontKey="{7D4FD4B6-D2EB-46C0-9382-F37C90DC5826}"/>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F9A97792-2B39-434F-B938-9231CFACD381}"/>
  </w:font>
  <w:font w:name="Wingdings">
    <w:panose1 w:val="05000000000000000000"/>
    <w:charset w:val="02"/>
    <w:family w:val="auto"/>
    <w:pitch w:val="default"/>
    <w:sig w:usb0="00000000" w:usb1="00000000" w:usb2="00000000" w:usb3="00000000" w:csb0="80000000" w:csb1="00000000"/>
    <w:embedRegular r:id="rId4" w:fontKey="{6280EC44-4815-4784-9856-064C6F224692}"/>
  </w:font>
  <w:font w:name="Calibri">
    <w:panose1 w:val="020F0502020204030204"/>
    <w:charset w:val="00"/>
    <w:family w:val="swiss"/>
    <w:pitch w:val="default"/>
    <w:sig w:usb0="E4002EFF" w:usb1="C200247B" w:usb2="00000009" w:usb3="00000000" w:csb0="200001FF" w:csb1="00000000"/>
    <w:embedRegular r:id="rId5" w:fontKey="{99C80179-119C-41F9-A4E0-B73F707E33CF}"/>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embedRegular r:id="rId6" w:fontKey="{A4F6F61E-436D-44AD-AC02-8AC07070C474}"/>
  </w:font>
  <w:font w:name="Noto Sans Symbols">
    <w:altName w:val="Segoe Print"/>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embedRegular r:id="rId7" w:fontKey="{7766B584-A389-4F38-84F6-6CD25857F8EB}"/>
  </w:font>
  <w:font w:name="Segoe Print">
    <w:panose1 w:val="02000600000000000000"/>
    <w:charset w:val="00"/>
    <w:family w:val="auto"/>
    <w:pitch w:val="default"/>
    <w:sig w:usb0="0000028F" w:usb1="00000000" w:usb2="00000000" w:usb3="00000000" w:csb0="2000009F" w:csb1="47010000"/>
    <w:embedRegular r:id="rId8" w:fontKey="{1585C484-5B30-4D16-8AA4-3C98765893C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D0C69">
    <w:pPr>
      <w:pBdr>
        <w:top w:val="none" w:color="auto" w:sz="0" w:space="0"/>
        <w:left w:val="none" w:color="auto" w:sz="0" w:space="0"/>
        <w:bottom w:val="none" w:color="auto" w:sz="0" w:space="0"/>
        <w:right w:val="none" w:color="auto" w:sz="0" w:space="0"/>
        <w:between w:val="none" w:color="auto" w:sz="0" w:space="0"/>
      </w:pBdr>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1</w:t>
    </w:r>
    <w:r>
      <w:rPr>
        <w:color w:val="00000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2A1FE">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62883">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04FB6">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94E51">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0F4B1">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FD64DE"/>
    <w:multiLevelType w:val="multilevel"/>
    <w:tmpl w:val="39FD64DE"/>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3DD83F87"/>
    <w:multiLevelType w:val="multilevel"/>
    <w:tmpl w:val="3DD83F87"/>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2">
    <w:nsid w:val="492B4528"/>
    <w:multiLevelType w:val="multilevel"/>
    <w:tmpl w:val="492B452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4D99225E"/>
    <w:multiLevelType w:val="multilevel"/>
    <w:tmpl w:val="4D99225E"/>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534D6865"/>
    <w:multiLevelType w:val="multilevel"/>
    <w:tmpl w:val="534D6865"/>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5">
    <w:nsid w:val="57F757DF"/>
    <w:multiLevelType w:val="multilevel"/>
    <w:tmpl w:val="57F757DF"/>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6">
    <w:nsid w:val="58481175"/>
    <w:multiLevelType w:val="multilevel"/>
    <w:tmpl w:val="58481175"/>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7">
    <w:nsid w:val="6E9B7139"/>
    <w:multiLevelType w:val="multilevel"/>
    <w:tmpl w:val="6E9B7139"/>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6"/>
  </w:num>
  <w:num w:numId="2">
    <w:abstractNumId w:val="4"/>
  </w:num>
  <w:num w:numId="3">
    <w:abstractNumId w:val="5"/>
  </w:num>
  <w:num w:numId="4">
    <w:abstractNumId w:val="1"/>
  </w:num>
  <w:num w:numId="5">
    <w:abstractNumId w:val="2"/>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78E"/>
    <w:rsid w:val="001B5AFF"/>
    <w:rsid w:val="00403B36"/>
    <w:rsid w:val="00C5078E"/>
    <w:rsid w:val="00D61114"/>
    <w:rsid w:val="594870B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IN" w:eastAsia="en-IN" w:bidi="ar-SA"/>
    </w:rPr>
  </w:style>
  <w:style w:type="paragraph" w:styleId="2">
    <w:name w:val="heading 1"/>
    <w:basedOn w:val="3"/>
    <w:next w:val="3"/>
    <w:qFormat/>
    <w:uiPriority w:val="9"/>
    <w:pPr>
      <w:keepNext/>
      <w:keepLines/>
      <w:spacing w:before="240" w:after="240" w:line="360" w:lineRule="auto"/>
      <w:jc w:val="both"/>
      <w:outlineLvl w:val="0"/>
    </w:pPr>
    <w:rPr>
      <w:rFonts w:ascii="Times New Roman" w:hAnsi="Times New Roman" w:eastAsia="Times New Roman" w:cs="Times New Roman"/>
      <w:b/>
      <w:sz w:val="24"/>
      <w:szCs w:val="24"/>
    </w:rPr>
  </w:style>
  <w:style w:type="paragraph" w:styleId="4">
    <w:name w:val="heading 2"/>
    <w:basedOn w:val="3"/>
    <w:next w:val="3"/>
    <w:unhideWhenUsed/>
    <w:qFormat/>
    <w:uiPriority w:val="9"/>
    <w:pPr>
      <w:keepNext/>
      <w:keepLines/>
      <w:spacing w:before="240" w:after="240" w:line="360" w:lineRule="auto"/>
      <w:jc w:val="both"/>
      <w:outlineLvl w:val="1"/>
    </w:pPr>
    <w:rPr>
      <w:rFonts w:ascii="Times New Roman" w:hAnsi="Times New Roman" w:eastAsia="Times New Roman" w:cs="Times New Roman"/>
      <w:b/>
      <w:i/>
      <w:sz w:val="24"/>
      <w:szCs w:val="24"/>
    </w:rPr>
  </w:style>
  <w:style w:type="paragraph" w:styleId="5">
    <w:name w:val="heading 3"/>
    <w:basedOn w:val="3"/>
    <w:next w:val="3"/>
    <w:semiHidden/>
    <w:unhideWhenUsed/>
    <w:qFormat/>
    <w:uiPriority w:val="9"/>
    <w:pPr>
      <w:keepNext/>
      <w:keepLines/>
      <w:spacing w:before="320" w:after="80"/>
      <w:outlineLvl w:val="2"/>
    </w:pPr>
    <w:rPr>
      <w:color w:val="434343"/>
      <w:sz w:val="28"/>
      <w:szCs w:val="28"/>
    </w:rPr>
  </w:style>
  <w:style w:type="paragraph" w:styleId="6">
    <w:name w:val="heading 4"/>
    <w:basedOn w:val="3"/>
    <w:next w:val="3"/>
    <w:semiHidden/>
    <w:unhideWhenUsed/>
    <w:qFormat/>
    <w:uiPriority w:val="9"/>
    <w:pPr>
      <w:keepNext/>
      <w:keepLines/>
      <w:spacing w:before="280" w:after="80"/>
      <w:outlineLvl w:val="3"/>
    </w:pPr>
    <w:rPr>
      <w:color w:val="666666"/>
      <w:sz w:val="24"/>
      <w:szCs w:val="24"/>
    </w:rPr>
  </w:style>
  <w:style w:type="paragraph" w:styleId="7">
    <w:name w:val="heading 5"/>
    <w:basedOn w:val="3"/>
    <w:next w:val="3"/>
    <w:semiHidden/>
    <w:unhideWhenUsed/>
    <w:qFormat/>
    <w:uiPriority w:val="9"/>
    <w:pPr>
      <w:keepNext/>
      <w:keepLines/>
      <w:spacing w:before="240" w:after="80"/>
      <w:outlineLvl w:val="4"/>
    </w:pPr>
    <w:rPr>
      <w:color w:val="666666"/>
    </w:rPr>
  </w:style>
  <w:style w:type="paragraph" w:styleId="8">
    <w:name w:val="heading 6"/>
    <w:basedOn w:val="3"/>
    <w:next w:val="3"/>
    <w:semiHidden/>
    <w:unhideWhenUsed/>
    <w:qFormat/>
    <w:uiPriority w:val="9"/>
    <w:pPr>
      <w:keepNext/>
      <w:keepLines/>
      <w:spacing w:before="240" w:after="80"/>
      <w:outlineLvl w:val="5"/>
    </w:pPr>
    <w:rPr>
      <w:i/>
      <w:color w:val="666666"/>
    </w:rPr>
  </w:style>
  <w:style w:type="character" w:default="1" w:styleId="9">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customStyle="1" w:styleId="3">
    <w:name w:val="Normal1"/>
    <w:uiPriority w:val="0"/>
    <w:pPr>
      <w:spacing w:line="276" w:lineRule="auto"/>
    </w:pPr>
    <w:rPr>
      <w:rFonts w:ascii="Arial" w:hAnsi="Arial" w:eastAsia="Arial" w:cs="Arial"/>
      <w:sz w:val="22"/>
      <w:szCs w:val="22"/>
      <w:lang w:val="en-IN" w:eastAsia="en-IN" w:bidi="ar-SA"/>
    </w:rPr>
  </w:style>
  <w:style w:type="paragraph" w:styleId="11">
    <w:name w:val="Balloon Text"/>
    <w:basedOn w:val="1"/>
    <w:link w:val="23"/>
    <w:semiHidden/>
    <w:unhideWhenUsed/>
    <w:uiPriority w:val="99"/>
    <w:pPr>
      <w:spacing w:line="240" w:lineRule="auto"/>
    </w:pPr>
    <w:rPr>
      <w:rFonts w:ascii="Tahoma" w:hAnsi="Tahoma" w:cs="Tahoma"/>
      <w:sz w:val="16"/>
      <w:szCs w:val="16"/>
    </w:rPr>
  </w:style>
  <w:style w:type="paragraph" w:styleId="12">
    <w:name w:val="footer"/>
    <w:basedOn w:val="1"/>
    <w:link w:val="20"/>
    <w:semiHidden/>
    <w:unhideWhenUsed/>
    <w:uiPriority w:val="99"/>
    <w:pPr>
      <w:tabs>
        <w:tab w:val="center" w:pos="4680"/>
        <w:tab w:val="right" w:pos="9360"/>
      </w:tabs>
      <w:spacing w:line="240" w:lineRule="auto"/>
    </w:pPr>
  </w:style>
  <w:style w:type="paragraph" w:styleId="13">
    <w:name w:val="header"/>
    <w:basedOn w:val="1"/>
    <w:link w:val="19"/>
    <w:semiHidden/>
    <w:unhideWhenUsed/>
    <w:uiPriority w:val="99"/>
    <w:pPr>
      <w:tabs>
        <w:tab w:val="center" w:pos="4680"/>
        <w:tab w:val="right" w:pos="9360"/>
      </w:tabs>
      <w:spacing w:line="240" w:lineRule="auto"/>
    </w:pPr>
  </w:style>
  <w:style w:type="character" w:styleId="14">
    <w:name w:val="Hyperlink"/>
    <w:basedOn w:val="9"/>
    <w:unhideWhenUsed/>
    <w:uiPriority w:val="99"/>
    <w:rPr>
      <w:color w:val="0000FF" w:themeColor="hyperlink"/>
      <w:u w:val="single"/>
      <w14:textFill>
        <w14:solidFill>
          <w14:schemeClr w14:val="hlink"/>
        </w14:solidFill>
      </w14:textFill>
    </w:rPr>
  </w:style>
  <w:style w:type="paragraph" w:styleId="15">
    <w:name w:val="Subtitle"/>
    <w:basedOn w:val="1"/>
    <w:next w:val="1"/>
    <w:qFormat/>
    <w:uiPriority w:val="11"/>
    <w:pPr>
      <w:keepNext/>
      <w:keepLines/>
      <w:pBdr>
        <w:top w:val="none" w:color="auto" w:sz="0" w:space="0"/>
        <w:left w:val="none" w:color="auto" w:sz="0" w:space="0"/>
        <w:bottom w:val="none" w:color="auto" w:sz="0" w:space="0"/>
        <w:right w:val="none" w:color="auto" w:sz="0" w:space="0"/>
        <w:between w:val="none" w:color="auto" w:sz="0" w:space="0"/>
      </w:pBdr>
      <w:spacing w:after="320"/>
    </w:pPr>
    <w:rPr>
      <w:color w:val="666666"/>
      <w:sz w:val="30"/>
      <w:szCs w:val="30"/>
    </w:rPr>
  </w:style>
  <w:style w:type="paragraph" w:styleId="16">
    <w:name w:val="Title"/>
    <w:basedOn w:val="3"/>
    <w:next w:val="3"/>
    <w:qFormat/>
    <w:uiPriority w:val="10"/>
    <w:pPr>
      <w:keepNext/>
      <w:keepLines/>
      <w:spacing w:after="60"/>
    </w:pPr>
    <w:rPr>
      <w:sz w:val="52"/>
      <w:szCs w:val="52"/>
    </w:rPr>
  </w:style>
  <w:style w:type="paragraph" w:styleId="17">
    <w:name w:val="toc 1"/>
    <w:basedOn w:val="1"/>
    <w:next w:val="1"/>
    <w:autoRedefine/>
    <w:unhideWhenUsed/>
    <w:uiPriority w:val="39"/>
    <w:pPr>
      <w:spacing w:after="100"/>
    </w:pPr>
  </w:style>
  <w:style w:type="paragraph" w:styleId="18">
    <w:name w:val="toc 2"/>
    <w:basedOn w:val="1"/>
    <w:next w:val="1"/>
    <w:autoRedefine/>
    <w:unhideWhenUsed/>
    <w:uiPriority w:val="39"/>
    <w:pPr>
      <w:spacing w:after="100"/>
      <w:ind w:left="220"/>
    </w:pPr>
  </w:style>
  <w:style w:type="character" w:customStyle="1" w:styleId="19">
    <w:name w:val="Header Char"/>
    <w:basedOn w:val="9"/>
    <w:link w:val="13"/>
    <w:semiHidden/>
    <w:uiPriority w:val="99"/>
  </w:style>
  <w:style w:type="character" w:customStyle="1" w:styleId="20">
    <w:name w:val="Footer Char"/>
    <w:basedOn w:val="9"/>
    <w:link w:val="12"/>
    <w:semiHidden/>
    <w:uiPriority w:val="99"/>
  </w:style>
  <w:style w:type="paragraph" w:styleId="21">
    <w:name w:val="List Paragraph"/>
    <w:basedOn w:val="1"/>
    <w:qFormat/>
    <w:uiPriority w:val="34"/>
    <w:pPr>
      <w:ind w:left="720"/>
      <w:contextualSpacing/>
    </w:pPr>
  </w:style>
  <w:style w:type="table" w:customStyle="1" w:styleId="22">
    <w:name w:val="_Style 17"/>
    <w:basedOn w:val="10"/>
    <w:uiPriority w:val="0"/>
    <w:tblPr>
      <w:tblCellMar>
        <w:top w:w="100" w:type="dxa"/>
        <w:left w:w="100" w:type="dxa"/>
        <w:bottom w:w="100" w:type="dxa"/>
        <w:right w:w="100" w:type="dxa"/>
      </w:tblCellMar>
    </w:tblPr>
  </w:style>
  <w:style w:type="character" w:customStyle="1" w:styleId="23">
    <w:name w:val="Balloon Text Char"/>
    <w:basedOn w:val="9"/>
    <w:link w:val="11"/>
    <w:semiHidden/>
    <w:uiPriority w:val="99"/>
    <w:rPr>
      <w:rFonts w:ascii="Tahoma" w:hAnsi="Tahoma" w:cs="Tahoma"/>
      <w:sz w:val="16"/>
      <w:szCs w:val="16"/>
    </w:rPr>
  </w:style>
  <w:style w:type="table" w:customStyle="1" w:styleId="24">
    <w:name w:val="Table1"/>
    <w:basedOn w:val="10"/>
    <w:uiPriority w:val="0"/>
    <w:rPr>
      <w:lang w:eastAsia="en-US"/>
    </w:rPr>
    <w:tblPr>
      <w:tblCellMar>
        <w:top w:w="100" w:type="dxa"/>
        <w:left w:w="100" w:type="dxa"/>
        <w:bottom w:w="100" w:type="dxa"/>
        <w:right w:w="100" w:type="dxa"/>
      </w:tblCellMar>
    </w:tblPr>
  </w:style>
  <w:style w:type="paragraph" w:styleId="25">
    <w:name w:val="No Spacing"/>
    <w:basedOn w:val="1"/>
    <w:qFormat/>
    <w:uiPriority w:val="1"/>
    <w:pPr>
      <w:pBdr>
        <w:top w:val="none" w:color="auto" w:sz="0" w:space="0"/>
        <w:left w:val="none" w:color="auto" w:sz="0" w:space="0"/>
        <w:bottom w:val="none" w:color="auto" w:sz="0" w:space="0"/>
        <w:right w:val="none" w:color="auto" w:sz="0" w:space="0"/>
        <w:between w:val="none" w:color="auto" w:sz="0" w:space="0"/>
      </w:pBdr>
      <w:spacing w:before="240" w:after="240" w:line="360" w:lineRule="auto"/>
      <w:jc w:val="both"/>
    </w:pPr>
    <w:rPr>
      <w:rFonts w:ascii="Times New Roman" w:hAnsi="Times New Roman" w:eastAsia="Times New Roman" w:cs="Times New Roman"/>
      <w:color w:val="000000"/>
      <w:sz w:val="24"/>
      <w:szCs w:val="24"/>
    </w:rPr>
  </w:style>
  <w:style w:type="table" w:customStyle="1" w:styleId="26">
    <w:name w:val="_Style 25"/>
    <w:basedOn w:val="10"/>
    <w:uiPriority w:val="0"/>
    <w:tblPr>
      <w:tblCellMar>
        <w:top w:w="100" w:type="dxa"/>
        <w:left w:w="100" w:type="dxa"/>
        <w:bottom w:w="100" w:type="dxa"/>
        <w:right w:w="100" w:type="dxa"/>
      </w:tblCellMar>
    </w:tblPr>
  </w:style>
  <w:style w:type="table" w:customStyle="1" w:styleId="27">
    <w:name w:val="_Style 26"/>
    <w:basedOn w:val="10"/>
    <w:uiPriority w:val="0"/>
    <w:tblPr>
      <w:tblCellMar>
        <w:top w:w="100" w:type="dxa"/>
        <w:left w:w="100" w:type="dxa"/>
        <w:bottom w:w="100" w:type="dxa"/>
        <w:right w:w="100" w:type="dxa"/>
      </w:tblCellMar>
    </w:tblPr>
  </w:style>
  <w:style w:type="table" w:customStyle="1" w:styleId="28">
    <w:name w:val="_Style 27"/>
    <w:basedOn w:val="10"/>
    <w:uiPriority w:val="0"/>
    <w:tblPr>
      <w:tblCellMar>
        <w:top w:w="100" w:type="dxa"/>
        <w:left w:w="100" w:type="dxa"/>
        <w:bottom w:w="100" w:type="dxa"/>
        <w:right w:w="100" w:type="dxa"/>
      </w:tblCellMar>
    </w:tblPr>
  </w:style>
  <w:style w:type="table" w:customStyle="1" w:styleId="29">
    <w:name w:val="_Style 28"/>
    <w:basedOn w:val="10"/>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numbering" Target="numbering.xml"/><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jpe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oFRERuNBm/dP2++d3yrFSHbJw==">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</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25</Pages>
  <Words>7173</Words>
  <Characters>40887</Characters>
  <Lines>340</Lines>
  <Paragraphs>95</Paragraphs>
  <TotalTime>2</TotalTime>
  <ScaleCrop>false</ScaleCrop>
  <LinksUpToDate>false</LinksUpToDate>
  <CharactersWithSpaces>47965</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2025-06-03T11:22:00Z</dcterms:created>
  <dc:creator>Alina</dc:creator>
  <cp:lastModifiedBy>Computer Windows</cp:lastModifiedBy>
  <dcterms:modified xsi:type="dcterms:W3CDTF">2025-06-04T10:55:44Z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2057-12.2.0.21179</vt:lpwstr>
  </property>
  <property fmtid="{D5CDD505-2E9C-101B-9397-08002B2CF9AE}" pid="3" name="ICV">
    <vt:lpwstr>4009A28BE6F24AB7B8139DE8D8720E19_12</vt:lpwstr>
  </property>
</Properties>
</file>