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1569E0F" w14:textId="77777777" w:rsidR="009E234C" w:rsidRDefault="00151E2B">
      <w:pPr>
        <w:jc w:val="center"/>
        <w:rPr>
          <w:b/>
          <w:color w:val="313131"/>
          <w:sz w:val="32"/>
          <w:szCs w:val="32"/>
          <w:highlight w:val="white"/>
        </w:rPr>
      </w:pPr>
      <w:r>
        <w:rPr>
          <w:b/>
          <w:color w:val="313131"/>
          <w:sz w:val="32"/>
          <w:szCs w:val="32"/>
          <w:highlight w:val="white"/>
        </w:rPr>
        <w:t xml:space="preserve"> </w:t>
      </w:r>
    </w:p>
    <w:p w14:paraId="72FA4B23" w14:textId="77777777" w:rsidR="009E234C" w:rsidRDefault="009E234C">
      <w:pPr>
        <w:jc w:val="center"/>
        <w:rPr>
          <w:b/>
          <w:color w:val="222222"/>
          <w:sz w:val="32"/>
          <w:szCs w:val="32"/>
          <w:highlight w:val="white"/>
        </w:rPr>
      </w:pPr>
    </w:p>
    <w:p w14:paraId="07216592" w14:textId="77777777" w:rsidR="009E234C" w:rsidRDefault="009E234C">
      <w:pPr>
        <w:jc w:val="center"/>
        <w:rPr>
          <w:b/>
          <w:color w:val="222222"/>
          <w:sz w:val="32"/>
          <w:szCs w:val="32"/>
          <w:highlight w:val="white"/>
        </w:rPr>
      </w:pPr>
    </w:p>
    <w:p w14:paraId="2742479D" w14:textId="77777777" w:rsidR="009E234C" w:rsidRDefault="009E234C">
      <w:pPr>
        <w:jc w:val="center"/>
        <w:rPr>
          <w:b/>
          <w:color w:val="222222"/>
          <w:sz w:val="32"/>
          <w:szCs w:val="32"/>
          <w:highlight w:val="white"/>
        </w:rPr>
      </w:pPr>
    </w:p>
    <w:p w14:paraId="34C22701" w14:textId="77777777" w:rsidR="009E234C" w:rsidRDefault="009E234C">
      <w:pPr>
        <w:jc w:val="center"/>
        <w:rPr>
          <w:b/>
          <w:color w:val="222222"/>
          <w:sz w:val="32"/>
          <w:szCs w:val="32"/>
          <w:highlight w:val="white"/>
        </w:rPr>
      </w:pPr>
    </w:p>
    <w:p w14:paraId="175F2A75" w14:textId="77777777" w:rsidR="009E234C" w:rsidRDefault="009E234C" w:rsidP="00754A1F">
      <w:pPr>
        <w:jc w:val="center"/>
        <w:rPr>
          <w:b/>
          <w:color w:val="222222"/>
          <w:sz w:val="32"/>
          <w:szCs w:val="32"/>
          <w:highlight w:val="white"/>
        </w:rPr>
      </w:pPr>
    </w:p>
    <w:p w14:paraId="18DA11E5" w14:textId="722EFA6C" w:rsidR="00754A1F" w:rsidRPr="00754A1F" w:rsidRDefault="00754A1F" w:rsidP="00754A1F">
      <w:pPr>
        <w:tabs>
          <w:tab w:val="left" w:pos="3105"/>
        </w:tabs>
        <w:jc w:val="center"/>
        <w:rPr>
          <w:b/>
          <w:color w:val="222222"/>
          <w:sz w:val="32"/>
          <w:szCs w:val="32"/>
        </w:rPr>
      </w:pPr>
      <w:r w:rsidRPr="00754A1F">
        <w:rPr>
          <w:b/>
          <w:color w:val="222222"/>
          <w:sz w:val="32"/>
          <w:szCs w:val="32"/>
        </w:rPr>
        <w:t>Individual Academic Report</w:t>
      </w:r>
    </w:p>
    <w:p w14:paraId="00ED4D3F" w14:textId="0F49E3B2" w:rsidR="00754A1F" w:rsidRPr="00754A1F" w:rsidRDefault="00754A1F" w:rsidP="00754A1F">
      <w:pPr>
        <w:tabs>
          <w:tab w:val="left" w:pos="3105"/>
        </w:tabs>
        <w:jc w:val="center"/>
        <w:rPr>
          <w:b/>
          <w:color w:val="222222"/>
          <w:sz w:val="32"/>
          <w:szCs w:val="32"/>
        </w:rPr>
      </w:pPr>
      <w:r w:rsidRPr="00754A1F">
        <w:rPr>
          <w:b/>
          <w:color w:val="222222"/>
          <w:sz w:val="32"/>
          <w:szCs w:val="32"/>
        </w:rPr>
        <w:t>Business Plan</w:t>
      </w:r>
    </w:p>
    <w:p w14:paraId="2AB90F34" w14:textId="77777777" w:rsidR="00754A1F" w:rsidRPr="00754A1F" w:rsidRDefault="00754A1F" w:rsidP="00754A1F">
      <w:pPr>
        <w:tabs>
          <w:tab w:val="left" w:pos="3105"/>
        </w:tabs>
        <w:jc w:val="center"/>
        <w:rPr>
          <w:b/>
          <w:color w:val="222222"/>
          <w:sz w:val="32"/>
          <w:szCs w:val="32"/>
        </w:rPr>
      </w:pPr>
      <w:r w:rsidRPr="00754A1F">
        <w:rPr>
          <w:b/>
          <w:color w:val="222222"/>
          <w:sz w:val="32"/>
          <w:szCs w:val="32"/>
        </w:rPr>
        <w:t>Bachelor of Arts in Business Management</w:t>
      </w:r>
    </w:p>
    <w:p w14:paraId="188902E7" w14:textId="77777777" w:rsidR="00754A1F" w:rsidRPr="00754A1F" w:rsidRDefault="00754A1F" w:rsidP="00754A1F">
      <w:pPr>
        <w:tabs>
          <w:tab w:val="left" w:pos="3105"/>
        </w:tabs>
        <w:jc w:val="center"/>
        <w:rPr>
          <w:b/>
          <w:color w:val="222222"/>
          <w:sz w:val="32"/>
          <w:szCs w:val="32"/>
        </w:rPr>
      </w:pPr>
      <w:r w:rsidRPr="00754A1F">
        <w:rPr>
          <w:b/>
          <w:color w:val="222222"/>
          <w:sz w:val="32"/>
          <w:szCs w:val="32"/>
        </w:rPr>
        <w:t>Academic Year: 2023/2024</w:t>
      </w:r>
    </w:p>
    <w:p w14:paraId="5B41220F" w14:textId="77777777" w:rsidR="00754A1F" w:rsidRPr="00754A1F" w:rsidRDefault="00754A1F" w:rsidP="00754A1F">
      <w:pPr>
        <w:tabs>
          <w:tab w:val="left" w:pos="3105"/>
        </w:tabs>
        <w:jc w:val="center"/>
        <w:rPr>
          <w:b/>
          <w:color w:val="222222"/>
          <w:sz w:val="32"/>
          <w:szCs w:val="32"/>
        </w:rPr>
      </w:pPr>
      <w:r w:rsidRPr="00754A1F">
        <w:rPr>
          <w:b/>
          <w:color w:val="222222"/>
          <w:sz w:val="32"/>
          <w:szCs w:val="32"/>
        </w:rPr>
        <w:t>Student Name: Ileana Lupu</w:t>
      </w:r>
    </w:p>
    <w:p w14:paraId="6CC47C3D" w14:textId="77777777" w:rsidR="00754A1F" w:rsidRPr="00754A1F" w:rsidRDefault="00754A1F" w:rsidP="00754A1F">
      <w:pPr>
        <w:tabs>
          <w:tab w:val="left" w:pos="3105"/>
        </w:tabs>
        <w:jc w:val="center"/>
        <w:rPr>
          <w:b/>
          <w:color w:val="222222"/>
          <w:sz w:val="32"/>
          <w:szCs w:val="32"/>
        </w:rPr>
      </w:pPr>
      <w:r w:rsidRPr="00754A1F">
        <w:rPr>
          <w:b/>
          <w:color w:val="222222"/>
          <w:sz w:val="32"/>
          <w:szCs w:val="32"/>
        </w:rPr>
        <w:t>Student Number: 2231908</w:t>
      </w:r>
    </w:p>
    <w:p w14:paraId="48DF3023" w14:textId="77777777" w:rsidR="00754A1F" w:rsidRPr="00754A1F" w:rsidRDefault="00754A1F" w:rsidP="00754A1F">
      <w:pPr>
        <w:tabs>
          <w:tab w:val="left" w:pos="3105"/>
        </w:tabs>
        <w:jc w:val="center"/>
        <w:rPr>
          <w:b/>
          <w:color w:val="222222"/>
          <w:sz w:val="32"/>
          <w:szCs w:val="32"/>
        </w:rPr>
      </w:pPr>
      <w:r w:rsidRPr="00754A1F">
        <w:rPr>
          <w:b/>
          <w:color w:val="222222"/>
          <w:sz w:val="32"/>
          <w:szCs w:val="32"/>
        </w:rPr>
        <w:t>Lecturer Name: Masud Ibrahim</w:t>
      </w:r>
    </w:p>
    <w:p w14:paraId="354691D9" w14:textId="77777777" w:rsidR="00754A1F" w:rsidRPr="00754A1F" w:rsidRDefault="00754A1F" w:rsidP="00754A1F">
      <w:pPr>
        <w:tabs>
          <w:tab w:val="left" w:pos="3105"/>
        </w:tabs>
        <w:jc w:val="center"/>
        <w:rPr>
          <w:b/>
          <w:color w:val="222222"/>
          <w:sz w:val="32"/>
          <w:szCs w:val="32"/>
        </w:rPr>
      </w:pPr>
      <w:r w:rsidRPr="00754A1F">
        <w:rPr>
          <w:b/>
          <w:color w:val="222222"/>
          <w:sz w:val="32"/>
          <w:szCs w:val="32"/>
        </w:rPr>
        <w:t>LCBB5001_BIRM</w:t>
      </w:r>
    </w:p>
    <w:p w14:paraId="38EC7CDB" w14:textId="6F55F138" w:rsidR="009E234C" w:rsidRDefault="00754A1F" w:rsidP="00754A1F">
      <w:pPr>
        <w:tabs>
          <w:tab w:val="left" w:pos="3105"/>
        </w:tabs>
        <w:jc w:val="center"/>
        <w:rPr>
          <w:b/>
          <w:color w:val="222222"/>
          <w:sz w:val="32"/>
          <w:szCs w:val="32"/>
          <w:highlight w:val="white"/>
        </w:rPr>
      </w:pPr>
      <w:r w:rsidRPr="00754A1F">
        <w:rPr>
          <w:b/>
          <w:color w:val="222222"/>
          <w:sz w:val="32"/>
          <w:szCs w:val="32"/>
        </w:rPr>
        <w:t>Entrepreneurship</w:t>
      </w:r>
    </w:p>
    <w:p w14:paraId="637EB9CB" w14:textId="77777777" w:rsidR="009E234C" w:rsidRDefault="009E234C">
      <w:pPr>
        <w:jc w:val="center"/>
        <w:rPr>
          <w:b/>
          <w:color w:val="222222"/>
          <w:sz w:val="32"/>
          <w:szCs w:val="32"/>
          <w:highlight w:val="white"/>
        </w:rPr>
      </w:pPr>
    </w:p>
    <w:p w14:paraId="0FAA9197" w14:textId="77777777" w:rsidR="009E234C" w:rsidRDefault="009E234C">
      <w:pPr>
        <w:jc w:val="center"/>
        <w:rPr>
          <w:b/>
          <w:color w:val="222222"/>
          <w:sz w:val="32"/>
          <w:szCs w:val="32"/>
          <w:highlight w:val="white"/>
        </w:rPr>
      </w:pPr>
    </w:p>
    <w:p w14:paraId="1DA01677" w14:textId="77777777" w:rsidR="009E234C" w:rsidRDefault="009E234C">
      <w:pPr>
        <w:jc w:val="center"/>
        <w:rPr>
          <w:b/>
          <w:color w:val="222222"/>
          <w:sz w:val="32"/>
          <w:szCs w:val="32"/>
          <w:highlight w:val="white"/>
        </w:rPr>
      </w:pPr>
    </w:p>
    <w:p w14:paraId="218A8715" w14:textId="77777777" w:rsidR="009E234C" w:rsidRDefault="009E234C">
      <w:pPr>
        <w:jc w:val="center"/>
        <w:rPr>
          <w:b/>
          <w:color w:val="222222"/>
          <w:sz w:val="32"/>
          <w:szCs w:val="32"/>
          <w:highlight w:val="white"/>
        </w:rPr>
      </w:pPr>
    </w:p>
    <w:p w14:paraId="22770371" w14:textId="77777777" w:rsidR="006E3D2B" w:rsidRDefault="006E3D2B">
      <w:pPr>
        <w:rPr>
          <w:b/>
          <w:color w:val="222222"/>
          <w:sz w:val="32"/>
          <w:szCs w:val="32"/>
          <w:highlight w:val="white"/>
        </w:rPr>
      </w:pPr>
      <w:r>
        <w:rPr>
          <w:b/>
          <w:color w:val="222222"/>
          <w:sz w:val="32"/>
          <w:szCs w:val="32"/>
          <w:highlight w:val="white"/>
        </w:rPr>
        <w:br w:type="page"/>
      </w:r>
    </w:p>
    <w:sdt>
      <w:sdtPr>
        <w:rPr>
          <w:rFonts w:ascii="Arial" w:eastAsia="Arial" w:hAnsi="Arial" w:cs="Arial"/>
          <w:b/>
          <w:color w:val="000000" w:themeColor="text1"/>
          <w:sz w:val="28"/>
          <w:szCs w:val="28"/>
        </w:rPr>
        <w:id w:val="-1503199389"/>
        <w:docPartObj>
          <w:docPartGallery w:val="Table of Contents"/>
          <w:docPartUnique/>
        </w:docPartObj>
      </w:sdtPr>
      <w:sdtEndPr>
        <w:rPr>
          <w:bCs/>
          <w:noProof/>
          <w:color w:val="auto"/>
          <w:sz w:val="22"/>
          <w:szCs w:val="22"/>
        </w:rPr>
      </w:sdtEndPr>
      <w:sdtContent>
        <w:p w14:paraId="4ACBD626" w14:textId="77777777" w:rsidR="006E3D2B" w:rsidRPr="0030231B" w:rsidRDefault="006E3D2B" w:rsidP="0030231B">
          <w:pPr>
            <w:pStyle w:val="TOCHeading"/>
            <w:jc w:val="center"/>
            <w:rPr>
              <w:rFonts w:ascii="Arial" w:hAnsi="Arial" w:cs="Arial"/>
              <w:b/>
              <w:color w:val="000000" w:themeColor="text1"/>
              <w:sz w:val="28"/>
              <w:szCs w:val="28"/>
            </w:rPr>
          </w:pPr>
          <w:r w:rsidRPr="0030231B">
            <w:rPr>
              <w:rFonts w:ascii="Arial" w:hAnsi="Arial" w:cs="Arial"/>
              <w:b/>
              <w:color w:val="000000" w:themeColor="text1"/>
              <w:sz w:val="28"/>
              <w:szCs w:val="28"/>
            </w:rPr>
            <w:t>Table of Contents</w:t>
          </w:r>
        </w:p>
        <w:p w14:paraId="08E35051" w14:textId="123EA84B" w:rsidR="0030231B" w:rsidRDefault="006E3D2B">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169117297" w:history="1">
            <w:r w:rsidR="0030231B" w:rsidRPr="00082262">
              <w:rPr>
                <w:rStyle w:val="Hyperlink"/>
                <w:noProof/>
              </w:rPr>
              <w:t>1. Overview</w:t>
            </w:r>
            <w:r w:rsidR="005252C0">
              <w:rPr>
                <w:rStyle w:val="Hyperlink"/>
                <w:noProof/>
              </w:rPr>
              <w:t xml:space="preserve"> of the business idea, products and services</w:t>
            </w:r>
            <w:r w:rsidR="0030231B" w:rsidRPr="00082262">
              <w:rPr>
                <w:rStyle w:val="Hyperlink"/>
                <w:noProof/>
              </w:rPr>
              <w:t>.</w:t>
            </w:r>
            <w:r w:rsidR="0030231B">
              <w:rPr>
                <w:noProof/>
                <w:webHidden/>
              </w:rPr>
              <w:tab/>
            </w:r>
            <w:r w:rsidR="0030231B">
              <w:rPr>
                <w:noProof/>
                <w:webHidden/>
              </w:rPr>
              <w:fldChar w:fldCharType="begin"/>
            </w:r>
            <w:r w:rsidR="0030231B">
              <w:rPr>
                <w:noProof/>
                <w:webHidden/>
              </w:rPr>
              <w:instrText xml:space="preserve"> PAGEREF _Toc169117297 \h </w:instrText>
            </w:r>
            <w:r w:rsidR="0030231B">
              <w:rPr>
                <w:noProof/>
                <w:webHidden/>
              </w:rPr>
            </w:r>
            <w:r w:rsidR="0030231B">
              <w:rPr>
                <w:noProof/>
                <w:webHidden/>
              </w:rPr>
              <w:fldChar w:fldCharType="separate"/>
            </w:r>
            <w:r w:rsidR="008C1333">
              <w:rPr>
                <w:noProof/>
                <w:webHidden/>
              </w:rPr>
              <w:t>3</w:t>
            </w:r>
            <w:r w:rsidR="0030231B">
              <w:rPr>
                <w:noProof/>
                <w:webHidden/>
              </w:rPr>
              <w:fldChar w:fldCharType="end"/>
            </w:r>
          </w:hyperlink>
        </w:p>
        <w:p w14:paraId="138CE51B" w14:textId="76D4793B" w:rsidR="0030231B" w:rsidRDefault="005C5477">
          <w:pPr>
            <w:pStyle w:val="TOC1"/>
            <w:tabs>
              <w:tab w:val="right" w:leader="dot" w:pos="9350"/>
            </w:tabs>
            <w:rPr>
              <w:rFonts w:asciiTheme="minorHAnsi" w:eastAsiaTheme="minorEastAsia" w:hAnsiTheme="minorHAnsi" w:cstheme="minorBidi"/>
              <w:noProof/>
            </w:rPr>
          </w:pPr>
          <w:hyperlink w:anchor="_Toc169117298" w:history="1">
            <w:r w:rsidR="0030231B" w:rsidRPr="00082262">
              <w:rPr>
                <w:rStyle w:val="Hyperlink"/>
                <w:noProof/>
              </w:rPr>
              <w:t>2. Legal format of the startup company.</w:t>
            </w:r>
            <w:r w:rsidR="0030231B">
              <w:rPr>
                <w:noProof/>
                <w:webHidden/>
              </w:rPr>
              <w:tab/>
            </w:r>
            <w:r w:rsidR="0030231B">
              <w:rPr>
                <w:noProof/>
                <w:webHidden/>
              </w:rPr>
              <w:fldChar w:fldCharType="begin"/>
            </w:r>
            <w:r w:rsidR="0030231B">
              <w:rPr>
                <w:noProof/>
                <w:webHidden/>
              </w:rPr>
              <w:instrText xml:space="preserve"> PAGEREF _Toc169117298 \h </w:instrText>
            </w:r>
            <w:r w:rsidR="0030231B">
              <w:rPr>
                <w:noProof/>
                <w:webHidden/>
              </w:rPr>
            </w:r>
            <w:r w:rsidR="0030231B">
              <w:rPr>
                <w:noProof/>
                <w:webHidden/>
              </w:rPr>
              <w:fldChar w:fldCharType="separate"/>
            </w:r>
            <w:r w:rsidR="008C1333">
              <w:rPr>
                <w:noProof/>
                <w:webHidden/>
              </w:rPr>
              <w:t>4</w:t>
            </w:r>
            <w:r w:rsidR="0030231B">
              <w:rPr>
                <w:noProof/>
                <w:webHidden/>
              </w:rPr>
              <w:fldChar w:fldCharType="end"/>
            </w:r>
          </w:hyperlink>
        </w:p>
        <w:p w14:paraId="1F3E00B2" w14:textId="218256D3" w:rsidR="0030231B" w:rsidRDefault="005C5477">
          <w:pPr>
            <w:pStyle w:val="TOC1"/>
            <w:tabs>
              <w:tab w:val="right" w:leader="dot" w:pos="9350"/>
            </w:tabs>
            <w:rPr>
              <w:rFonts w:asciiTheme="minorHAnsi" w:eastAsiaTheme="minorEastAsia" w:hAnsiTheme="minorHAnsi" w:cstheme="minorBidi"/>
              <w:noProof/>
            </w:rPr>
          </w:pPr>
          <w:hyperlink w:anchor="_Toc169117299" w:history="1">
            <w:r w:rsidR="0030231B" w:rsidRPr="00082262">
              <w:rPr>
                <w:rStyle w:val="Hyperlink"/>
                <w:noProof/>
              </w:rPr>
              <w:t>3. Management of the company (Owner, employees and the requirements for external professional service/ experts).</w:t>
            </w:r>
            <w:r w:rsidR="0030231B">
              <w:rPr>
                <w:noProof/>
                <w:webHidden/>
              </w:rPr>
              <w:tab/>
            </w:r>
            <w:r w:rsidR="0030231B">
              <w:rPr>
                <w:noProof/>
                <w:webHidden/>
              </w:rPr>
              <w:fldChar w:fldCharType="begin"/>
            </w:r>
            <w:r w:rsidR="0030231B">
              <w:rPr>
                <w:noProof/>
                <w:webHidden/>
              </w:rPr>
              <w:instrText xml:space="preserve"> PAGEREF _Toc169117299 \h </w:instrText>
            </w:r>
            <w:r w:rsidR="0030231B">
              <w:rPr>
                <w:noProof/>
                <w:webHidden/>
              </w:rPr>
            </w:r>
            <w:r w:rsidR="0030231B">
              <w:rPr>
                <w:noProof/>
                <w:webHidden/>
              </w:rPr>
              <w:fldChar w:fldCharType="separate"/>
            </w:r>
            <w:r w:rsidR="008C1333">
              <w:rPr>
                <w:noProof/>
                <w:webHidden/>
              </w:rPr>
              <w:t>4</w:t>
            </w:r>
            <w:r w:rsidR="0030231B">
              <w:rPr>
                <w:noProof/>
                <w:webHidden/>
              </w:rPr>
              <w:fldChar w:fldCharType="end"/>
            </w:r>
          </w:hyperlink>
        </w:p>
        <w:p w14:paraId="28AD75DF" w14:textId="4561032A" w:rsidR="0030231B" w:rsidRDefault="005C5477">
          <w:pPr>
            <w:pStyle w:val="TOC1"/>
            <w:tabs>
              <w:tab w:val="right" w:leader="dot" w:pos="9350"/>
            </w:tabs>
            <w:rPr>
              <w:rFonts w:asciiTheme="minorHAnsi" w:eastAsiaTheme="minorEastAsia" w:hAnsiTheme="minorHAnsi" w:cstheme="minorBidi"/>
              <w:noProof/>
            </w:rPr>
          </w:pPr>
          <w:hyperlink w:anchor="_Toc169117300" w:history="1">
            <w:r w:rsidR="0030231B" w:rsidRPr="00082262">
              <w:rPr>
                <w:rStyle w:val="Hyperlink"/>
                <w:noProof/>
              </w:rPr>
              <w:t>4. Evaluation of the business idea by using the PESTEL analysis model.</w:t>
            </w:r>
            <w:r w:rsidR="0030231B">
              <w:rPr>
                <w:noProof/>
                <w:webHidden/>
              </w:rPr>
              <w:tab/>
            </w:r>
            <w:r w:rsidR="0030231B">
              <w:rPr>
                <w:noProof/>
                <w:webHidden/>
              </w:rPr>
              <w:fldChar w:fldCharType="begin"/>
            </w:r>
            <w:r w:rsidR="0030231B">
              <w:rPr>
                <w:noProof/>
                <w:webHidden/>
              </w:rPr>
              <w:instrText xml:space="preserve"> PAGEREF _Toc169117300 \h </w:instrText>
            </w:r>
            <w:r w:rsidR="0030231B">
              <w:rPr>
                <w:noProof/>
                <w:webHidden/>
              </w:rPr>
            </w:r>
            <w:r w:rsidR="0030231B">
              <w:rPr>
                <w:noProof/>
                <w:webHidden/>
              </w:rPr>
              <w:fldChar w:fldCharType="separate"/>
            </w:r>
            <w:r w:rsidR="008C1333">
              <w:rPr>
                <w:noProof/>
                <w:webHidden/>
              </w:rPr>
              <w:t>4</w:t>
            </w:r>
            <w:r w:rsidR="0030231B">
              <w:rPr>
                <w:noProof/>
                <w:webHidden/>
              </w:rPr>
              <w:fldChar w:fldCharType="end"/>
            </w:r>
          </w:hyperlink>
        </w:p>
        <w:p w14:paraId="218FB13F" w14:textId="1C335049" w:rsidR="0030231B" w:rsidRDefault="005C5477">
          <w:pPr>
            <w:pStyle w:val="TOC1"/>
            <w:tabs>
              <w:tab w:val="right" w:leader="dot" w:pos="9350"/>
            </w:tabs>
            <w:rPr>
              <w:rFonts w:asciiTheme="minorHAnsi" w:eastAsiaTheme="minorEastAsia" w:hAnsiTheme="minorHAnsi" w:cstheme="minorBidi"/>
              <w:noProof/>
            </w:rPr>
          </w:pPr>
          <w:hyperlink w:anchor="_Toc169117301" w:history="1">
            <w:r w:rsidR="0030231B" w:rsidRPr="00082262">
              <w:rPr>
                <w:rStyle w:val="Hyperlink"/>
                <w:noProof/>
              </w:rPr>
              <w:t>5. Apply the 4Ps of marketing to your business idea</w:t>
            </w:r>
            <w:r w:rsidR="0030231B">
              <w:rPr>
                <w:noProof/>
                <w:webHidden/>
              </w:rPr>
              <w:tab/>
            </w:r>
            <w:r w:rsidR="0030231B">
              <w:rPr>
                <w:noProof/>
                <w:webHidden/>
              </w:rPr>
              <w:fldChar w:fldCharType="begin"/>
            </w:r>
            <w:r w:rsidR="0030231B">
              <w:rPr>
                <w:noProof/>
                <w:webHidden/>
              </w:rPr>
              <w:instrText xml:space="preserve"> PAGEREF _Toc169117301 \h </w:instrText>
            </w:r>
            <w:r w:rsidR="0030231B">
              <w:rPr>
                <w:noProof/>
                <w:webHidden/>
              </w:rPr>
            </w:r>
            <w:r w:rsidR="0030231B">
              <w:rPr>
                <w:noProof/>
                <w:webHidden/>
              </w:rPr>
              <w:fldChar w:fldCharType="separate"/>
            </w:r>
            <w:r w:rsidR="008C1333">
              <w:rPr>
                <w:noProof/>
                <w:webHidden/>
              </w:rPr>
              <w:t>7</w:t>
            </w:r>
            <w:r w:rsidR="0030231B">
              <w:rPr>
                <w:noProof/>
                <w:webHidden/>
              </w:rPr>
              <w:fldChar w:fldCharType="end"/>
            </w:r>
          </w:hyperlink>
        </w:p>
        <w:p w14:paraId="208F916F" w14:textId="315828B3" w:rsidR="0030231B" w:rsidRDefault="005C5477">
          <w:pPr>
            <w:pStyle w:val="TOC1"/>
            <w:tabs>
              <w:tab w:val="right" w:leader="dot" w:pos="9350"/>
            </w:tabs>
            <w:rPr>
              <w:rFonts w:asciiTheme="minorHAnsi" w:eastAsiaTheme="minorEastAsia" w:hAnsiTheme="minorHAnsi" w:cstheme="minorBidi"/>
              <w:noProof/>
            </w:rPr>
          </w:pPr>
          <w:hyperlink w:anchor="_Toc169117302" w:history="1">
            <w:r w:rsidR="0030231B" w:rsidRPr="00082262">
              <w:rPr>
                <w:rStyle w:val="Hyperlink"/>
                <w:noProof/>
              </w:rPr>
              <w:t>6. Suggest</w:t>
            </w:r>
            <w:r w:rsidR="002C47A3">
              <w:rPr>
                <w:rStyle w:val="Hyperlink"/>
                <w:noProof/>
              </w:rPr>
              <w:t>ed</w:t>
            </w:r>
            <w:r w:rsidR="0030231B" w:rsidRPr="00082262">
              <w:rPr>
                <w:rStyle w:val="Hyperlink"/>
                <w:noProof/>
              </w:rPr>
              <w:t xml:space="preserve"> revenue model</w:t>
            </w:r>
            <w:r w:rsidR="0030231B">
              <w:rPr>
                <w:noProof/>
                <w:webHidden/>
              </w:rPr>
              <w:tab/>
            </w:r>
            <w:r w:rsidR="0030231B">
              <w:rPr>
                <w:noProof/>
                <w:webHidden/>
              </w:rPr>
              <w:fldChar w:fldCharType="begin"/>
            </w:r>
            <w:r w:rsidR="0030231B">
              <w:rPr>
                <w:noProof/>
                <w:webHidden/>
              </w:rPr>
              <w:instrText xml:space="preserve"> PAGEREF _Toc169117302 \h </w:instrText>
            </w:r>
            <w:r w:rsidR="0030231B">
              <w:rPr>
                <w:noProof/>
                <w:webHidden/>
              </w:rPr>
            </w:r>
            <w:r w:rsidR="0030231B">
              <w:rPr>
                <w:noProof/>
                <w:webHidden/>
              </w:rPr>
              <w:fldChar w:fldCharType="separate"/>
            </w:r>
            <w:r w:rsidR="008C1333">
              <w:rPr>
                <w:noProof/>
                <w:webHidden/>
              </w:rPr>
              <w:t>8</w:t>
            </w:r>
            <w:r w:rsidR="0030231B">
              <w:rPr>
                <w:noProof/>
                <w:webHidden/>
              </w:rPr>
              <w:fldChar w:fldCharType="end"/>
            </w:r>
          </w:hyperlink>
        </w:p>
        <w:p w14:paraId="3ECB171B" w14:textId="2E1420FB" w:rsidR="0030231B" w:rsidRDefault="005C5477">
          <w:pPr>
            <w:pStyle w:val="TOC1"/>
            <w:tabs>
              <w:tab w:val="right" w:leader="dot" w:pos="9350"/>
            </w:tabs>
            <w:rPr>
              <w:rFonts w:asciiTheme="minorHAnsi" w:eastAsiaTheme="minorEastAsia" w:hAnsiTheme="minorHAnsi" w:cstheme="minorBidi"/>
              <w:noProof/>
            </w:rPr>
          </w:pPr>
          <w:hyperlink w:anchor="_Toc169117303" w:history="1">
            <w:r w:rsidR="005252C0">
              <w:rPr>
                <w:rStyle w:val="Hyperlink"/>
                <w:noProof/>
              </w:rPr>
              <w:t>7</w:t>
            </w:r>
            <w:r w:rsidR="002C47A3">
              <w:rPr>
                <w:rStyle w:val="Hyperlink"/>
                <w:noProof/>
              </w:rPr>
              <w:t>. C</w:t>
            </w:r>
            <w:r w:rsidR="0030231B" w:rsidRPr="00082262">
              <w:rPr>
                <w:rStyle w:val="Hyperlink"/>
                <w:noProof/>
              </w:rPr>
              <w:t>ash flow forecast for the first 12 months. Startup funding cannot exceed £25,000.</w:t>
            </w:r>
            <w:r w:rsidR="0030231B">
              <w:rPr>
                <w:noProof/>
                <w:webHidden/>
              </w:rPr>
              <w:tab/>
            </w:r>
            <w:r w:rsidR="0030231B">
              <w:rPr>
                <w:noProof/>
                <w:webHidden/>
              </w:rPr>
              <w:fldChar w:fldCharType="begin"/>
            </w:r>
            <w:r w:rsidR="0030231B">
              <w:rPr>
                <w:noProof/>
                <w:webHidden/>
              </w:rPr>
              <w:instrText xml:space="preserve"> PAGEREF _Toc169117303 \h </w:instrText>
            </w:r>
            <w:r w:rsidR="0030231B">
              <w:rPr>
                <w:noProof/>
                <w:webHidden/>
              </w:rPr>
            </w:r>
            <w:r w:rsidR="0030231B">
              <w:rPr>
                <w:noProof/>
                <w:webHidden/>
              </w:rPr>
              <w:fldChar w:fldCharType="separate"/>
            </w:r>
            <w:r w:rsidR="008C1333">
              <w:rPr>
                <w:noProof/>
                <w:webHidden/>
              </w:rPr>
              <w:t>9</w:t>
            </w:r>
            <w:r w:rsidR="0030231B">
              <w:rPr>
                <w:noProof/>
                <w:webHidden/>
              </w:rPr>
              <w:fldChar w:fldCharType="end"/>
            </w:r>
          </w:hyperlink>
        </w:p>
        <w:p w14:paraId="1042411A" w14:textId="3B32D9F9" w:rsidR="0030231B" w:rsidRDefault="005C5477">
          <w:pPr>
            <w:pStyle w:val="TOC1"/>
            <w:tabs>
              <w:tab w:val="right" w:leader="dot" w:pos="9350"/>
            </w:tabs>
            <w:rPr>
              <w:rFonts w:asciiTheme="minorHAnsi" w:eastAsiaTheme="minorEastAsia" w:hAnsiTheme="minorHAnsi" w:cstheme="minorBidi"/>
              <w:noProof/>
            </w:rPr>
          </w:pPr>
          <w:hyperlink w:anchor="_Toc169117304" w:history="1">
            <w:r w:rsidR="005252C0">
              <w:rPr>
                <w:rStyle w:val="Hyperlink"/>
                <w:noProof/>
              </w:rPr>
              <w:t>8</w:t>
            </w:r>
            <w:r w:rsidR="0030231B" w:rsidRPr="00082262">
              <w:rPr>
                <w:rStyle w:val="Hyperlink"/>
                <w:noProof/>
              </w:rPr>
              <w:t>. Reference List</w:t>
            </w:r>
            <w:r w:rsidR="0030231B">
              <w:rPr>
                <w:noProof/>
                <w:webHidden/>
              </w:rPr>
              <w:tab/>
            </w:r>
            <w:r w:rsidR="0030231B">
              <w:rPr>
                <w:noProof/>
                <w:webHidden/>
              </w:rPr>
              <w:fldChar w:fldCharType="begin"/>
            </w:r>
            <w:r w:rsidR="0030231B">
              <w:rPr>
                <w:noProof/>
                <w:webHidden/>
              </w:rPr>
              <w:instrText xml:space="preserve"> PAGEREF _Toc169117304 \h </w:instrText>
            </w:r>
            <w:r w:rsidR="0030231B">
              <w:rPr>
                <w:noProof/>
                <w:webHidden/>
              </w:rPr>
            </w:r>
            <w:r w:rsidR="0030231B">
              <w:rPr>
                <w:noProof/>
                <w:webHidden/>
              </w:rPr>
              <w:fldChar w:fldCharType="separate"/>
            </w:r>
            <w:r w:rsidR="008C1333">
              <w:rPr>
                <w:noProof/>
                <w:webHidden/>
              </w:rPr>
              <w:t>10</w:t>
            </w:r>
            <w:r w:rsidR="0030231B">
              <w:rPr>
                <w:noProof/>
                <w:webHidden/>
              </w:rPr>
              <w:fldChar w:fldCharType="end"/>
            </w:r>
          </w:hyperlink>
        </w:p>
        <w:p w14:paraId="58C83133" w14:textId="77777777" w:rsidR="006E3D2B" w:rsidRDefault="006E3D2B">
          <w:r>
            <w:rPr>
              <w:b/>
              <w:bCs/>
              <w:noProof/>
            </w:rPr>
            <w:fldChar w:fldCharType="end"/>
          </w:r>
        </w:p>
      </w:sdtContent>
    </w:sdt>
    <w:p w14:paraId="1314588F" w14:textId="1E5FE060" w:rsidR="009E234C" w:rsidRDefault="00151E2B" w:rsidP="006E3D2B">
      <w:pPr>
        <w:jc w:val="center"/>
        <w:rPr>
          <w:b/>
          <w:color w:val="222222"/>
          <w:sz w:val="32"/>
          <w:szCs w:val="32"/>
          <w:highlight w:val="white"/>
        </w:rPr>
      </w:pPr>
      <w:bookmarkStart w:id="0" w:name="_GoBack"/>
      <w:bookmarkEnd w:id="0"/>
      <w:r>
        <w:br w:type="page"/>
      </w:r>
    </w:p>
    <w:p w14:paraId="0E961010" w14:textId="100831EC" w:rsidR="009E234C" w:rsidRDefault="00151E2B">
      <w:pPr>
        <w:pStyle w:val="Heading1"/>
        <w:rPr>
          <w:sz w:val="28"/>
          <w:szCs w:val="28"/>
        </w:rPr>
      </w:pPr>
      <w:bookmarkStart w:id="1" w:name="_9gumexn3fdn" w:colFirst="0" w:colLast="0"/>
      <w:bookmarkStart w:id="2" w:name="_Toc169117297"/>
      <w:bookmarkEnd w:id="1"/>
      <w:r w:rsidRPr="000012C7">
        <w:rPr>
          <w:sz w:val="28"/>
          <w:szCs w:val="28"/>
        </w:rPr>
        <w:t>1.</w:t>
      </w:r>
      <w:r>
        <w:t xml:space="preserve"> </w:t>
      </w:r>
      <w:r w:rsidRPr="00754A1F">
        <w:rPr>
          <w:sz w:val="28"/>
          <w:szCs w:val="28"/>
        </w:rPr>
        <w:t>Overvie</w:t>
      </w:r>
      <w:r w:rsidR="00EA65A3">
        <w:rPr>
          <w:sz w:val="28"/>
          <w:szCs w:val="28"/>
        </w:rPr>
        <w:t xml:space="preserve">w of the business idea, products and </w:t>
      </w:r>
      <w:r w:rsidRPr="00754A1F">
        <w:rPr>
          <w:sz w:val="28"/>
          <w:szCs w:val="28"/>
        </w:rPr>
        <w:t>service</w:t>
      </w:r>
      <w:bookmarkEnd w:id="2"/>
      <w:r w:rsidR="00EA65A3">
        <w:rPr>
          <w:sz w:val="28"/>
          <w:szCs w:val="28"/>
        </w:rPr>
        <w:t>s.</w:t>
      </w:r>
    </w:p>
    <w:p w14:paraId="1B00BC0E" w14:textId="77777777" w:rsidR="000012C7" w:rsidRPr="004D235C" w:rsidRDefault="000012C7" w:rsidP="000012C7"/>
    <w:p w14:paraId="2DF2EC70" w14:textId="0A45BB70" w:rsidR="009E234C" w:rsidRPr="004D235C" w:rsidRDefault="00151E2B">
      <w:pPr>
        <w:rPr>
          <w:b/>
        </w:rPr>
      </w:pPr>
      <w:r w:rsidRPr="00EA65A3">
        <w:rPr>
          <w:b/>
          <w:sz w:val="24"/>
          <w:szCs w:val="24"/>
        </w:rPr>
        <w:t>Overview of the business</w:t>
      </w:r>
      <w:r w:rsidRPr="004D235C">
        <w:rPr>
          <w:b/>
        </w:rPr>
        <w:t xml:space="preserve"> </w:t>
      </w:r>
    </w:p>
    <w:p w14:paraId="2F39C764" w14:textId="6F34F577" w:rsidR="00C466BC" w:rsidRPr="004D235C" w:rsidRDefault="003A2B50">
      <w:r>
        <w:t xml:space="preserve">                       </w:t>
      </w:r>
      <w:r w:rsidR="00C466BC" w:rsidRPr="00C466BC">
        <w:t xml:space="preserve">The business idea is to establish a </w:t>
      </w:r>
      <w:r w:rsidR="00C466BC" w:rsidRPr="00C466BC">
        <w:rPr>
          <w:b/>
        </w:rPr>
        <w:t>Real Estate Crowdfunding Platform</w:t>
      </w:r>
      <w:r w:rsidR="00C466BC" w:rsidRPr="00C466BC">
        <w:t xml:space="preserve"> (RECFP),</w:t>
      </w:r>
      <w:r w:rsidR="00C466BC">
        <w:rPr>
          <w:b/>
          <w:i/>
        </w:rPr>
        <w:t xml:space="preserve"> </w:t>
      </w:r>
      <w:r w:rsidR="00C466BC" w:rsidRPr="00C466BC">
        <w:t>which</w:t>
      </w:r>
      <w:r w:rsidR="00C466BC">
        <w:rPr>
          <w:b/>
          <w:i/>
        </w:rPr>
        <w:t xml:space="preserve"> </w:t>
      </w:r>
      <w:r w:rsidR="004D235C" w:rsidRPr="004D235C">
        <w:t xml:space="preserve">is a unique web-based platform dedicated to reducing barriers to entry to real estate investment so that investors can easily invest in specific projects being funded by developers and real estate agencies. </w:t>
      </w:r>
      <w:r w:rsidR="000E7423" w:rsidRPr="000E7423">
        <w:t>The platform democratises real estate investing by enabling investors to fund residential or commercial real estate projects without placing all of their funds into a single transaction by bringing together several investors.</w:t>
      </w:r>
      <w:r w:rsidR="004D235C" w:rsidRPr="004D235C">
        <w:t xml:space="preserve"> </w:t>
      </w:r>
      <w:r w:rsidR="000E7423" w:rsidRPr="000E7423">
        <w:t>This strategy offers a lot of individuals the opportunity to invest in real estate and make fortunes; at the same time, it allows developers middle- and long-term funding to complete their projects.</w:t>
      </w:r>
    </w:p>
    <w:p w14:paraId="05E24A9A" w14:textId="53363BFF" w:rsidR="004D235C" w:rsidRPr="00EA65A3" w:rsidRDefault="00EA65A3" w:rsidP="004D235C">
      <w:pPr>
        <w:rPr>
          <w:b/>
          <w:bCs/>
          <w:iCs/>
          <w:sz w:val="24"/>
          <w:szCs w:val="24"/>
          <w:lang w:val="en-GB"/>
        </w:rPr>
      </w:pPr>
      <w:r w:rsidRPr="00EA65A3">
        <w:rPr>
          <w:b/>
          <w:bCs/>
          <w:iCs/>
          <w:sz w:val="24"/>
          <w:szCs w:val="24"/>
          <w:lang w:val="en-GB"/>
        </w:rPr>
        <w:t xml:space="preserve">Products and services </w:t>
      </w:r>
      <w:r>
        <w:rPr>
          <w:b/>
          <w:bCs/>
          <w:iCs/>
          <w:sz w:val="24"/>
          <w:szCs w:val="24"/>
          <w:lang w:val="en-GB"/>
        </w:rPr>
        <w:t xml:space="preserve">/ </w:t>
      </w:r>
      <w:r w:rsidR="004D235C" w:rsidRPr="00EA65A3">
        <w:rPr>
          <w:b/>
          <w:bCs/>
          <w:iCs/>
          <w:sz w:val="24"/>
          <w:szCs w:val="24"/>
          <w:lang w:val="en-GB"/>
        </w:rPr>
        <w:t>Investment opportunities</w:t>
      </w:r>
      <w:r w:rsidR="004D235C" w:rsidRPr="004D235C">
        <w:rPr>
          <w:b/>
          <w:bCs/>
          <w:iCs/>
          <w:lang w:val="en-GB"/>
        </w:rPr>
        <w:t xml:space="preserve"> </w:t>
      </w:r>
    </w:p>
    <w:p w14:paraId="5554AD51" w14:textId="34569C73" w:rsidR="004D235C" w:rsidRPr="004D235C" w:rsidRDefault="004D235C" w:rsidP="004D235C">
      <w:pPr>
        <w:rPr>
          <w:lang w:val="en-GB"/>
        </w:rPr>
      </w:pPr>
      <w:r w:rsidRPr="004D235C">
        <w:rPr>
          <w:b/>
          <w:bCs/>
          <w:iCs/>
          <w:lang w:val="en-GB"/>
        </w:rPr>
        <w:t>Commercial real estate:</w:t>
      </w:r>
      <w:r w:rsidRPr="004D235C">
        <w:rPr>
          <w:lang w:val="en-GB"/>
        </w:rPr>
        <w:t xml:space="preserve"> investing in office buildings, retail spaces, and industrial properties.</w:t>
      </w:r>
    </w:p>
    <w:p w14:paraId="2C89DF2F" w14:textId="77777777" w:rsidR="004D235C" w:rsidRPr="004D235C" w:rsidRDefault="004D235C" w:rsidP="004D235C">
      <w:pPr>
        <w:rPr>
          <w:lang w:val="en-GB"/>
        </w:rPr>
      </w:pPr>
      <w:r w:rsidRPr="004D235C">
        <w:rPr>
          <w:b/>
          <w:bCs/>
          <w:iCs/>
          <w:lang w:val="en-GB"/>
        </w:rPr>
        <w:t>Residential real estate:</w:t>
      </w:r>
      <w:r w:rsidRPr="004D235C">
        <w:rPr>
          <w:lang w:val="en-GB"/>
        </w:rPr>
        <w:t xml:space="preserve"> investing in multifamily housing, homes for single families, and developments for mixed uses.</w:t>
      </w:r>
    </w:p>
    <w:p w14:paraId="4043D0FC" w14:textId="77777777" w:rsidR="004D235C" w:rsidRPr="004D235C" w:rsidRDefault="004D235C" w:rsidP="004D235C">
      <w:pPr>
        <w:rPr>
          <w:lang w:val="en-GB"/>
        </w:rPr>
      </w:pPr>
      <w:r w:rsidRPr="004D235C">
        <w:rPr>
          <w:b/>
          <w:lang w:val="en-GB"/>
        </w:rPr>
        <w:t>Special projects:</w:t>
      </w:r>
      <w:r w:rsidRPr="004D235C">
        <w:rPr>
          <w:lang w:val="en-GB"/>
        </w:rPr>
        <w:t xml:space="preserve"> opportunities in green buildings, historic renovations, and luxury properties.</w:t>
      </w:r>
    </w:p>
    <w:p w14:paraId="63EB5CE6" w14:textId="3E9F74B8" w:rsidR="00664B92" w:rsidRPr="00664B92" w:rsidRDefault="00664B92" w:rsidP="00664B92">
      <w:pPr>
        <w:rPr>
          <w:b/>
          <w:lang w:val="en-GB"/>
        </w:rPr>
      </w:pPr>
      <w:r w:rsidRPr="00664B92">
        <w:rPr>
          <w:b/>
          <w:bCs/>
          <w:iCs/>
          <w:lang w:val="en-GB"/>
        </w:rPr>
        <w:t xml:space="preserve">Educational resources: </w:t>
      </w:r>
      <w:r w:rsidR="004D235C">
        <w:rPr>
          <w:lang w:val="en-GB"/>
        </w:rPr>
        <w:t>a</w:t>
      </w:r>
      <w:r w:rsidRPr="00664B92">
        <w:rPr>
          <w:lang w:val="en-GB"/>
        </w:rPr>
        <w:t>rticles, webinars, and guides to educate investors regarding real estate investment services.</w:t>
      </w:r>
    </w:p>
    <w:p w14:paraId="5EC13E11" w14:textId="2420282E" w:rsidR="00664B92" w:rsidRPr="00664B92" w:rsidRDefault="00664B92" w:rsidP="00664B92">
      <w:pPr>
        <w:rPr>
          <w:b/>
          <w:lang w:val="en-GB"/>
        </w:rPr>
      </w:pPr>
      <w:r w:rsidRPr="00664B92">
        <w:rPr>
          <w:b/>
          <w:bCs/>
          <w:iCs/>
          <w:lang w:val="en-GB"/>
        </w:rPr>
        <w:t>Investment tools</w:t>
      </w:r>
      <w:r>
        <w:rPr>
          <w:b/>
          <w:lang w:val="en-GB"/>
        </w:rPr>
        <w:t xml:space="preserve">: </w:t>
      </w:r>
      <w:r w:rsidR="004D235C">
        <w:rPr>
          <w:lang w:val="en-GB"/>
        </w:rPr>
        <w:t>t</w:t>
      </w:r>
      <w:r w:rsidRPr="00664B92">
        <w:rPr>
          <w:lang w:val="en-GB"/>
        </w:rPr>
        <w:t>ools for risk assessments, calculating ROI, and tracking the investments</w:t>
      </w:r>
      <w:r w:rsidRPr="00664B92">
        <w:rPr>
          <w:b/>
          <w:lang w:val="en-GB"/>
        </w:rPr>
        <w:t>.</w:t>
      </w:r>
    </w:p>
    <w:p w14:paraId="0B3DA7A5" w14:textId="6773C6E5" w:rsidR="00664B92" w:rsidRPr="00664B92" w:rsidRDefault="00664B92" w:rsidP="00664B92">
      <w:pPr>
        <w:rPr>
          <w:b/>
          <w:lang w:val="en-GB"/>
        </w:rPr>
      </w:pPr>
      <w:r w:rsidRPr="00664B92">
        <w:rPr>
          <w:b/>
          <w:bCs/>
          <w:iCs/>
          <w:lang w:val="en-GB"/>
        </w:rPr>
        <w:t>Community forums</w:t>
      </w:r>
      <w:r>
        <w:rPr>
          <w:b/>
          <w:lang w:val="en-GB"/>
        </w:rPr>
        <w:t xml:space="preserve">: </w:t>
      </w:r>
      <w:r w:rsidR="004D235C">
        <w:rPr>
          <w:lang w:val="en-GB"/>
        </w:rPr>
        <w:t xml:space="preserve">a </w:t>
      </w:r>
      <w:r w:rsidRPr="00664B92">
        <w:rPr>
          <w:lang w:val="en-GB"/>
        </w:rPr>
        <w:t xml:space="preserve">platform where the investors help to discuss the opportunities and share </w:t>
      </w:r>
      <w:r w:rsidRPr="00EA65A3">
        <w:rPr>
          <w:lang w:val="en-GB"/>
        </w:rPr>
        <w:t>knowledge.</w:t>
      </w:r>
    </w:p>
    <w:p w14:paraId="78FDB6DD" w14:textId="09C99262" w:rsidR="00664B92" w:rsidRPr="00EA65A3" w:rsidRDefault="00664B92" w:rsidP="00664B92">
      <w:pPr>
        <w:rPr>
          <w:b/>
          <w:sz w:val="24"/>
          <w:szCs w:val="24"/>
          <w:lang w:val="en-GB"/>
        </w:rPr>
      </w:pPr>
      <w:r w:rsidRPr="00EA65A3">
        <w:rPr>
          <w:b/>
          <w:bCs/>
          <w:iCs/>
          <w:sz w:val="24"/>
          <w:szCs w:val="24"/>
          <w:lang w:val="en-GB"/>
        </w:rPr>
        <w:t xml:space="preserve">Developer services </w:t>
      </w:r>
    </w:p>
    <w:p w14:paraId="385D3C7D" w14:textId="1C1711DA" w:rsidR="00664B92" w:rsidRPr="00664B92" w:rsidRDefault="00664B92" w:rsidP="00664B92">
      <w:pPr>
        <w:rPr>
          <w:lang w:val="en-GB"/>
        </w:rPr>
      </w:pPr>
      <w:r w:rsidRPr="00664B92">
        <w:rPr>
          <w:b/>
          <w:bCs/>
          <w:iCs/>
          <w:lang w:val="en-GB"/>
        </w:rPr>
        <w:t>Listing the project</w:t>
      </w:r>
      <w:r w:rsidRPr="00664B92">
        <w:rPr>
          <w:bCs/>
          <w:iCs/>
          <w:lang w:val="en-GB"/>
        </w:rPr>
        <w:t>:</w:t>
      </w:r>
      <w:r w:rsidR="004D235C">
        <w:rPr>
          <w:lang w:val="en-GB"/>
        </w:rPr>
        <w:t xml:space="preserve"> a </w:t>
      </w:r>
      <w:r w:rsidRPr="00664B92">
        <w:rPr>
          <w:lang w:val="en-GB"/>
        </w:rPr>
        <w:t>platform for the developers to list the projects and attract funding.</w:t>
      </w:r>
    </w:p>
    <w:p w14:paraId="6BE65928" w14:textId="02BEAC15" w:rsidR="00664B92" w:rsidRPr="00664B92" w:rsidRDefault="00664B92" w:rsidP="00664B92">
      <w:pPr>
        <w:rPr>
          <w:lang w:val="en-GB"/>
        </w:rPr>
      </w:pPr>
      <w:r w:rsidRPr="00664B92">
        <w:rPr>
          <w:b/>
          <w:bCs/>
          <w:iCs/>
          <w:lang w:val="en-GB"/>
        </w:rPr>
        <w:t>Marketing support:</w:t>
      </w:r>
      <w:r w:rsidR="004D235C">
        <w:rPr>
          <w:lang w:val="en-GB"/>
        </w:rPr>
        <w:t xml:space="preserve"> a</w:t>
      </w:r>
      <w:r w:rsidRPr="00664B92">
        <w:rPr>
          <w:lang w:val="en-GB"/>
        </w:rPr>
        <w:t>ssistance in creating compelling project pitches and materials regarding marketing.</w:t>
      </w:r>
    </w:p>
    <w:p w14:paraId="7EF733E3" w14:textId="1F844256" w:rsidR="00664B92" w:rsidRPr="00664B92" w:rsidRDefault="00664B92" w:rsidP="00664B92">
      <w:pPr>
        <w:rPr>
          <w:lang w:val="en-GB"/>
        </w:rPr>
      </w:pPr>
      <w:r w:rsidRPr="00664B92">
        <w:rPr>
          <w:b/>
          <w:lang w:val="en-GB"/>
        </w:rPr>
        <w:t>Fundamental management:</w:t>
      </w:r>
      <w:r w:rsidR="004D235C">
        <w:rPr>
          <w:lang w:val="en-GB"/>
        </w:rPr>
        <w:t xml:space="preserve"> t</w:t>
      </w:r>
      <w:r w:rsidRPr="00664B92">
        <w:rPr>
          <w:lang w:val="en-GB"/>
        </w:rPr>
        <w:t>ools that are used to manage relations with investors and funding disbursements.</w:t>
      </w:r>
    </w:p>
    <w:p w14:paraId="5D3F0DB4" w14:textId="77777777" w:rsidR="00F54974" w:rsidRDefault="00F54974"/>
    <w:p w14:paraId="3362C8E7" w14:textId="7A5CBF83" w:rsidR="00F54974" w:rsidRDefault="00F54974"/>
    <w:p w14:paraId="532C0671" w14:textId="1AAEAC0E" w:rsidR="00EA65A3" w:rsidRDefault="00EA65A3"/>
    <w:p w14:paraId="3A0B65B6" w14:textId="77777777" w:rsidR="00EA65A3" w:rsidRDefault="00EA65A3"/>
    <w:p w14:paraId="6A536A64" w14:textId="77777777" w:rsidR="00F54974" w:rsidRDefault="00F54974"/>
    <w:p w14:paraId="64911A6E" w14:textId="7B60F299" w:rsidR="009E234C" w:rsidRDefault="00151E2B">
      <w:pPr>
        <w:pStyle w:val="Heading1"/>
        <w:rPr>
          <w:sz w:val="28"/>
          <w:szCs w:val="28"/>
        </w:rPr>
      </w:pPr>
      <w:bookmarkStart w:id="3" w:name="_yjlwo1ibpz4" w:colFirst="0" w:colLast="0"/>
      <w:bookmarkStart w:id="4" w:name="_Toc169117298"/>
      <w:bookmarkEnd w:id="3"/>
      <w:r w:rsidRPr="000012C7">
        <w:rPr>
          <w:sz w:val="28"/>
          <w:szCs w:val="28"/>
        </w:rPr>
        <w:t>2.</w:t>
      </w:r>
      <w:r>
        <w:t xml:space="preserve"> </w:t>
      </w:r>
      <w:r w:rsidRPr="000012C7">
        <w:rPr>
          <w:sz w:val="28"/>
          <w:szCs w:val="28"/>
        </w:rPr>
        <w:t>Legal format of the startup company.</w:t>
      </w:r>
      <w:bookmarkEnd w:id="4"/>
    </w:p>
    <w:p w14:paraId="5C4AB61F" w14:textId="0AD82A75" w:rsidR="00F54974" w:rsidRDefault="00EA65A3">
      <w:r>
        <w:t xml:space="preserve">                   </w:t>
      </w:r>
      <w:r w:rsidR="00664B92" w:rsidRPr="00664B92">
        <w:t xml:space="preserve">To enhance limited liability protection and perceived organisational legitimacy, the startup will be incorporated as a </w:t>
      </w:r>
      <w:r w:rsidR="00771F25">
        <w:t>Private Limited Company (LTD) in the UK.</w:t>
      </w:r>
      <w:r w:rsidR="00664B92" w:rsidRPr="00664B92">
        <w:t xml:space="preserve"> </w:t>
      </w:r>
      <w:r w:rsidRPr="00EA65A3">
        <w:t>This format assists in limiting liabilities that could impact owners and their companies, hence reducing the amount of the owner's assets that are at risk.</w:t>
      </w:r>
      <w:r w:rsidR="00664B92" w:rsidRPr="00664B92">
        <w:t xml:space="preserve"> Moreover, operation under a limited company structure contributes to the business’s successful perception among investors, potential partners, and consumers since it indicates reliability and professionalism (Pfajfar et al., 2022). It also facilitates a relatively easier manner of raising capital from the public through the sale of shares, making it an excellent option for a real estate crowdfunding platform of this nature that seeks to attract many small investors.</w:t>
      </w:r>
    </w:p>
    <w:p w14:paraId="14AB505F" w14:textId="77777777" w:rsidR="00771F25" w:rsidRDefault="00771F25"/>
    <w:p w14:paraId="4FF7A273" w14:textId="35035036" w:rsidR="009E234C" w:rsidRDefault="00151E2B">
      <w:pPr>
        <w:pStyle w:val="Heading1"/>
        <w:rPr>
          <w:sz w:val="28"/>
          <w:szCs w:val="28"/>
        </w:rPr>
      </w:pPr>
      <w:bookmarkStart w:id="5" w:name="_glvqtxjf1cn4" w:colFirst="0" w:colLast="0"/>
      <w:bookmarkStart w:id="6" w:name="_Toc169117299"/>
      <w:bookmarkEnd w:id="5"/>
      <w:r w:rsidRPr="000012C7">
        <w:rPr>
          <w:sz w:val="28"/>
          <w:szCs w:val="28"/>
        </w:rPr>
        <w:t>3.</w:t>
      </w:r>
      <w:r w:rsidR="000012C7">
        <w:t xml:space="preserve"> </w:t>
      </w:r>
      <w:r w:rsidRPr="000012C7">
        <w:rPr>
          <w:sz w:val="28"/>
          <w:szCs w:val="28"/>
        </w:rPr>
        <w:t>Management of the company (Owner, employees and the requirements for external professional service/ experts).</w:t>
      </w:r>
      <w:bookmarkEnd w:id="6"/>
    </w:p>
    <w:p w14:paraId="605B85C5" w14:textId="302BC286" w:rsidR="00664B92" w:rsidRPr="00664B92" w:rsidRDefault="00F66FCF" w:rsidP="00664B92">
      <w:pPr>
        <w:rPr>
          <w:highlight w:val="white"/>
          <w:lang w:val="en-GB"/>
        </w:rPr>
      </w:pPr>
      <w:r>
        <w:t xml:space="preserve">                 </w:t>
      </w:r>
      <w:r w:rsidR="00664B92" w:rsidRPr="00664B92">
        <w:rPr>
          <w:highlight w:val="white"/>
          <w:lang w:val="en-GB"/>
        </w:rPr>
        <w:t xml:space="preserve">The </w:t>
      </w:r>
      <w:r w:rsidR="00664B92" w:rsidRPr="00664B92">
        <w:rPr>
          <w:b/>
          <w:bCs/>
          <w:i/>
          <w:iCs/>
          <w:highlight w:val="white"/>
          <w:lang w:val="en-GB"/>
        </w:rPr>
        <w:t xml:space="preserve">owner </w:t>
      </w:r>
      <w:r w:rsidR="00664B92" w:rsidRPr="00664B92">
        <w:rPr>
          <w:highlight w:val="white"/>
          <w:lang w:val="en-GB"/>
        </w:rPr>
        <w:t xml:space="preserve">of the company should have experience in the real estate, finance, or technology sectors to set up the overall approach of the company and the market know-how. There will be </w:t>
      </w:r>
      <w:r w:rsidR="00664B92" w:rsidRPr="00664B92">
        <w:rPr>
          <w:b/>
          <w:bCs/>
          <w:i/>
          <w:iCs/>
          <w:highlight w:val="white"/>
          <w:lang w:val="en-GB"/>
        </w:rPr>
        <w:t>real estate analysts</w:t>
      </w:r>
      <w:r w:rsidR="00664B92" w:rsidRPr="00664B92">
        <w:rPr>
          <w:highlight w:val="white"/>
          <w:lang w:val="en-GB"/>
        </w:rPr>
        <w:t xml:space="preserve"> who will be responsible for assessing potential investment prospects, customer support to assist prospective investors, </w:t>
      </w:r>
      <w:r w:rsidR="00664B92" w:rsidRPr="00771F25">
        <w:rPr>
          <w:b/>
          <w:highlight w:val="white"/>
          <w:lang w:val="en-GB"/>
        </w:rPr>
        <w:t>marketing professionals</w:t>
      </w:r>
      <w:r w:rsidR="00664B92" w:rsidRPr="00664B92">
        <w:rPr>
          <w:highlight w:val="white"/>
          <w:lang w:val="en-GB"/>
        </w:rPr>
        <w:t xml:space="preserve"> to boost the demand for the platform, and </w:t>
      </w:r>
      <w:r w:rsidR="00664B92" w:rsidRPr="00664B92">
        <w:rPr>
          <w:b/>
          <w:bCs/>
          <w:i/>
          <w:iCs/>
          <w:highlight w:val="white"/>
          <w:lang w:val="en-GB"/>
        </w:rPr>
        <w:t>IT professionals</w:t>
      </w:r>
      <w:r w:rsidR="00664B92" w:rsidRPr="00664B92">
        <w:rPr>
          <w:highlight w:val="white"/>
          <w:lang w:val="en-GB"/>
        </w:rPr>
        <w:t xml:space="preserve"> who will be responsible for the management and growth of the online marketplace. These professional services will help in ensuring compliance and efficient operations of the company, including </w:t>
      </w:r>
      <w:r w:rsidR="00664B92" w:rsidRPr="00664B92">
        <w:rPr>
          <w:b/>
          <w:bCs/>
          <w:i/>
          <w:iCs/>
          <w:highlight w:val="white"/>
          <w:lang w:val="en-GB"/>
        </w:rPr>
        <w:t>accountants</w:t>
      </w:r>
      <w:r w:rsidR="00664B92" w:rsidRPr="00664B92">
        <w:rPr>
          <w:highlight w:val="white"/>
          <w:lang w:val="en-GB"/>
        </w:rPr>
        <w:t xml:space="preserve"> for bookkeeping, legal services to comply with regulations, and </w:t>
      </w:r>
      <w:r w:rsidR="00664B92" w:rsidRPr="00664B92">
        <w:rPr>
          <w:b/>
          <w:bCs/>
          <w:i/>
          <w:iCs/>
          <w:highlight w:val="white"/>
          <w:lang w:val="en-GB"/>
        </w:rPr>
        <w:t xml:space="preserve">consultants </w:t>
      </w:r>
      <w:r w:rsidR="00664B92" w:rsidRPr="00664B92">
        <w:rPr>
          <w:highlight w:val="white"/>
          <w:lang w:val="en-GB"/>
        </w:rPr>
        <w:t>in the law of crowdfunding and real estate. This overall framework of management provides a seamless, effective, and legal outlook on its functioning.</w:t>
      </w:r>
    </w:p>
    <w:p w14:paraId="06419FF2" w14:textId="77777777" w:rsidR="00F54974" w:rsidRDefault="00F54974"/>
    <w:p w14:paraId="65861A16" w14:textId="77777777" w:rsidR="009E234C" w:rsidRPr="000012C7" w:rsidRDefault="00151E2B">
      <w:pPr>
        <w:pStyle w:val="Heading1"/>
        <w:rPr>
          <w:sz w:val="28"/>
          <w:szCs w:val="28"/>
        </w:rPr>
      </w:pPr>
      <w:bookmarkStart w:id="7" w:name="_kgmjqvggcys" w:colFirst="0" w:colLast="0"/>
      <w:bookmarkStart w:id="8" w:name="_Toc169117300"/>
      <w:bookmarkEnd w:id="7"/>
      <w:r w:rsidRPr="000012C7">
        <w:rPr>
          <w:sz w:val="28"/>
          <w:szCs w:val="28"/>
        </w:rPr>
        <w:t>4.</w:t>
      </w:r>
      <w:r>
        <w:t xml:space="preserve"> </w:t>
      </w:r>
      <w:r w:rsidRPr="000012C7">
        <w:rPr>
          <w:sz w:val="28"/>
          <w:szCs w:val="28"/>
        </w:rPr>
        <w:t>Evaluation of the business idea by using the PESTEL analysis model.</w:t>
      </w:r>
      <w:bookmarkEnd w:id="8"/>
    </w:p>
    <w:tbl>
      <w:tblPr>
        <w:tblStyle w:val="a"/>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30"/>
        <w:gridCol w:w="7230"/>
      </w:tblGrid>
      <w:tr w:rsidR="009E234C" w14:paraId="159B57D1" w14:textId="77777777" w:rsidTr="00193FF4">
        <w:trPr>
          <w:jc w:val="center"/>
        </w:trPr>
        <w:tc>
          <w:tcPr>
            <w:tcW w:w="2130" w:type="dxa"/>
            <w:shd w:val="clear" w:color="auto" w:fill="auto"/>
            <w:tcMar>
              <w:top w:w="100" w:type="dxa"/>
              <w:left w:w="100" w:type="dxa"/>
              <w:bottom w:w="100" w:type="dxa"/>
              <w:right w:w="100" w:type="dxa"/>
            </w:tcMar>
          </w:tcPr>
          <w:p w14:paraId="64A3B0B5" w14:textId="77777777" w:rsidR="009E234C" w:rsidRDefault="00151E2B">
            <w:pPr>
              <w:widowControl w:val="0"/>
              <w:pBdr>
                <w:top w:val="nil"/>
                <w:left w:val="nil"/>
                <w:bottom w:val="nil"/>
                <w:right w:val="nil"/>
                <w:between w:val="nil"/>
              </w:pBdr>
              <w:jc w:val="center"/>
              <w:rPr>
                <w:b/>
                <w:i/>
              </w:rPr>
            </w:pPr>
            <w:r>
              <w:rPr>
                <w:b/>
                <w:i/>
              </w:rPr>
              <w:t xml:space="preserve">Factors </w:t>
            </w:r>
          </w:p>
        </w:tc>
        <w:tc>
          <w:tcPr>
            <w:tcW w:w="7230" w:type="dxa"/>
            <w:shd w:val="clear" w:color="auto" w:fill="auto"/>
            <w:tcMar>
              <w:top w:w="100" w:type="dxa"/>
              <w:left w:w="100" w:type="dxa"/>
              <w:bottom w:w="100" w:type="dxa"/>
              <w:right w:w="100" w:type="dxa"/>
            </w:tcMar>
          </w:tcPr>
          <w:p w14:paraId="76BEED1D" w14:textId="77777777" w:rsidR="009E234C" w:rsidRDefault="00151E2B">
            <w:pPr>
              <w:widowControl w:val="0"/>
              <w:pBdr>
                <w:top w:val="nil"/>
                <w:left w:val="nil"/>
                <w:bottom w:val="nil"/>
                <w:right w:val="nil"/>
                <w:between w:val="nil"/>
              </w:pBdr>
              <w:jc w:val="center"/>
              <w:rPr>
                <w:b/>
                <w:i/>
              </w:rPr>
            </w:pPr>
            <w:r>
              <w:rPr>
                <w:b/>
                <w:i/>
              </w:rPr>
              <w:t xml:space="preserve">Description </w:t>
            </w:r>
          </w:p>
        </w:tc>
      </w:tr>
      <w:tr w:rsidR="009E234C" w14:paraId="2B086F88" w14:textId="77777777" w:rsidTr="00193FF4">
        <w:trPr>
          <w:jc w:val="center"/>
        </w:trPr>
        <w:tc>
          <w:tcPr>
            <w:tcW w:w="2130" w:type="dxa"/>
            <w:shd w:val="clear" w:color="auto" w:fill="auto"/>
            <w:tcMar>
              <w:top w:w="100" w:type="dxa"/>
              <w:left w:w="100" w:type="dxa"/>
              <w:bottom w:w="100" w:type="dxa"/>
              <w:right w:w="100" w:type="dxa"/>
            </w:tcMar>
          </w:tcPr>
          <w:p w14:paraId="03849E28" w14:textId="77777777" w:rsidR="009E234C" w:rsidRPr="002E699E" w:rsidRDefault="00151E2B">
            <w:pPr>
              <w:widowControl w:val="0"/>
              <w:pBdr>
                <w:top w:val="nil"/>
                <w:left w:val="nil"/>
                <w:bottom w:val="nil"/>
                <w:right w:val="nil"/>
                <w:between w:val="nil"/>
              </w:pBdr>
              <w:rPr>
                <w:b/>
              </w:rPr>
            </w:pPr>
            <w:r w:rsidRPr="002E699E">
              <w:rPr>
                <w:b/>
              </w:rPr>
              <w:t xml:space="preserve">Political </w:t>
            </w:r>
          </w:p>
        </w:tc>
        <w:tc>
          <w:tcPr>
            <w:tcW w:w="7230" w:type="dxa"/>
            <w:shd w:val="clear" w:color="auto" w:fill="auto"/>
            <w:tcMar>
              <w:top w:w="100" w:type="dxa"/>
              <w:left w:w="100" w:type="dxa"/>
              <w:bottom w:w="100" w:type="dxa"/>
              <w:right w:w="100" w:type="dxa"/>
            </w:tcMar>
          </w:tcPr>
          <w:p w14:paraId="11B424F9" w14:textId="77777777" w:rsidR="009E234C" w:rsidRDefault="00151E2B">
            <w:pPr>
              <w:widowControl w:val="0"/>
              <w:numPr>
                <w:ilvl w:val="0"/>
                <w:numId w:val="1"/>
              </w:numPr>
              <w:pBdr>
                <w:top w:val="nil"/>
                <w:left w:val="nil"/>
                <w:bottom w:val="nil"/>
                <w:right w:val="nil"/>
                <w:between w:val="nil"/>
              </w:pBdr>
            </w:pPr>
            <w:r>
              <w:t xml:space="preserve">Since online crowdfunding for stocks is continuously regulated in the UK, "setting up deals in expenditures" is a task that calls for authorization from the </w:t>
            </w:r>
            <w:r>
              <w:rPr>
                <w:b/>
                <w:i/>
              </w:rPr>
              <w:t>“Financial Services and Markets Act, 2000 (Regulated Activities) Order 2001's Article 25(1)”</w:t>
            </w:r>
            <w:r>
              <w:t xml:space="preserve"> (Howard Kennedy, 2024). As such, the owner of a crowdfunding website must obtain authorization from the </w:t>
            </w:r>
            <w:r>
              <w:rPr>
                <w:b/>
                <w:i/>
              </w:rPr>
              <w:t>“Financial Conduct Authority (FCA)”</w:t>
            </w:r>
            <w:r>
              <w:t>.</w:t>
            </w:r>
          </w:p>
          <w:p w14:paraId="46FB2006" w14:textId="2AC01471" w:rsidR="009E234C" w:rsidRDefault="00151E2B" w:rsidP="00A86D82">
            <w:pPr>
              <w:widowControl w:val="0"/>
              <w:numPr>
                <w:ilvl w:val="0"/>
                <w:numId w:val="1"/>
              </w:numPr>
              <w:pBdr>
                <w:top w:val="nil"/>
                <w:left w:val="nil"/>
                <w:bottom w:val="nil"/>
                <w:right w:val="nil"/>
                <w:between w:val="nil"/>
              </w:pBdr>
            </w:pPr>
            <w:r>
              <w:t xml:space="preserve">Global real estate crowdsourcing is anticipated to expand at a </w:t>
            </w:r>
            <w:r>
              <w:rPr>
                <w:b/>
                <w:i/>
              </w:rPr>
              <w:t>33.4% compound annual growth rate (CAGR)</w:t>
            </w:r>
            <w:r>
              <w:t xml:space="preserve"> from 2020 to 2028. At this expansion rate, the total value of the European Union's REC market, which is presently estimated to be worth </w:t>
            </w:r>
            <w:r>
              <w:rPr>
                <w:b/>
                <w:i/>
              </w:rPr>
              <w:t>EUR 7 billion, would reach EUR 93.65 billion by 2028</w:t>
            </w:r>
            <w:r>
              <w:t xml:space="preserve"> (Tech, 2021). Markets are concentrated in Germany, </w:t>
            </w:r>
            <w:r w:rsidR="00A86D82">
              <w:t xml:space="preserve">the </w:t>
            </w:r>
            <w:r>
              <w:t>UK, France, Italy and Spain</w:t>
            </w:r>
            <w:r w:rsidR="00A86D82">
              <w:t xml:space="preserve"> </w:t>
            </w:r>
            <w:r>
              <w:t xml:space="preserve">in Europe. The United Kingdom </w:t>
            </w:r>
            <w:r w:rsidR="00A86D82">
              <w:t>held</w:t>
            </w:r>
            <w:r>
              <w:t xml:space="preserve"> the largest share </w:t>
            </w:r>
            <w:r>
              <w:rPr>
                <w:b/>
                <w:i/>
              </w:rPr>
              <w:t>(41.5%)</w:t>
            </w:r>
            <w:r>
              <w:t xml:space="preserve"> of the European market in 2019, but other countries are catching up swiftly.</w:t>
            </w:r>
          </w:p>
        </w:tc>
      </w:tr>
      <w:tr w:rsidR="009E234C" w14:paraId="77FADB29" w14:textId="77777777" w:rsidTr="00193FF4">
        <w:trPr>
          <w:jc w:val="center"/>
        </w:trPr>
        <w:tc>
          <w:tcPr>
            <w:tcW w:w="2130" w:type="dxa"/>
            <w:shd w:val="clear" w:color="auto" w:fill="auto"/>
            <w:tcMar>
              <w:top w:w="100" w:type="dxa"/>
              <w:left w:w="100" w:type="dxa"/>
              <w:bottom w:w="100" w:type="dxa"/>
              <w:right w:w="100" w:type="dxa"/>
            </w:tcMar>
          </w:tcPr>
          <w:p w14:paraId="7DAB76B7" w14:textId="2747E5A0" w:rsidR="009E234C" w:rsidRPr="002E699E" w:rsidRDefault="00A86D82" w:rsidP="00A86D82">
            <w:pPr>
              <w:widowControl w:val="0"/>
              <w:pBdr>
                <w:top w:val="nil"/>
                <w:left w:val="nil"/>
                <w:bottom w:val="nil"/>
                <w:right w:val="nil"/>
                <w:between w:val="nil"/>
              </w:pBdr>
              <w:rPr>
                <w:b/>
              </w:rPr>
            </w:pPr>
            <w:r w:rsidRPr="002E699E">
              <w:rPr>
                <w:b/>
              </w:rPr>
              <w:t>Economical</w:t>
            </w:r>
            <w:r w:rsidR="00151E2B" w:rsidRPr="002E699E">
              <w:rPr>
                <w:b/>
              </w:rPr>
              <w:t xml:space="preserve"> </w:t>
            </w:r>
          </w:p>
        </w:tc>
        <w:tc>
          <w:tcPr>
            <w:tcW w:w="7230" w:type="dxa"/>
            <w:shd w:val="clear" w:color="auto" w:fill="auto"/>
            <w:tcMar>
              <w:top w:w="100" w:type="dxa"/>
              <w:left w:w="100" w:type="dxa"/>
              <w:bottom w:w="100" w:type="dxa"/>
              <w:right w:w="100" w:type="dxa"/>
            </w:tcMar>
          </w:tcPr>
          <w:p w14:paraId="35F6412B" w14:textId="237B5EEB" w:rsidR="009E234C" w:rsidRDefault="00151E2B">
            <w:pPr>
              <w:widowControl w:val="0"/>
              <w:numPr>
                <w:ilvl w:val="0"/>
                <w:numId w:val="4"/>
              </w:numPr>
              <w:pBdr>
                <w:top w:val="nil"/>
                <w:left w:val="nil"/>
                <w:bottom w:val="nil"/>
                <w:right w:val="nil"/>
                <w:between w:val="nil"/>
              </w:pBdr>
            </w:pPr>
            <w:r>
              <w:t xml:space="preserve">The financial asset class's investors in the UK want to augment their quarterly investment choices by a mean of </w:t>
            </w:r>
            <w:r>
              <w:rPr>
                <w:b/>
                <w:i/>
              </w:rPr>
              <w:t>11%, with Gen-Z</w:t>
            </w:r>
            <w:r>
              <w:t xml:space="preserve"> investors increasing their allocation to </w:t>
            </w:r>
            <w:r>
              <w:rPr>
                <w:b/>
                <w:i/>
              </w:rPr>
              <w:t>13%</w:t>
            </w:r>
            <w:r>
              <w:t xml:space="preserve"> (Royal mint, 2023). </w:t>
            </w:r>
            <w:r>
              <w:rPr>
                <w:b/>
                <w:i/>
              </w:rPr>
              <w:t>36%</w:t>
            </w:r>
            <w:r>
              <w:t xml:space="preserve"> of the people who hadn't </w:t>
            </w:r>
            <w:r w:rsidR="00A86D82">
              <w:t>invested</w:t>
            </w:r>
            <w:r>
              <w:t xml:space="preserve"> in an asset category in the past stated they might do so in the </w:t>
            </w:r>
            <w:r w:rsidR="00A86D82">
              <w:t>not-too-distant</w:t>
            </w:r>
            <w:r>
              <w:t xml:space="preserve"> future.</w:t>
            </w:r>
          </w:p>
          <w:p w14:paraId="432EDDAC" w14:textId="77777777" w:rsidR="009E234C" w:rsidRDefault="00151E2B">
            <w:pPr>
              <w:widowControl w:val="0"/>
              <w:numPr>
                <w:ilvl w:val="0"/>
                <w:numId w:val="4"/>
              </w:numPr>
            </w:pPr>
            <w:r>
              <w:t xml:space="preserve">Other investments are crucial since they may yield returns higher than those of index-tracking funds, diversify a portfolio to lower risk, and frequently provide owners with cash flows (Shojin, 2022). </w:t>
            </w:r>
          </w:p>
        </w:tc>
      </w:tr>
      <w:tr w:rsidR="009E234C" w14:paraId="2D77797B" w14:textId="77777777" w:rsidTr="00193FF4">
        <w:trPr>
          <w:jc w:val="center"/>
        </w:trPr>
        <w:tc>
          <w:tcPr>
            <w:tcW w:w="2130" w:type="dxa"/>
            <w:shd w:val="clear" w:color="auto" w:fill="auto"/>
            <w:tcMar>
              <w:top w:w="100" w:type="dxa"/>
              <w:left w:w="100" w:type="dxa"/>
              <w:bottom w:w="100" w:type="dxa"/>
              <w:right w:w="100" w:type="dxa"/>
            </w:tcMar>
          </w:tcPr>
          <w:p w14:paraId="6DB69F44" w14:textId="77777777" w:rsidR="009E234C" w:rsidRPr="002E699E" w:rsidRDefault="00151E2B">
            <w:pPr>
              <w:widowControl w:val="0"/>
              <w:pBdr>
                <w:top w:val="nil"/>
                <w:left w:val="nil"/>
                <w:bottom w:val="nil"/>
                <w:right w:val="nil"/>
                <w:between w:val="nil"/>
              </w:pBdr>
              <w:rPr>
                <w:b/>
              </w:rPr>
            </w:pPr>
            <w:r w:rsidRPr="002E699E">
              <w:rPr>
                <w:b/>
              </w:rPr>
              <w:t xml:space="preserve">Social </w:t>
            </w:r>
          </w:p>
        </w:tc>
        <w:tc>
          <w:tcPr>
            <w:tcW w:w="7230" w:type="dxa"/>
            <w:shd w:val="clear" w:color="auto" w:fill="auto"/>
            <w:tcMar>
              <w:top w:w="100" w:type="dxa"/>
              <w:left w:w="100" w:type="dxa"/>
              <w:bottom w:w="100" w:type="dxa"/>
              <w:right w:w="100" w:type="dxa"/>
            </w:tcMar>
          </w:tcPr>
          <w:p w14:paraId="1208D8C9" w14:textId="77777777" w:rsidR="009E234C" w:rsidRDefault="00151E2B">
            <w:pPr>
              <w:widowControl w:val="0"/>
              <w:numPr>
                <w:ilvl w:val="0"/>
                <w:numId w:val="6"/>
              </w:numPr>
            </w:pPr>
            <w:r>
              <w:t>This year, as foreign investors inject money back into the region's troubled real estate market, the United Kingdom appears set to spearhead a real estate revival throughout Europe (CNBC, 2024). According to predictions from Knight Frank, the U.K. is now expected to draw one-third, or over</w:t>
            </w:r>
            <w:r>
              <w:rPr>
                <w:b/>
                <w:i/>
              </w:rPr>
              <w:t xml:space="preserve"> $13 billion,</w:t>
            </w:r>
            <w:r>
              <w:t xml:space="preserve"> of all investment that comes from the United States solely in 2024. The </w:t>
            </w:r>
            <w:r>
              <w:rPr>
                <w:b/>
                <w:i/>
              </w:rPr>
              <w:t>Netherlands, Germany, and Spain</w:t>
            </w:r>
            <w:r>
              <w:t xml:space="preserve"> are expected to emerge as the next largest recipients of US aid.</w:t>
            </w:r>
          </w:p>
          <w:p w14:paraId="78714BD7" w14:textId="77777777" w:rsidR="009E234C" w:rsidRDefault="00151E2B">
            <w:pPr>
              <w:widowControl w:val="0"/>
              <w:numPr>
                <w:ilvl w:val="0"/>
                <w:numId w:val="6"/>
              </w:numPr>
            </w:pPr>
            <w:r>
              <w:t xml:space="preserve">Co-living is a desirable option for homeowners and entrepreneurs since it solves the affordability of housing and social interaction (Mooreks, 2023). The concept of co- therefore fits into the ESG agenda's social component, which is essential to every real estate company. </w:t>
            </w:r>
          </w:p>
        </w:tc>
      </w:tr>
      <w:tr w:rsidR="009E234C" w14:paraId="787A5E05" w14:textId="77777777" w:rsidTr="00193FF4">
        <w:trPr>
          <w:jc w:val="center"/>
        </w:trPr>
        <w:tc>
          <w:tcPr>
            <w:tcW w:w="2130" w:type="dxa"/>
            <w:shd w:val="clear" w:color="auto" w:fill="auto"/>
            <w:tcMar>
              <w:top w:w="100" w:type="dxa"/>
              <w:left w:w="100" w:type="dxa"/>
              <w:bottom w:w="100" w:type="dxa"/>
              <w:right w:w="100" w:type="dxa"/>
            </w:tcMar>
          </w:tcPr>
          <w:p w14:paraId="5B7C3F9F" w14:textId="77777777" w:rsidR="009E234C" w:rsidRPr="002E699E" w:rsidRDefault="00151E2B">
            <w:pPr>
              <w:widowControl w:val="0"/>
              <w:pBdr>
                <w:top w:val="nil"/>
                <w:left w:val="nil"/>
                <w:bottom w:val="nil"/>
                <w:right w:val="nil"/>
                <w:between w:val="nil"/>
              </w:pBdr>
              <w:rPr>
                <w:b/>
              </w:rPr>
            </w:pPr>
            <w:r w:rsidRPr="002E699E">
              <w:rPr>
                <w:b/>
              </w:rPr>
              <w:t xml:space="preserve">Technological </w:t>
            </w:r>
          </w:p>
        </w:tc>
        <w:tc>
          <w:tcPr>
            <w:tcW w:w="7230" w:type="dxa"/>
            <w:shd w:val="clear" w:color="auto" w:fill="auto"/>
            <w:tcMar>
              <w:top w:w="100" w:type="dxa"/>
              <w:left w:w="100" w:type="dxa"/>
              <w:bottom w:w="100" w:type="dxa"/>
              <w:right w:w="100" w:type="dxa"/>
            </w:tcMar>
          </w:tcPr>
          <w:p w14:paraId="48A18BBB" w14:textId="5D2B9367" w:rsidR="009E234C" w:rsidRDefault="00BA690C" w:rsidP="00BA690C">
            <w:pPr>
              <w:widowControl w:val="0"/>
              <w:numPr>
                <w:ilvl w:val="0"/>
                <w:numId w:val="5"/>
              </w:numPr>
            </w:pPr>
            <w:r w:rsidRPr="00BA690C">
              <w:t>Investment in real estate has become more accessible thanks to fintech, enabling participation from individuals in every income category. For instance, crowdfunding websites give investors the chance to combine their funds and gain access to real estate assets that were previously unattainable (Finance Magnates, 2023). The investment base is expanded, and entry barriers may be lowered as a result of this transparency. </w:t>
            </w:r>
          </w:p>
        </w:tc>
      </w:tr>
      <w:tr w:rsidR="009E234C" w14:paraId="0ED2A371" w14:textId="77777777" w:rsidTr="00193FF4">
        <w:trPr>
          <w:jc w:val="center"/>
        </w:trPr>
        <w:tc>
          <w:tcPr>
            <w:tcW w:w="2130" w:type="dxa"/>
            <w:shd w:val="clear" w:color="auto" w:fill="auto"/>
            <w:tcMar>
              <w:top w:w="100" w:type="dxa"/>
              <w:left w:w="100" w:type="dxa"/>
              <w:bottom w:w="100" w:type="dxa"/>
              <w:right w:w="100" w:type="dxa"/>
            </w:tcMar>
          </w:tcPr>
          <w:p w14:paraId="0975E4E6" w14:textId="77777777" w:rsidR="009E234C" w:rsidRPr="002E699E" w:rsidRDefault="00151E2B">
            <w:pPr>
              <w:widowControl w:val="0"/>
              <w:pBdr>
                <w:top w:val="nil"/>
                <w:left w:val="nil"/>
                <w:bottom w:val="nil"/>
                <w:right w:val="nil"/>
                <w:between w:val="nil"/>
              </w:pBdr>
              <w:rPr>
                <w:b/>
              </w:rPr>
            </w:pPr>
            <w:r w:rsidRPr="002E699E">
              <w:rPr>
                <w:b/>
              </w:rPr>
              <w:t xml:space="preserve">Environmental </w:t>
            </w:r>
          </w:p>
        </w:tc>
        <w:tc>
          <w:tcPr>
            <w:tcW w:w="7230" w:type="dxa"/>
            <w:shd w:val="clear" w:color="auto" w:fill="auto"/>
            <w:tcMar>
              <w:top w:w="100" w:type="dxa"/>
              <w:left w:w="100" w:type="dxa"/>
              <w:bottom w:w="100" w:type="dxa"/>
              <w:right w:w="100" w:type="dxa"/>
            </w:tcMar>
          </w:tcPr>
          <w:p w14:paraId="0ADB016F" w14:textId="673B8E9F" w:rsidR="009E234C" w:rsidRDefault="00BA690C" w:rsidP="00BA690C">
            <w:pPr>
              <w:widowControl w:val="0"/>
              <w:numPr>
                <w:ilvl w:val="0"/>
                <w:numId w:val="7"/>
              </w:numPr>
            </w:pPr>
            <w:r w:rsidRPr="00BA690C">
              <w:t>Sustainable real estate is quickly becoming more and more well-known for its environmentally and resource-conscious features. It is impossible to overestimate the importance of this industry in the present market (Beech Holdings, 2024). Firms such as Beech Holdings, which specialises in high-end, environmentally sustainable flats and concentrates on restoring Grade-II-listed structures using cutting-edge sustainable technology, are prime examples of this new para</w:t>
            </w:r>
            <w:r>
              <w:t>digm in real estate development</w:t>
            </w:r>
            <w:r w:rsidR="00151E2B">
              <w:t>.</w:t>
            </w:r>
          </w:p>
        </w:tc>
      </w:tr>
      <w:tr w:rsidR="009E234C" w14:paraId="299C4C6B" w14:textId="77777777" w:rsidTr="00193FF4">
        <w:trPr>
          <w:jc w:val="center"/>
        </w:trPr>
        <w:tc>
          <w:tcPr>
            <w:tcW w:w="2130" w:type="dxa"/>
            <w:shd w:val="clear" w:color="auto" w:fill="auto"/>
            <w:tcMar>
              <w:top w:w="100" w:type="dxa"/>
              <w:left w:w="100" w:type="dxa"/>
              <w:bottom w:w="100" w:type="dxa"/>
              <w:right w:w="100" w:type="dxa"/>
            </w:tcMar>
          </w:tcPr>
          <w:p w14:paraId="41D4EEA8" w14:textId="77777777" w:rsidR="009E234C" w:rsidRPr="002E699E" w:rsidRDefault="00151E2B">
            <w:pPr>
              <w:widowControl w:val="0"/>
              <w:pBdr>
                <w:top w:val="nil"/>
                <w:left w:val="nil"/>
                <w:bottom w:val="nil"/>
                <w:right w:val="nil"/>
                <w:between w:val="nil"/>
              </w:pBdr>
              <w:rPr>
                <w:b/>
              </w:rPr>
            </w:pPr>
            <w:r w:rsidRPr="002E699E">
              <w:rPr>
                <w:b/>
              </w:rPr>
              <w:t xml:space="preserve">Legal </w:t>
            </w:r>
          </w:p>
        </w:tc>
        <w:tc>
          <w:tcPr>
            <w:tcW w:w="7230" w:type="dxa"/>
            <w:shd w:val="clear" w:color="auto" w:fill="auto"/>
            <w:tcMar>
              <w:top w:w="100" w:type="dxa"/>
              <w:left w:w="100" w:type="dxa"/>
              <w:bottom w:w="100" w:type="dxa"/>
              <w:right w:w="100" w:type="dxa"/>
            </w:tcMar>
          </w:tcPr>
          <w:p w14:paraId="215E0EE5" w14:textId="77777777" w:rsidR="00BA690C" w:rsidRPr="00BA690C" w:rsidRDefault="00BA690C" w:rsidP="00BA690C">
            <w:pPr>
              <w:widowControl w:val="0"/>
              <w:numPr>
                <w:ilvl w:val="0"/>
                <w:numId w:val="2"/>
              </w:numPr>
            </w:pPr>
            <w:r w:rsidRPr="00BA690C">
              <w:rPr>
                <w:b/>
                <w:i/>
              </w:rPr>
              <w:t xml:space="preserve">“The Law of Property Act 1925” and the “Land Registration Act 2002” </w:t>
            </w:r>
            <w:r w:rsidRPr="00BA690C">
              <w:t>are the two primary pieces of law that support real estate in Wales and England (ICLG, 2023).</w:t>
            </w:r>
          </w:p>
          <w:p w14:paraId="306E26E2" w14:textId="77777777" w:rsidR="00BA690C" w:rsidRPr="00BA690C" w:rsidRDefault="00BA690C" w:rsidP="00BA690C">
            <w:pPr>
              <w:widowControl w:val="0"/>
              <w:numPr>
                <w:ilvl w:val="0"/>
                <w:numId w:val="2"/>
              </w:numPr>
              <w:rPr>
                <w:b/>
                <w:i/>
              </w:rPr>
            </w:pPr>
            <w:r w:rsidRPr="00BA690C">
              <w:t>To update and streamline pre-existing real estate legislation, the “</w:t>
            </w:r>
            <w:r w:rsidRPr="00BA690C">
              <w:rPr>
                <w:b/>
              </w:rPr>
              <w:t>1925 Act</w:t>
            </w:r>
            <w:r w:rsidRPr="00BA690C">
              <w:t>” brought forth significant changes. It covers a broad range of topics and develops fundamental ideas, including the legal recognition of estates and rights to land</w:t>
            </w:r>
            <w:r w:rsidRPr="00BA690C">
              <w:rPr>
                <w:b/>
                <w:i/>
              </w:rPr>
              <w:t>.</w:t>
            </w:r>
          </w:p>
          <w:p w14:paraId="12D5A80A" w14:textId="4D9D52CE" w:rsidR="009E234C" w:rsidRDefault="009E234C" w:rsidP="00BA690C">
            <w:pPr>
              <w:widowControl w:val="0"/>
              <w:pBdr>
                <w:top w:val="nil"/>
                <w:left w:val="nil"/>
                <w:bottom w:val="nil"/>
                <w:right w:val="nil"/>
                <w:between w:val="nil"/>
              </w:pBdr>
              <w:ind w:left="720"/>
            </w:pPr>
          </w:p>
        </w:tc>
      </w:tr>
    </w:tbl>
    <w:p w14:paraId="6C2C74F8" w14:textId="77777777" w:rsidR="009E234C" w:rsidRDefault="00151E2B">
      <w:pPr>
        <w:jc w:val="center"/>
        <w:rPr>
          <w:b/>
        </w:rPr>
      </w:pPr>
      <w:r>
        <w:rPr>
          <w:b/>
        </w:rPr>
        <w:t xml:space="preserve">Table 1: PESTEL analysis </w:t>
      </w:r>
    </w:p>
    <w:p w14:paraId="308B2F58" w14:textId="66946223" w:rsidR="002E1F2C" w:rsidRDefault="00151E2B" w:rsidP="000012C7">
      <w:pPr>
        <w:jc w:val="center"/>
      </w:pPr>
      <w:r>
        <w:t>(Source: Self-developed)</w:t>
      </w:r>
    </w:p>
    <w:p w14:paraId="47701067" w14:textId="30EC6487" w:rsidR="00F54974" w:rsidRDefault="00F54974">
      <w:pPr>
        <w:jc w:val="center"/>
      </w:pPr>
    </w:p>
    <w:p w14:paraId="77D96894" w14:textId="43C9D808" w:rsidR="00F66FCF" w:rsidRDefault="00F66FCF">
      <w:pPr>
        <w:jc w:val="center"/>
      </w:pPr>
    </w:p>
    <w:p w14:paraId="3171899E" w14:textId="53D1B90F" w:rsidR="00F66FCF" w:rsidRDefault="00F66FCF">
      <w:pPr>
        <w:jc w:val="center"/>
      </w:pPr>
    </w:p>
    <w:p w14:paraId="2FB55123" w14:textId="5120235C" w:rsidR="00F66FCF" w:rsidRDefault="00F66FCF">
      <w:pPr>
        <w:jc w:val="center"/>
      </w:pPr>
    </w:p>
    <w:p w14:paraId="58F957C9" w14:textId="77777777" w:rsidR="00F66FCF" w:rsidRDefault="00F66FCF">
      <w:pPr>
        <w:jc w:val="center"/>
      </w:pPr>
    </w:p>
    <w:p w14:paraId="3658A1FD" w14:textId="3B13B6C3" w:rsidR="009E234C" w:rsidRPr="000012C7" w:rsidRDefault="00742708">
      <w:pPr>
        <w:pStyle w:val="Heading1"/>
        <w:rPr>
          <w:sz w:val="28"/>
          <w:szCs w:val="28"/>
        </w:rPr>
      </w:pPr>
      <w:bookmarkStart w:id="9" w:name="_l2zt3zy1pota" w:colFirst="0" w:colLast="0"/>
      <w:bookmarkStart w:id="10" w:name="_Toc169117301"/>
      <w:bookmarkEnd w:id="9"/>
      <w:r w:rsidRPr="000012C7">
        <w:rPr>
          <w:sz w:val="28"/>
          <w:szCs w:val="28"/>
        </w:rPr>
        <w:t>5. The application of the 4Ps of marketing to the</w:t>
      </w:r>
      <w:r w:rsidR="00151E2B" w:rsidRPr="000012C7">
        <w:rPr>
          <w:sz w:val="28"/>
          <w:szCs w:val="28"/>
        </w:rPr>
        <w:t xml:space="preserve"> business </w:t>
      </w:r>
      <w:bookmarkEnd w:id="10"/>
      <w:r w:rsidRPr="000012C7">
        <w:rPr>
          <w:sz w:val="28"/>
          <w:szCs w:val="28"/>
        </w:rPr>
        <w:t>plan</w:t>
      </w:r>
      <w:r w:rsidR="002E699E" w:rsidRPr="000012C7">
        <w:rPr>
          <w:sz w:val="28"/>
          <w:szCs w:val="28"/>
        </w:rPr>
        <w:t>.</w:t>
      </w: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75"/>
        <w:gridCol w:w="7185"/>
      </w:tblGrid>
      <w:tr w:rsidR="009E234C" w14:paraId="4318BDE0" w14:textId="77777777" w:rsidTr="00D77C53">
        <w:trPr>
          <w:jc w:val="center"/>
        </w:trPr>
        <w:tc>
          <w:tcPr>
            <w:tcW w:w="2175" w:type="dxa"/>
            <w:shd w:val="clear" w:color="auto" w:fill="auto"/>
            <w:tcMar>
              <w:top w:w="100" w:type="dxa"/>
              <w:left w:w="100" w:type="dxa"/>
              <w:bottom w:w="100" w:type="dxa"/>
              <w:right w:w="100" w:type="dxa"/>
            </w:tcMar>
          </w:tcPr>
          <w:p w14:paraId="014B2ACD" w14:textId="77777777" w:rsidR="009E234C" w:rsidRDefault="00151E2B">
            <w:pPr>
              <w:widowControl w:val="0"/>
              <w:pBdr>
                <w:top w:val="nil"/>
                <w:left w:val="nil"/>
                <w:bottom w:val="nil"/>
                <w:right w:val="nil"/>
                <w:between w:val="nil"/>
              </w:pBdr>
              <w:rPr>
                <w:b/>
                <w:i/>
              </w:rPr>
            </w:pPr>
            <w:r>
              <w:rPr>
                <w:b/>
                <w:i/>
              </w:rPr>
              <w:t xml:space="preserve">Product </w:t>
            </w:r>
          </w:p>
        </w:tc>
        <w:tc>
          <w:tcPr>
            <w:tcW w:w="7185" w:type="dxa"/>
            <w:shd w:val="clear" w:color="auto" w:fill="auto"/>
            <w:tcMar>
              <w:top w:w="100" w:type="dxa"/>
              <w:left w:w="100" w:type="dxa"/>
              <w:bottom w:w="100" w:type="dxa"/>
              <w:right w:w="100" w:type="dxa"/>
            </w:tcMar>
          </w:tcPr>
          <w:p w14:paraId="3BB5A8C7" w14:textId="663528A4" w:rsidR="009E234C" w:rsidRDefault="00F66FCF" w:rsidP="00A86D82">
            <w:pPr>
              <w:widowControl w:val="0"/>
              <w:pBdr>
                <w:top w:val="nil"/>
                <w:left w:val="nil"/>
                <w:bottom w:val="nil"/>
                <w:right w:val="nil"/>
                <w:between w:val="nil"/>
              </w:pBdr>
            </w:pPr>
            <w:r w:rsidRPr="00F66FCF">
              <w:t xml:space="preserve">The </w:t>
            </w:r>
            <w:r w:rsidR="005B2669" w:rsidRPr="00F66FCF">
              <w:rPr>
                <w:b/>
              </w:rPr>
              <w:t>Real Estate Crowdfunding Marketplace</w:t>
            </w:r>
            <w:r w:rsidR="005B2669" w:rsidRPr="005B2669">
              <w:t xml:space="preserve"> is an easy-to-use internet-based platform that opens the opportunity to invest in real estate to common people. It presents a rich spectrum of investment in areas like commercial property investment, residential property investment, and special investment initiatives (Tall et al. 2021). The platform has several services that entitle investors and developers, and these services are explained below. For investors, it provides information for newbies that includes webinars, articles, and other guides on real estate investing and other complex investment platforms and instruments, which includes risk assessment, returns on investment, and investment tracking.</w:t>
            </w:r>
          </w:p>
        </w:tc>
      </w:tr>
      <w:tr w:rsidR="009E234C" w14:paraId="173F53E6" w14:textId="77777777" w:rsidTr="00D77C53">
        <w:trPr>
          <w:jc w:val="center"/>
        </w:trPr>
        <w:tc>
          <w:tcPr>
            <w:tcW w:w="2175" w:type="dxa"/>
            <w:shd w:val="clear" w:color="auto" w:fill="auto"/>
            <w:tcMar>
              <w:top w:w="100" w:type="dxa"/>
              <w:left w:w="100" w:type="dxa"/>
              <w:bottom w:w="100" w:type="dxa"/>
              <w:right w:w="100" w:type="dxa"/>
            </w:tcMar>
          </w:tcPr>
          <w:p w14:paraId="273908AD" w14:textId="77777777" w:rsidR="009E234C" w:rsidRDefault="00151E2B">
            <w:pPr>
              <w:widowControl w:val="0"/>
              <w:pBdr>
                <w:top w:val="nil"/>
                <w:left w:val="nil"/>
                <w:bottom w:val="nil"/>
                <w:right w:val="nil"/>
                <w:between w:val="nil"/>
              </w:pBdr>
              <w:rPr>
                <w:b/>
                <w:i/>
              </w:rPr>
            </w:pPr>
            <w:r>
              <w:rPr>
                <w:b/>
                <w:i/>
              </w:rPr>
              <w:t xml:space="preserve">Price </w:t>
            </w:r>
          </w:p>
        </w:tc>
        <w:tc>
          <w:tcPr>
            <w:tcW w:w="7185" w:type="dxa"/>
            <w:shd w:val="clear" w:color="auto" w:fill="auto"/>
            <w:tcMar>
              <w:top w:w="100" w:type="dxa"/>
              <w:left w:w="100" w:type="dxa"/>
              <w:bottom w:w="100" w:type="dxa"/>
              <w:right w:w="100" w:type="dxa"/>
            </w:tcMar>
          </w:tcPr>
          <w:p w14:paraId="520EA791" w14:textId="49980583" w:rsidR="009E234C" w:rsidRDefault="005B2669" w:rsidP="00A86D82">
            <w:pPr>
              <w:widowControl w:val="0"/>
            </w:pPr>
            <w:r w:rsidRPr="005B2669">
              <w:t xml:space="preserve">The </w:t>
            </w:r>
            <w:r w:rsidRPr="00F66FCF">
              <w:rPr>
                <w:b/>
              </w:rPr>
              <w:t>Real Estate Crowdfunding Platform</w:t>
            </w:r>
            <w:r w:rsidRPr="005B2669">
              <w:t xml:space="preserve"> needs to be priced competitively and remain attractive to both investors and developers. They will be given reasonable charges on the formulation to list their projects on this platform in terms of one-off listing and part of the raised capital. On the other hand, users get various services, some of which are free while others come with some cost to the investor (Pazarbasioglu et al. 2020). Some of the services can be offered for free, such as a basic account or access to investment platforms, while other additional services, such as sophisticated analytical tools, in-depth market analysis, and maybe first access to slightly higher-end investment opportunities, can be charged for.</w:t>
            </w:r>
          </w:p>
        </w:tc>
      </w:tr>
      <w:tr w:rsidR="009E234C" w14:paraId="3EE9D068" w14:textId="77777777" w:rsidTr="00D77C53">
        <w:trPr>
          <w:jc w:val="center"/>
        </w:trPr>
        <w:tc>
          <w:tcPr>
            <w:tcW w:w="2175" w:type="dxa"/>
            <w:shd w:val="clear" w:color="auto" w:fill="auto"/>
            <w:tcMar>
              <w:top w:w="100" w:type="dxa"/>
              <w:left w:w="100" w:type="dxa"/>
              <w:bottom w:w="100" w:type="dxa"/>
              <w:right w:w="100" w:type="dxa"/>
            </w:tcMar>
          </w:tcPr>
          <w:p w14:paraId="73825972" w14:textId="77777777" w:rsidR="009E234C" w:rsidRDefault="00151E2B">
            <w:pPr>
              <w:widowControl w:val="0"/>
              <w:pBdr>
                <w:top w:val="nil"/>
                <w:left w:val="nil"/>
                <w:bottom w:val="nil"/>
                <w:right w:val="nil"/>
                <w:between w:val="nil"/>
              </w:pBdr>
              <w:rPr>
                <w:b/>
                <w:i/>
              </w:rPr>
            </w:pPr>
            <w:r>
              <w:rPr>
                <w:b/>
                <w:i/>
              </w:rPr>
              <w:t xml:space="preserve">Place </w:t>
            </w:r>
          </w:p>
        </w:tc>
        <w:tc>
          <w:tcPr>
            <w:tcW w:w="7185" w:type="dxa"/>
            <w:shd w:val="clear" w:color="auto" w:fill="auto"/>
            <w:tcMar>
              <w:top w:w="100" w:type="dxa"/>
              <w:left w:w="100" w:type="dxa"/>
              <w:bottom w:w="100" w:type="dxa"/>
              <w:right w:w="100" w:type="dxa"/>
            </w:tcMar>
          </w:tcPr>
          <w:p w14:paraId="6AAE61C6" w14:textId="05C1564F" w:rsidR="009E234C" w:rsidRDefault="005B2669" w:rsidP="00A86D82">
            <w:pPr>
              <w:widowControl w:val="0"/>
              <w:pBdr>
                <w:top w:val="nil"/>
                <w:left w:val="nil"/>
                <w:bottom w:val="nil"/>
                <w:right w:val="nil"/>
                <w:between w:val="nil"/>
              </w:pBdr>
            </w:pPr>
            <w:r w:rsidRPr="005B2669">
              <w:t xml:space="preserve">The </w:t>
            </w:r>
            <w:r w:rsidRPr="00F66FCF">
              <w:rPr>
                <w:b/>
              </w:rPr>
              <w:t>Real Estate Crowdfunding Platform</w:t>
            </w:r>
            <w:r w:rsidRPr="005B2669">
              <w:t xml:space="preserve"> will be an online interface, meaning that investors will be able to invest and manage their investments from anywhere in the world. The platform will be accessible on a web-based platform, whose design will seamlessly adapt to any type of device, as well as through the app versions created for the operating systems (Turchet and De Cet, 2023). This multi-channel access allows the user to continue with customers' activities while occasionally accessing the platform; hence, it is convenient whether you are at home, working, or out. The characteristic of the platform being an online platform also enables easy incorporation of aspects like real-time investment updates, alerts, and even notifications to give users some functionality satisfaction.</w:t>
            </w:r>
          </w:p>
        </w:tc>
      </w:tr>
      <w:tr w:rsidR="009E234C" w14:paraId="4D87F65A" w14:textId="77777777" w:rsidTr="00D77C53">
        <w:trPr>
          <w:jc w:val="center"/>
        </w:trPr>
        <w:tc>
          <w:tcPr>
            <w:tcW w:w="2175" w:type="dxa"/>
            <w:shd w:val="clear" w:color="auto" w:fill="auto"/>
            <w:tcMar>
              <w:top w:w="100" w:type="dxa"/>
              <w:left w:w="100" w:type="dxa"/>
              <w:bottom w:w="100" w:type="dxa"/>
              <w:right w:w="100" w:type="dxa"/>
            </w:tcMar>
          </w:tcPr>
          <w:p w14:paraId="2AECF9B4" w14:textId="77777777" w:rsidR="009E234C" w:rsidRDefault="00151E2B">
            <w:pPr>
              <w:widowControl w:val="0"/>
              <w:pBdr>
                <w:top w:val="nil"/>
                <w:left w:val="nil"/>
                <w:bottom w:val="nil"/>
                <w:right w:val="nil"/>
                <w:between w:val="nil"/>
              </w:pBdr>
              <w:rPr>
                <w:b/>
                <w:i/>
              </w:rPr>
            </w:pPr>
            <w:r>
              <w:rPr>
                <w:b/>
                <w:i/>
              </w:rPr>
              <w:t xml:space="preserve">Promotions </w:t>
            </w:r>
          </w:p>
        </w:tc>
        <w:tc>
          <w:tcPr>
            <w:tcW w:w="7185" w:type="dxa"/>
            <w:shd w:val="clear" w:color="auto" w:fill="auto"/>
            <w:tcMar>
              <w:top w:w="100" w:type="dxa"/>
              <w:left w:w="100" w:type="dxa"/>
              <w:bottom w:w="100" w:type="dxa"/>
              <w:right w:w="100" w:type="dxa"/>
            </w:tcMar>
          </w:tcPr>
          <w:p w14:paraId="603432A6" w14:textId="6C291F76" w:rsidR="009E234C" w:rsidRDefault="00566A45" w:rsidP="00A86D82">
            <w:pPr>
              <w:widowControl w:val="0"/>
              <w:pBdr>
                <w:top w:val="nil"/>
                <w:left w:val="nil"/>
                <w:bottom w:val="nil"/>
                <w:right w:val="nil"/>
                <w:between w:val="nil"/>
              </w:pBdr>
            </w:pPr>
            <w:r w:rsidRPr="00566A45">
              <w:t xml:space="preserve">Marketing communication on the </w:t>
            </w:r>
            <w:r w:rsidRPr="00F66FCF">
              <w:rPr>
                <w:b/>
              </w:rPr>
              <w:t>Real Estate Crowdfunding Platform</w:t>
            </w:r>
            <w:r w:rsidRPr="00566A45">
              <w:t xml:space="preserve"> will incorporate extensive use of e-commerce for advertisement and outreach to potential investors or developers. Some of the specific promotion techniques that will be employed include online marketing, which will encompass SEM, SEO, and PPC to increase website traffic (Egbeh and Oguguo, 2022). This means that there will be constant participation on social media platforms to share content, communicate with users, and create a population of followers on sites such as Facebook, Twitter, LinkedIn, and Instagram. Collaborations with influencers in real estate and investments will lead to achieving credibility and reaching goals.</w:t>
            </w:r>
          </w:p>
        </w:tc>
      </w:tr>
    </w:tbl>
    <w:p w14:paraId="7402B1AF" w14:textId="77777777" w:rsidR="009E234C" w:rsidRDefault="00151E2B">
      <w:pPr>
        <w:jc w:val="center"/>
        <w:rPr>
          <w:b/>
        </w:rPr>
      </w:pPr>
      <w:r>
        <w:rPr>
          <w:b/>
        </w:rPr>
        <w:t>Table 2: 4Ps of marketing</w:t>
      </w:r>
    </w:p>
    <w:p w14:paraId="16AC944B" w14:textId="33267847" w:rsidR="00F54974" w:rsidRDefault="00151E2B" w:rsidP="002E1F2C">
      <w:pPr>
        <w:jc w:val="center"/>
      </w:pPr>
      <w:r>
        <w:t>(Source: Self-developed)</w:t>
      </w:r>
    </w:p>
    <w:p w14:paraId="21961CE2" w14:textId="77777777" w:rsidR="00F66FCF" w:rsidRDefault="00F66FCF">
      <w:pPr>
        <w:pStyle w:val="Heading1"/>
        <w:rPr>
          <w:sz w:val="28"/>
          <w:szCs w:val="28"/>
        </w:rPr>
      </w:pPr>
      <w:bookmarkStart w:id="11" w:name="_a05jlgheo9tt" w:colFirst="0" w:colLast="0"/>
      <w:bookmarkStart w:id="12" w:name="_Toc169117302"/>
      <w:bookmarkEnd w:id="11"/>
    </w:p>
    <w:p w14:paraId="6C00B998" w14:textId="2A79E6C0" w:rsidR="009E234C" w:rsidRPr="000012C7" w:rsidRDefault="00151E2B">
      <w:pPr>
        <w:pStyle w:val="Heading1"/>
        <w:rPr>
          <w:sz w:val="28"/>
          <w:szCs w:val="28"/>
        </w:rPr>
      </w:pPr>
      <w:r w:rsidRPr="000012C7">
        <w:rPr>
          <w:sz w:val="28"/>
          <w:szCs w:val="28"/>
        </w:rPr>
        <w:t>6. Suggest</w:t>
      </w:r>
      <w:r w:rsidR="00CA4A88" w:rsidRPr="000012C7">
        <w:rPr>
          <w:sz w:val="28"/>
          <w:szCs w:val="28"/>
        </w:rPr>
        <w:t>ed</w:t>
      </w:r>
      <w:r w:rsidRPr="000012C7">
        <w:rPr>
          <w:sz w:val="28"/>
          <w:szCs w:val="28"/>
        </w:rPr>
        <w:t xml:space="preserve"> revenue model</w:t>
      </w:r>
      <w:bookmarkEnd w:id="12"/>
      <w:r w:rsidR="002E699E" w:rsidRPr="000012C7">
        <w:rPr>
          <w:sz w:val="28"/>
          <w:szCs w:val="28"/>
        </w:rPr>
        <w:t>.</w:t>
      </w:r>
    </w:p>
    <w:p w14:paraId="52AF7A37" w14:textId="3A240477" w:rsidR="00F75515" w:rsidRPr="00F75515" w:rsidRDefault="00F66FCF" w:rsidP="00F75515">
      <w:pPr>
        <w:rPr>
          <w:highlight w:val="white"/>
          <w:lang w:val="en-GB"/>
        </w:rPr>
      </w:pPr>
      <w:r>
        <w:rPr>
          <w:b/>
          <w:bCs/>
          <w:i/>
          <w:iCs/>
          <w:highlight w:val="white"/>
          <w:lang w:val="en-GB"/>
        </w:rPr>
        <w:t xml:space="preserve">             </w:t>
      </w:r>
      <w:r w:rsidR="00F75515" w:rsidRPr="00F75515">
        <w:rPr>
          <w:b/>
          <w:bCs/>
          <w:i/>
          <w:iCs/>
          <w:highlight w:val="white"/>
          <w:lang w:val="en-GB"/>
        </w:rPr>
        <w:t>Listing Fees:</w:t>
      </w:r>
      <w:r w:rsidR="00F75515" w:rsidRPr="00F75515">
        <w:rPr>
          <w:b/>
          <w:i/>
          <w:highlight w:val="white"/>
          <w:lang w:val="en-GB"/>
        </w:rPr>
        <w:t xml:space="preserve"> </w:t>
      </w:r>
      <w:r w:rsidR="00F75515" w:rsidRPr="00F75515">
        <w:rPr>
          <w:highlight w:val="white"/>
          <w:lang w:val="en-GB"/>
        </w:rPr>
        <w:t>Firms that work under the integrated development model must pay a certain fee for their development projects to be hosted on the platform. It helps to offset expenses regarding screening projects before embarkation on development as well as in preparation for listing and marketing fees (Kim et al. 2020).</w:t>
      </w:r>
    </w:p>
    <w:p w14:paraId="30F07536" w14:textId="364E17FE" w:rsidR="00F75515" w:rsidRPr="00F75515" w:rsidRDefault="00F66FCF" w:rsidP="00F75515">
      <w:pPr>
        <w:rPr>
          <w:highlight w:val="white"/>
          <w:lang w:val="en-GB"/>
        </w:rPr>
      </w:pPr>
      <w:r>
        <w:rPr>
          <w:b/>
          <w:bCs/>
          <w:i/>
          <w:iCs/>
          <w:highlight w:val="white"/>
          <w:lang w:val="en-GB"/>
        </w:rPr>
        <w:t xml:space="preserve">            </w:t>
      </w:r>
      <w:r w:rsidR="00F75515" w:rsidRPr="00F75515">
        <w:rPr>
          <w:b/>
          <w:bCs/>
          <w:i/>
          <w:iCs/>
          <w:highlight w:val="white"/>
          <w:lang w:val="en-GB"/>
        </w:rPr>
        <w:t>Success Fees:</w:t>
      </w:r>
      <w:r w:rsidR="00F75515" w:rsidRPr="00F75515">
        <w:rPr>
          <w:b/>
          <w:i/>
          <w:highlight w:val="white"/>
          <w:lang w:val="en-GB"/>
        </w:rPr>
        <w:t xml:space="preserve"> </w:t>
      </w:r>
      <w:r w:rsidR="00F75515" w:rsidRPr="00F75515">
        <w:rPr>
          <w:highlight w:val="white"/>
          <w:lang w:val="en-GB"/>
        </w:rPr>
        <w:t>These can be pledged or through the sale of product goods, and for successful projects, the firm takes a small percentage of the funds raised for the project. This makes sure that a project delivers its objective, reaching a target, thereby adding value to the platform, which in turn supports the project (Fernandes et al. 2020).</w:t>
      </w:r>
    </w:p>
    <w:p w14:paraId="13CD5B4E" w14:textId="3ACA6F18" w:rsidR="00F75515" w:rsidRPr="00F75515" w:rsidRDefault="00F66FCF" w:rsidP="00F75515">
      <w:pPr>
        <w:rPr>
          <w:highlight w:val="white"/>
          <w:lang w:val="en-GB"/>
        </w:rPr>
      </w:pPr>
      <w:r>
        <w:rPr>
          <w:b/>
          <w:bCs/>
          <w:i/>
          <w:iCs/>
          <w:highlight w:val="white"/>
          <w:lang w:val="en-GB"/>
        </w:rPr>
        <w:t xml:space="preserve">           </w:t>
      </w:r>
      <w:r w:rsidR="00F75515" w:rsidRPr="00F75515">
        <w:rPr>
          <w:b/>
          <w:bCs/>
          <w:i/>
          <w:iCs/>
          <w:highlight w:val="white"/>
          <w:lang w:val="en-GB"/>
        </w:rPr>
        <w:t>Subscription Fees:</w:t>
      </w:r>
      <w:r w:rsidR="00F75515" w:rsidRPr="00F75515">
        <w:rPr>
          <w:b/>
          <w:i/>
          <w:highlight w:val="white"/>
          <w:lang w:val="en-GB"/>
        </w:rPr>
        <w:t xml:space="preserve"> </w:t>
      </w:r>
      <w:r w:rsidR="00F75515" w:rsidRPr="00F75515">
        <w:rPr>
          <w:highlight w:val="white"/>
          <w:lang w:val="en-GB"/>
        </w:rPr>
        <w:t>Regarding the subscription model, there is an available premium tariff in a paid system that allows for extra services from investors. Among the numerous services, these include complex investment facilities such as risk evaluation services and high return on investment calculators (Li et al. 2020).</w:t>
      </w:r>
    </w:p>
    <w:p w14:paraId="48348C23" w14:textId="77777777" w:rsidR="00F75515" w:rsidRPr="00F75515" w:rsidRDefault="00F75515" w:rsidP="00F75515">
      <w:pPr>
        <w:rPr>
          <w:highlight w:val="white"/>
          <w:lang w:val="en-GB"/>
        </w:rPr>
      </w:pPr>
      <w:r w:rsidRPr="00F75515">
        <w:rPr>
          <w:highlight w:val="white"/>
          <w:lang w:val="en-GB"/>
        </w:rPr>
        <w:t>Therefore, this makes the revenue model a perfect one that ensures an inflow of money from the developers and investors to support the platform with evidence of value for all the users.</w:t>
      </w:r>
    </w:p>
    <w:p w14:paraId="2B2CE9BB" w14:textId="41E30723" w:rsidR="00F54974" w:rsidRDefault="00F54974">
      <w:pPr>
        <w:rPr>
          <w:sz w:val="20"/>
          <w:szCs w:val="20"/>
          <w:highlight w:val="white"/>
        </w:rPr>
      </w:pPr>
    </w:p>
    <w:p w14:paraId="39EAA303" w14:textId="19334D0C" w:rsidR="009E234C" w:rsidRPr="000012C7" w:rsidRDefault="008C1333">
      <w:pPr>
        <w:pStyle w:val="Heading1"/>
        <w:rPr>
          <w:sz w:val="28"/>
          <w:szCs w:val="28"/>
        </w:rPr>
      </w:pPr>
      <w:bookmarkStart w:id="13" w:name="_vgjsm0dtvw7f" w:colFirst="0" w:colLast="0"/>
      <w:bookmarkStart w:id="14" w:name="_Toc169117303"/>
      <w:bookmarkEnd w:id="13"/>
      <w:r>
        <w:rPr>
          <w:sz w:val="28"/>
          <w:szCs w:val="28"/>
        </w:rPr>
        <w:t>7</w:t>
      </w:r>
      <w:r w:rsidR="00CA4A88" w:rsidRPr="000012C7">
        <w:rPr>
          <w:sz w:val="28"/>
          <w:szCs w:val="28"/>
        </w:rPr>
        <w:t>.  C</w:t>
      </w:r>
      <w:r w:rsidR="00151E2B" w:rsidRPr="000012C7">
        <w:rPr>
          <w:sz w:val="28"/>
          <w:szCs w:val="28"/>
        </w:rPr>
        <w:t xml:space="preserve">ash flow forecast for the first 12 months. </w:t>
      </w:r>
      <w:r w:rsidR="00EF3FE2" w:rsidRPr="000012C7">
        <w:rPr>
          <w:sz w:val="28"/>
          <w:szCs w:val="28"/>
        </w:rPr>
        <w:t>Startup</w:t>
      </w:r>
      <w:r w:rsidR="00CA4A88" w:rsidRPr="000012C7">
        <w:rPr>
          <w:sz w:val="28"/>
          <w:szCs w:val="28"/>
        </w:rPr>
        <w:t xml:space="preserve"> funding not exceeding</w:t>
      </w:r>
      <w:r w:rsidR="00151E2B" w:rsidRPr="000012C7">
        <w:rPr>
          <w:sz w:val="28"/>
          <w:szCs w:val="28"/>
        </w:rPr>
        <w:t xml:space="preserve"> £25,000.</w:t>
      </w:r>
      <w:bookmarkEnd w:id="14"/>
    </w:p>
    <w:p w14:paraId="797C88F2" w14:textId="77777777" w:rsidR="009E234C" w:rsidRDefault="00151E2B" w:rsidP="006E3D2B">
      <w:bookmarkStart w:id="15" w:name="_806y6ltv8ney" w:colFirst="0" w:colLast="0"/>
      <w:bookmarkEnd w:id="15"/>
      <w:r>
        <w:rPr>
          <w:noProof/>
          <w:lang w:val="en-GB" w:eastAsia="en-GB"/>
        </w:rPr>
        <w:drawing>
          <wp:inline distT="114300" distB="114300" distL="114300" distR="114300" wp14:anchorId="095D9210" wp14:editId="556A513B">
            <wp:extent cx="5943600" cy="2019300"/>
            <wp:effectExtent l="38100" t="38100" r="38100" b="381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943600" cy="2019300"/>
                    </a:xfrm>
                    <a:prstGeom prst="rect">
                      <a:avLst/>
                    </a:prstGeom>
                    <a:ln w="38100">
                      <a:solidFill>
                        <a:srgbClr val="000000"/>
                      </a:solidFill>
                      <a:prstDash val="solid"/>
                    </a:ln>
                  </pic:spPr>
                </pic:pic>
              </a:graphicData>
            </a:graphic>
          </wp:inline>
        </w:drawing>
      </w:r>
    </w:p>
    <w:p w14:paraId="38AFBC31" w14:textId="6220DD16" w:rsidR="00566A45" w:rsidRPr="00566A45" w:rsidRDefault="00F66FCF" w:rsidP="00566A45">
      <w:pPr>
        <w:rPr>
          <w:lang w:val="en-GB"/>
        </w:rPr>
      </w:pPr>
      <w:r>
        <w:rPr>
          <w:lang w:val="en-GB"/>
        </w:rPr>
        <w:t xml:space="preserve">                 </w:t>
      </w:r>
      <w:r w:rsidR="00566A45" w:rsidRPr="00566A45">
        <w:rPr>
          <w:lang w:val="en-GB"/>
        </w:rPr>
        <w:t xml:space="preserve">The cash flow statement provided here also shows that through the </w:t>
      </w:r>
      <w:r w:rsidR="00566A45" w:rsidRPr="00F66FCF">
        <w:rPr>
          <w:b/>
          <w:lang w:val="en-GB"/>
        </w:rPr>
        <w:t>Real Estate Crowdfunding Platform</w:t>
      </w:r>
      <w:r w:rsidR="00566A45" w:rsidRPr="00566A45">
        <w:rPr>
          <w:lang w:val="en-GB"/>
        </w:rPr>
        <w:t>, it is possible to achieve significant revenues through their proposition of the ability of individual investors to participate in real estate investment. This cash flow statement avoids income statements and balance sheet issues and portrays the platform's ability at different stages of development (Fowlkes, 2020).</w:t>
      </w:r>
    </w:p>
    <w:p w14:paraId="48D383EF" w14:textId="77777777" w:rsidR="00566A45" w:rsidRPr="00566A45" w:rsidRDefault="00566A45" w:rsidP="00566A45">
      <w:pPr>
        <w:rPr>
          <w:lang w:val="en-GB"/>
        </w:rPr>
      </w:pPr>
      <w:r w:rsidRPr="00566A45">
        <w:rPr>
          <w:lang w:val="en-GB"/>
        </w:rPr>
        <w:t>The Cash Flow Statement shows that start-ups initially have negative cash flow, but after growth, the statement reverses, indicating a return to positive cash flows.</w:t>
      </w:r>
    </w:p>
    <w:p w14:paraId="3ED39CB4" w14:textId="5FD85271" w:rsidR="009E234C" w:rsidRDefault="00151E2B">
      <w:r>
        <w:t xml:space="preserve">The </w:t>
      </w:r>
      <w:r w:rsidRPr="00A86D82">
        <w:rPr>
          <w:b/>
        </w:rPr>
        <w:t>key points</w:t>
      </w:r>
      <w:r>
        <w:t xml:space="preserve"> about the Cash Flow Statement are:</w:t>
      </w:r>
    </w:p>
    <w:p w14:paraId="79A4A4E4" w14:textId="77777777" w:rsidR="00566A45" w:rsidRPr="00566A45" w:rsidRDefault="00566A45" w:rsidP="00566A45">
      <w:pPr>
        <w:numPr>
          <w:ilvl w:val="0"/>
          <w:numId w:val="8"/>
        </w:numPr>
        <w:rPr>
          <w:lang w:val="en-GB"/>
        </w:rPr>
      </w:pPr>
      <w:r w:rsidRPr="00566A45">
        <w:rPr>
          <w:lang w:val="en-GB"/>
        </w:rPr>
        <w:t>The cash flows begin advancing, accelerating as an ever-increasing number of financial backers jump on to contribute and exploit the stage to put resources into already out-of-reach investment vehicles related to real estate (Diamandis and Kotler, 2020). The success expenses catch the ability of the organisation to potentially go viral.</w:t>
      </w:r>
    </w:p>
    <w:p w14:paraId="3C56C7B9" w14:textId="36F0F820" w:rsidR="00566A45" w:rsidRPr="00566A45" w:rsidRDefault="00566A45" w:rsidP="00566A45">
      <w:pPr>
        <w:numPr>
          <w:ilvl w:val="0"/>
          <w:numId w:val="8"/>
        </w:numPr>
        <w:rPr>
          <w:lang w:val="en-GB"/>
        </w:rPr>
      </w:pPr>
      <w:r w:rsidRPr="00566A45">
        <w:rPr>
          <w:lang w:val="en-GB"/>
        </w:rPr>
        <w:t xml:space="preserve">The change from income utilisation to income creation around the $55,000 mark is a key inflexion point where the cash flow turns </w:t>
      </w:r>
      <w:r w:rsidR="005B2669">
        <w:rPr>
          <w:lang w:val="en-GB"/>
        </w:rPr>
        <w:t>income-positive</w:t>
      </w:r>
      <w:r w:rsidRPr="00566A45">
        <w:rPr>
          <w:lang w:val="en-GB"/>
        </w:rPr>
        <w:t xml:space="preserve"> for every additional investment.</w:t>
      </w:r>
    </w:p>
    <w:p w14:paraId="6838D8A6" w14:textId="6C875883" w:rsidR="00566A45" w:rsidRPr="00566A45" w:rsidRDefault="00566A45" w:rsidP="00566A45">
      <w:pPr>
        <w:numPr>
          <w:ilvl w:val="0"/>
          <w:numId w:val="8"/>
        </w:numPr>
        <w:rPr>
          <w:lang w:val="en-GB"/>
        </w:rPr>
      </w:pPr>
      <w:r w:rsidRPr="00566A45">
        <w:rPr>
          <w:lang w:val="en-GB"/>
        </w:rPr>
        <w:t xml:space="preserve">The cash flow statement turning cash flow positive has a significant effect on turning the </w:t>
      </w:r>
      <w:r w:rsidR="000E7423" w:rsidRPr="00566A45">
        <w:rPr>
          <w:lang w:val="en-GB"/>
        </w:rPr>
        <w:t>start-up</w:t>
      </w:r>
      <w:r w:rsidRPr="00566A45">
        <w:rPr>
          <w:lang w:val="en-GB"/>
        </w:rPr>
        <w:t xml:space="preserve"> into a unicorn and even makes financial backers understand the stage's efficiency and versatility as a venture (Kartanaitė and Krušinskas, 2022).</w:t>
      </w:r>
    </w:p>
    <w:p w14:paraId="6FCD71B6" w14:textId="7D2C71C1" w:rsidR="009E234C" w:rsidRDefault="008126CC">
      <w:r w:rsidRPr="008126CC">
        <w:t>The Real Estate Crowdfunding Platform's Cash Flow Statement exemplifies a cash-gushing unicorn, with applications 'Built by Design' from day one. The platform's success is attributed to its ability to seize opportunities and achieve cash flow positivity, making it even larger than a unicorn.</w:t>
      </w:r>
      <w:r w:rsidR="00151E2B">
        <w:br w:type="page"/>
      </w:r>
    </w:p>
    <w:p w14:paraId="379040AA" w14:textId="0CB66A09" w:rsidR="009E234C" w:rsidRPr="000012C7" w:rsidRDefault="008C1333">
      <w:pPr>
        <w:pStyle w:val="Heading1"/>
        <w:rPr>
          <w:sz w:val="28"/>
          <w:szCs w:val="28"/>
        </w:rPr>
      </w:pPr>
      <w:bookmarkStart w:id="16" w:name="_rogj8eeyam40" w:colFirst="0" w:colLast="0"/>
      <w:bookmarkStart w:id="17" w:name="_Toc169117304"/>
      <w:bookmarkEnd w:id="16"/>
      <w:r>
        <w:rPr>
          <w:sz w:val="28"/>
          <w:szCs w:val="28"/>
        </w:rPr>
        <w:t>8</w:t>
      </w:r>
      <w:r w:rsidR="00151E2B" w:rsidRPr="000012C7">
        <w:rPr>
          <w:sz w:val="28"/>
          <w:szCs w:val="28"/>
        </w:rPr>
        <w:t>. Reference List</w:t>
      </w:r>
      <w:bookmarkEnd w:id="17"/>
    </w:p>
    <w:p w14:paraId="340D82D0" w14:textId="77777777" w:rsidR="00D74334" w:rsidRDefault="00D74334" w:rsidP="00D74334">
      <w:pPr>
        <w:spacing w:before="240" w:after="240"/>
      </w:pPr>
      <w:r>
        <w:t xml:space="preserve">Beech holdings, 2024. </w:t>
      </w:r>
      <w:r>
        <w:rPr>
          <w:i/>
        </w:rPr>
        <w:t>Green Property Investment: A Sustainable Future</w:t>
      </w:r>
      <w:r>
        <w:t>. Available at: https://beechholdings.co.uk/news/green-property-investment-a-sustainable-future/ (Accessed on 11th May, 2024)</w:t>
      </w:r>
    </w:p>
    <w:p w14:paraId="0560433A" w14:textId="77777777" w:rsidR="00D74334" w:rsidRDefault="00D74334" w:rsidP="00D74334">
      <w:pPr>
        <w:spacing w:before="240" w:after="240"/>
      </w:pPr>
      <w:r>
        <w:t xml:space="preserve">CNBC, 2024. </w:t>
      </w:r>
      <w:r>
        <w:rPr>
          <w:i/>
        </w:rPr>
        <w:t>Britain to lead 2024 European real estate boom as international buyers eye opportunities, research says</w:t>
      </w:r>
      <w:r>
        <w:t>. Available at: https://www.cnbc.com/2024/03/01/uk-europe-real-estate-to-surge-as-buyers-eye-investment-opportunities.html (Accessed on 11th May, 2024)</w:t>
      </w:r>
    </w:p>
    <w:p w14:paraId="58FFBD7E" w14:textId="77777777" w:rsidR="00D74334" w:rsidRDefault="00D74334" w:rsidP="00D74334">
      <w:pPr>
        <w:spacing w:before="240" w:after="240"/>
        <w:rPr>
          <w:color w:val="222222"/>
          <w:highlight w:val="white"/>
        </w:rPr>
      </w:pPr>
      <w:r>
        <w:rPr>
          <w:color w:val="222222"/>
          <w:highlight w:val="white"/>
        </w:rPr>
        <w:t xml:space="preserve">Diamandis, P.H. and Kotler, S., 2020. </w:t>
      </w:r>
      <w:r>
        <w:rPr>
          <w:i/>
          <w:color w:val="222222"/>
          <w:highlight w:val="white"/>
        </w:rPr>
        <w:t>The future is faster than you think: How converging technologies are transforming business, industries, and our lives</w:t>
      </w:r>
      <w:r>
        <w:rPr>
          <w:color w:val="222222"/>
          <w:highlight w:val="white"/>
        </w:rPr>
        <w:t>. Simon &amp; Schuster.</w:t>
      </w:r>
    </w:p>
    <w:p w14:paraId="6615782B" w14:textId="77777777" w:rsidR="00D74334" w:rsidRDefault="00D74334" w:rsidP="00D74334">
      <w:pPr>
        <w:spacing w:before="240" w:after="240"/>
        <w:rPr>
          <w:color w:val="222222"/>
          <w:highlight w:val="white"/>
        </w:rPr>
      </w:pPr>
      <w:r>
        <w:rPr>
          <w:color w:val="222222"/>
          <w:highlight w:val="white"/>
        </w:rPr>
        <w:t xml:space="preserve">Egbeh, P.C. and Oguguo, F.C., 2022. Search Marketing (SM): A Qualitative Appraisal of Its Effectiveness as a Digital Marketing and Advertising Tool. </w:t>
      </w:r>
      <w:r>
        <w:rPr>
          <w:i/>
          <w:color w:val="222222"/>
          <w:highlight w:val="white"/>
        </w:rPr>
        <w:t>Gusau Journal of Business Administration</w:t>
      </w:r>
      <w:r>
        <w:rPr>
          <w:color w:val="222222"/>
          <w:highlight w:val="white"/>
        </w:rPr>
        <w:t xml:space="preserve">, </w:t>
      </w:r>
      <w:r>
        <w:rPr>
          <w:i/>
          <w:color w:val="222222"/>
          <w:highlight w:val="white"/>
        </w:rPr>
        <w:t>1</w:t>
      </w:r>
      <w:r>
        <w:rPr>
          <w:color w:val="222222"/>
          <w:highlight w:val="white"/>
        </w:rPr>
        <w:t>(2), pp.14-14.</w:t>
      </w:r>
    </w:p>
    <w:p w14:paraId="60AFEAF4" w14:textId="77777777" w:rsidR="00D74334" w:rsidRDefault="00D74334" w:rsidP="00D74334">
      <w:pPr>
        <w:spacing w:before="240" w:after="240"/>
        <w:rPr>
          <w:color w:val="222222"/>
          <w:highlight w:val="white"/>
        </w:rPr>
      </w:pPr>
      <w:r>
        <w:rPr>
          <w:color w:val="222222"/>
          <w:highlight w:val="white"/>
        </w:rPr>
        <w:t xml:space="preserve">Fernandes, G., O'Sullivan, D., Pinto, E.B., Araújo, M. and Machado, R.J., 2020. Value of project management in university–industry R&amp;D collaborations. </w:t>
      </w:r>
      <w:r>
        <w:rPr>
          <w:i/>
          <w:color w:val="222222"/>
          <w:highlight w:val="white"/>
        </w:rPr>
        <w:t>International Journal of Managing Projects in Business</w:t>
      </w:r>
      <w:r>
        <w:rPr>
          <w:color w:val="222222"/>
          <w:highlight w:val="white"/>
        </w:rPr>
        <w:t xml:space="preserve">, </w:t>
      </w:r>
      <w:r>
        <w:rPr>
          <w:i/>
          <w:color w:val="222222"/>
          <w:highlight w:val="white"/>
        </w:rPr>
        <w:t>13</w:t>
      </w:r>
      <w:r>
        <w:rPr>
          <w:color w:val="222222"/>
          <w:highlight w:val="white"/>
        </w:rPr>
        <w:t>(4), pp.819-843.</w:t>
      </w:r>
    </w:p>
    <w:p w14:paraId="57D56A9B" w14:textId="77777777" w:rsidR="00D74334" w:rsidRDefault="00D74334" w:rsidP="00D74334">
      <w:pPr>
        <w:spacing w:before="240" w:after="240"/>
      </w:pPr>
      <w:r>
        <w:t xml:space="preserve">Finance magnates, 2023. </w:t>
      </w:r>
      <w:r>
        <w:rPr>
          <w:i/>
        </w:rPr>
        <w:t>Advantages and Disadvantages of Fintech in Real Estate</w:t>
      </w:r>
      <w:r>
        <w:t>. Available at: https://www.financemagnates.com/fintech/advantages-and-disadvantages-of-fintech-in-real-estate/ (Accessed on 11th May, 2024)</w:t>
      </w:r>
    </w:p>
    <w:p w14:paraId="31679F97" w14:textId="77777777" w:rsidR="00D74334" w:rsidRDefault="00D74334" w:rsidP="00D74334">
      <w:pPr>
        <w:spacing w:before="240" w:after="240"/>
        <w:rPr>
          <w:color w:val="222222"/>
          <w:sz w:val="24"/>
          <w:szCs w:val="24"/>
          <w:highlight w:val="white"/>
        </w:rPr>
      </w:pPr>
      <w:r>
        <w:rPr>
          <w:color w:val="222222"/>
          <w:highlight w:val="white"/>
        </w:rPr>
        <w:t>Fowlkes, T., 2020. An Analysis of the Principles of Financial Reporting and their Applications Through the use of Case Studies.</w:t>
      </w:r>
    </w:p>
    <w:p w14:paraId="6F62312E" w14:textId="77777777" w:rsidR="00D74334" w:rsidRDefault="00D74334" w:rsidP="00D74334">
      <w:pPr>
        <w:spacing w:before="240" w:after="240"/>
      </w:pPr>
      <w:r>
        <w:t xml:space="preserve">Howard Kennedy, 2024. </w:t>
      </w:r>
      <w:r>
        <w:rPr>
          <w:i/>
        </w:rPr>
        <w:t>Regulation of Crowdfunding in the UK, US and Israel – a comparative review</w:t>
      </w:r>
      <w:r>
        <w:t>. Available at: https://www.howardkennedy.com/latest/blog/regulation-of-crowdfunding-in-the-uk-us-and-israel_a-comparative-review#:~:text=Web%2Dbased%20equity%20crowdfunding%20has,Activities)%20Order%202001.). (Accessed on 11th May, 2024)</w:t>
      </w:r>
    </w:p>
    <w:p w14:paraId="25059CEF" w14:textId="77777777" w:rsidR="00D74334" w:rsidRDefault="00D74334" w:rsidP="00D74334">
      <w:pPr>
        <w:spacing w:before="240" w:after="240"/>
      </w:pPr>
      <w:r>
        <w:t xml:space="preserve">ICLG, 2023. </w:t>
      </w:r>
      <w:r>
        <w:rPr>
          <w:i/>
        </w:rPr>
        <w:t>Real Estate Laws and Regulations England &amp; Wales 2024</w:t>
      </w:r>
      <w:r>
        <w:t>. Available at: https://iclg.com/practice-areas/real-estate-laws-and-regulations/england-and-wales (Accessed on 11th May, 2024)</w:t>
      </w:r>
    </w:p>
    <w:p w14:paraId="09299031" w14:textId="77777777" w:rsidR="00F66FCF" w:rsidRDefault="00D74334" w:rsidP="00D74334">
      <w:pPr>
        <w:spacing w:before="240" w:after="240"/>
        <w:rPr>
          <w:color w:val="222222"/>
          <w:sz w:val="24"/>
          <w:szCs w:val="24"/>
          <w:highlight w:val="white"/>
        </w:rPr>
      </w:pPr>
      <w:r>
        <w:rPr>
          <w:color w:val="222222"/>
          <w:highlight w:val="white"/>
        </w:rPr>
        <w:t xml:space="preserve">Kartanaitė, I. and Krušinskas, R., 2022. Financial efficiency of unicorns: regional and sector related aspects. </w:t>
      </w:r>
      <w:r>
        <w:rPr>
          <w:i/>
          <w:color w:val="222222"/>
          <w:highlight w:val="white"/>
        </w:rPr>
        <w:t>Engineering Economics</w:t>
      </w:r>
      <w:r>
        <w:rPr>
          <w:color w:val="222222"/>
          <w:highlight w:val="white"/>
        </w:rPr>
        <w:t xml:space="preserve">, </w:t>
      </w:r>
      <w:r>
        <w:rPr>
          <w:i/>
          <w:color w:val="222222"/>
          <w:highlight w:val="white"/>
        </w:rPr>
        <w:t>33</w:t>
      </w:r>
      <w:r>
        <w:rPr>
          <w:color w:val="222222"/>
          <w:highlight w:val="white"/>
        </w:rPr>
        <w:t>(2), pp.200-214.</w:t>
      </w:r>
    </w:p>
    <w:p w14:paraId="4E3C0E16" w14:textId="0C03CF04" w:rsidR="00D74334" w:rsidRPr="00F66FCF" w:rsidRDefault="00D74334" w:rsidP="00D74334">
      <w:pPr>
        <w:spacing w:before="240" w:after="240"/>
        <w:rPr>
          <w:color w:val="222222"/>
          <w:sz w:val="24"/>
          <w:szCs w:val="24"/>
          <w:highlight w:val="white"/>
        </w:rPr>
      </w:pPr>
      <w:r>
        <w:rPr>
          <w:color w:val="222222"/>
          <w:highlight w:val="white"/>
        </w:rPr>
        <w:t xml:space="preserve">Kim, J.H., Fallov, J.A. and Groom, S., 2020. </w:t>
      </w:r>
      <w:r>
        <w:rPr>
          <w:i/>
          <w:color w:val="222222"/>
          <w:highlight w:val="white"/>
        </w:rPr>
        <w:t>Public investment management reference guide</w:t>
      </w:r>
      <w:r>
        <w:rPr>
          <w:color w:val="222222"/>
          <w:highlight w:val="white"/>
        </w:rPr>
        <w:t>. World Bank Publications.</w:t>
      </w:r>
    </w:p>
    <w:p w14:paraId="70F53649" w14:textId="77777777" w:rsidR="00D74334" w:rsidRDefault="00D74334" w:rsidP="00D74334">
      <w:pPr>
        <w:spacing w:before="240" w:after="240"/>
        <w:rPr>
          <w:color w:val="222222"/>
          <w:highlight w:val="white"/>
        </w:rPr>
      </w:pPr>
      <w:r>
        <w:rPr>
          <w:color w:val="222222"/>
          <w:highlight w:val="white"/>
        </w:rPr>
        <w:t xml:space="preserve">Li, Z.X., Liu, J.Y., Luo, D.K. and Wang, J.J., 2020. Study of evaluation method for the overseas oil and gas investment based on risk compensation. </w:t>
      </w:r>
      <w:r>
        <w:rPr>
          <w:i/>
          <w:color w:val="222222"/>
          <w:highlight w:val="white"/>
        </w:rPr>
        <w:t>Petroleum science</w:t>
      </w:r>
      <w:r>
        <w:rPr>
          <w:color w:val="222222"/>
          <w:highlight w:val="white"/>
        </w:rPr>
        <w:t xml:space="preserve">, </w:t>
      </w:r>
      <w:r>
        <w:rPr>
          <w:i/>
          <w:color w:val="222222"/>
          <w:highlight w:val="white"/>
        </w:rPr>
        <w:t>17</w:t>
      </w:r>
      <w:r>
        <w:rPr>
          <w:color w:val="222222"/>
          <w:highlight w:val="white"/>
        </w:rPr>
        <w:t>, pp.858-871.</w:t>
      </w:r>
    </w:p>
    <w:p w14:paraId="0A3075A0" w14:textId="77777777" w:rsidR="00D74334" w:rsidRDefault="00D74334" w:rsidP="00D74334">
      <w:pPr>
        <w:spacing w:before="240" w:after="240"/>
      </w:pPr>
      <w:r>
        <w:t xml:space="preserve">Mooreks, 2023. </w:t>
      </w:r>
      <w:r>
        <w:rPr>
          <w:i/>
        </w:rPr>
        <w:t>Investment opportunities in the UK real estate market: challenges and the rise of co-living</w:t>
      </w:r>
      <w:r>
        <w:t>. Available at: https://mooreks.co.uk/insights/investment-opportunities-in-the-uk-real-estate-market-challenges-and-the-rise-of-co-living/ (Accessed on 11th May, 2024)</w:t>
      </w:r>
    </w:p>
    <w:p w14:paraId="001D2C35" w14:textId="77777777" w:rsidR="00D74334" w:rsidRDefault="00D74334" w:rsidP="00D74334">
      <w:pPr>
        <w:spacing w:before="240" w:after="240"/>
        <w:rPr>
          <w:color w:val="222222"/>
          <w:sz w:val="24"/>
          <w:szCs w:val="24"/>
          <w:highlight w:val="white"/>
        </w:rPr>
      </w:pPr>
      <w:r>
        <w:rPr>
          <w:color w:val="222222"/>
          <w:highlight w:val="white"/>
        </w:rPr>
        <w:t xml:space="preserve">Pazarbasioglu, C., Mora, A.G., Uttamchandani, M., Natarajan, H., Feyen, E. and Saal, M., 2020. Digital financial services. </w:t>
      </w:r>
      <w:r>
        <w:rPr>
          <w:i/>
          <w:color w:val="222222"/>
          <w:highlight w:val="white"/>
        </w:rPr>
        <w:t>World Bank</w:t>
      </w:r>
      <w:r>
        <w:rPr>
          <w:color w:val="222222"/>
          <w:highlight w:val="white"/>
        </w:rPr>
        <w:t xml:space="preserve">, </w:t>
      </w:r>
      <w:r>
        <w:rPr>
          <w:i/>
          <w:color w:val="222222"/>
          <w:highlight w:val="white"/>
        </w:rPr>
        <w:t>54</w:t>
      </w:r>
      <w:r>
        <w:rPr>
          <w:color w:val="222222"/>
          <w:highlight w:val="white"/>
        </w:rPr>
        <w:t>.</w:t>
      </w:r>
    </w:p>
    <w:p w14:paraId="7A359FC1" w14:textId="77777777" w:rsidR="00D74334" w:rsidRDefault="00D74334" w:rsidP="00D74334">
      <w:pPr>
        <w:spacing w:before="240" w:after="240"/>
        <w:rPr>
          <w:color w:val="222222"/>
          <w:highlight w:val="white"/>
        </w:rPr>
      </w:pPr>
      <w:r>
        <w:rPr>
          <w:color w:val="222222"/>
          <w:highlight w:val="white"/>
        </w:rPr>
        <w:t xml:space="preserve">Pfajfar, G., Shoham, A., Małecka, A. and Zalaznik, M., 2022. Value of corporate social responsibility for multiple stakeholders and social impact–Relationship marketing perspective. </w:t>
      </w:r>
      <w:r>
        <w:rPr>
          <w:i/>
          <w:color w:val="222222"/>
          <w:highlight w:val="white"/>
        </w:rPr>
        <w:t>Journal of business research</w:t>
      </w:r>
      <w:r>
        <w:rPr>
          <w:color w:val="222222"/>
          <w:highlight w:val="white"/>
        </w:rPr>
        <w:t xml:space="preserve">, </w:t>
      </w:r>
      <w:r>
        <w:rPr>
          <w:i/>
          <w:color w:val="222222"/>
          <w:highlight w:val="white"/>
        </w:rPr>
        <w:t>143</w:t>
      </w:r>
      <w:r>
        <w:rPr>
          <w:color w:val="222222"/>
          <w:highlight w:val="white"/>
        </w:rPr>
        <w:t>, pp.46-61.</w:t>
      </w:r>
    </w:p>
    <w:p w14:paraId="763E9949" w14:textId="77777777" w:rsidR="00D74334" w:rsidRDefault="00D74334" w:rsidP="00D74334">
      <w:pPr>
        <w:spacing w:before="240" w:after="240"/>
      </w:pPr>
      <w:r>
        <w:t xml:space="preserve">Royal mint, 2023. </w:t>
      </w:r>
      <w:r>
        <w:rPr>
          <w:i/>
        </w:rPr>
        <w:t>Appetite for Alternative Investments Increasing</w:t>
      </w:r>
      <w:r>
        <w:t>. Available at: https://www.royalmint.com/invest/discover/gold-market/appetite-for-alternative-investments-increasing/ (Accessed on 11th May, 2024)</w:t>
      </w:r>
    </w:p>
    <w:p w14:paraId="5A8B7C94" w14:textId="77777777" w:rsidR="00D74334" w:rsidRDefault="00D74334" w:rsidP="00D74334">
      <w:pPr>
        <w:spacing w:before="240" w:after="240"/>
      </w:pPr>
      <w:r>
        <w:t xml:space="preserve">Shojin, 2022. </w:t>
      </w:r>
      <w:r>
        <w:rPr>
          <w:i/>
        </w:rPr>
        <w:t>The rise of alternative investments</w:t>
      </w:r>
      <w:r>
        <w:t>. Available at: https://www.shojin.co.uk/insights/news/the-rise-and-rise-of-alternative-investments (Accessed on 11th May, 2024)</w:t>
      </w:r>
    </w:p>
    <w:p w14:paraId="34372BBC" w14:textId="77777777" w:rsidR="00D74334" w:rsidRDefault="00D74334" w:rsidP="00D74334">
      <w:pPr>
        <w:spacing w:before="240" w:after="240"/>
        <w:rPr>
          <w:color w:val="222222"/>
          <w:highlight w:val="white"/>
        </w:rPr>
      </w:pPr>
      <w:r>
        <w:rPr>
          <w:color w:val="222222"/>
          <w:highlight w:val="white"/>
        </w:rPr>
        <w:t>Tall, A., Lynagh, S., Blanco Vecchi, C., Bardouille, P., Montoya Pino, F., Shabahat, E., Stenek, V., Stewart, F., Power, S., Paladines, C. and Neves, P., 2021. Enabling Private Investment in Climate Adaptation and Resilience: Current Status, Barriers to Investment and Blueprint for Action.</w:t>
      </w:r>
    </w:p>
    <w:p w14:paraId="3BB327B1" w14:textId="77777777" w:rsidR="008C1333" w:rsidRDefault="00D74334" w:rsidP="00D74334">
      <w:pPr>
        <w:spacing w:before="240" w:after="240"/>
      </w:pPr>
      <w:r>
        <w:t xml:space="preserve">Tech, 2021. </w:t>
      </w:r>
      <w:r>
        <w:rPr>
          <w:i/>
        </w:rPr>
        <w:t>How new European regulations on real estate crowdfunding can affect the industry</w:t>
      </w:r>
      <w:r>
        <w:t>. Available at: https://tech.eu/2021/08/12/how-new-european-regulations-on-real-estate-crowdfunding-can-affect-the-industry/ (Accessed on 11th May, 2024)</w:t>
      </w:r>
    </w:p>
    <w:p w14:paraId="5AC2915E" w14:textId="35453947" w:rsidR="00D74334" w:rsidRPr="008C1333" w:rsidRDefault="00D74334" w:rsidP="00D74334">
      <w:pPr>
        <w:spacing w:before="240" w:after="240"/>
      </w:pPr>
      <w:r>
        <w:rPr>
          <w:color w:val="222222"/>
          <w:highlight w:val="white"/>
        </w:rPr>
        <w:t xml:space="preserve">Turchet, L. and De Cet, M., 2023. A web-based distributed system for integrating mobile music in choral performance. </w:t>
      </w:r>
      <w:r>
        <w:rPr>
          <w:i/>
          <w:color w:val="222222"/>
          <w:highlight w:val="white"/>
        </w:rPr>
        <w:t>Personal and Ubiquitous Computing</w:t>
      </w:r>
      <w:r>
        <w:rPr>
          <w:color w:val="222222"/>
          <w:highlight w:val="white"/>
        </w:rPr>
        <w:t xml:space="preserve">, </w:t>
      </w:r>
      <w:r>
        <w:rPr>
          <w:i/>
          <w:color w:val="222222"/>
          <w:highlight w:val="white"/>
        </w:rPr>
        <w:t>27</w:t>
      </w:r>
      <w:r>
        <w:rPr>
          <w:color w:val="222222"/>
          <w:highlight w:val="white"/>
        </w:rPr>
        <w:t>(5), pp.1829-1842.</w:t>
      </w:r>
    </w:p>
    <w:p w14:paraId="754F96EA" w14:textId="77777777" w:rsidR="009E234C" w:rsidRDefault="009E234C"/>
    <w:sectPr w:rsidR="009E234C" w:rsidSect="00A86D82">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57F078" w14:textId="77777777" w:rsidR="005C5477" w:rsidRDefault="005C5477" w:rsidP="00BD1790">
      <w:pPr>
        <w:spacing w:line="240" w:lineRule="auto"/>
      </w:pPr>
      <w:r>
        <w:separator/>
      </w:r>
    </w:p>
  </w:endnote>
  <w:endnote w:type="continuationSeparator" w:id="0">
    <w:p w14:paraId="0D7326D4" w14:textId="77777777" w:rsidR="005C5477" w:rsidRDefault="005C5477" w:rsidP="00BD179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25107275"/>
      <w:docPartObj>
        <w:docPartGallery w:val="Page Numbers (Bottom of Page)"/>
        <w:docPartUnique/>
      </w:docPartObj>
    </w:sdtPr>
    <w:sdtEndPr>
      <w:rPr>
        <w:noProof/>
        <w:sz w:val="20"/>
        <w:szCs w:val="20"/>
      </w:rPr>
    </w:sdtEndPr>
    <w:sdtContent>
      <w:p w14:paraId="42BD15DE" w14:textId="712AF45B" w:rsidR="00BD1790" w:rsidRPr="00BD1790" w:rsidRDefault="00BD1790">
        <w:pPr>
          <w:pStyle w:val="Footer"/>
          <w:jc w:val="right"/>
          <w:rPr>
            <w:sz w:val="20"/>
            <w:szCs w:val="20"/>
          </w:rPr>
        </w:pPr>
        <w:r w:rsidRPr="00BD1790">
          <w:rPr>
            <w:sz w:val="20"/>
            <w:szCs w:val="20"/>
          </w:rPr>
          <w:fldChar w:fldCharType="begin"/>
        </w:r>
        <w:r w:rsidRPr="00BD1790">
          <w:rPr>
            <w:sz w:val="20"/>
            <w:szCs w:val="20"/>
          </w:rPr>
          <w:instrText xml:space="preserve"> PAGE   \* MERGEFORMAT </w:instrText>
        </w:r>
        <w:r w:rsidRPr="00BD1790">
          <w:rPr>
            <w:sz w:val="20"/>
            <w:szCs w:val="20"/>
          </w:rPr>
          <w:fldChar w:fldCharType="separate"/>
        </w:r>
        <w:r w:rsidR="005C5477">
          <w:rPr>
            <w:noProof/>
            <w:sz w:val="20"/>
            <w:szCs w:val="20"/>
          </w:rPr>
          <w:t>1</w:t>
        </w:r>
        <w:r w:rsidRPr="00BD1790">
          <w:rPr>
            <w:noProof/>
            <w:sz w:val="20"/>
            <w:szCs w:val="20"/>
          </w:rPr>
          <w:fldChar w:fldCharType="end"/>
        </w:r>
      </w:p>
    </w:sdtContent>
  </w:sdt>
  <w:p w14:paraId="6AFCAEDA" w14:textId="77777777" w:rsidR="00BD1790" w:rsidRDefault="00BD17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AFF090" w14:textId="77777777" w:rsidR="005C5477" w:rsidRDefault="005C5477" w:rsidP="00BD1790">
      <w:pPr>
        <w:spacing w:line="240" w:lineRule="auto"/>
      </w:pPr>
      <w:r>
        <w:separator/>
      </w:r>
    </w:p>
  </w:footnote>
  <w:footnote w:type="continuationSeparator" w:id="0">
    <w:p w14:paraId="765CB379" w14:textId="77777777" w:rsidR="005C5477" w:rsidRDefault="005C5477" w:rsidP="00BD179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186472"/>
    <w:multiLevelType w:val="multilevel"/>
    <w:tmpl w:val="6CF446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C0975A0"/>
    <w:multiLevelType w:val="multilevel"/>
    <w:tmpl w:val="B25AB0A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11A34560"/>
    <w:multiLevelType w:val="multilevel"/>
    <w:tmpl w:val="6FCAF5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531766"/>
    <w:multiLevelType w:val="multilevel"/>
    <w:tmpl w:val="BC769E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5DF1198"/>
    <w:multiLevelType w:val="multilevel"/>
    <w:tmpl w:val="2D1C00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9643CE1"/>
    <w:multiLevelType w:val="multilevel"/>
    <w:tmpl w:val="6AFA59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F00BC9"/>
    <w:multiLevelType w:val="multilevel"/>
    <w:tmpl w:val="EBBE7BAE"/>
    <w:lvl w:ilvl="0">
      <w:start w:val="1"/>
      <w:numFmt w:val="decimal"/>
      <w:lvlText w:val="%1."/>
      <w:lvlJc w:val="left"/>
      <w:pPr>
        <w:tabs>
          <w:tab w:val="num" w:pos="644"/>
        </w:tabs>
        <w:ind w:left="644" w:hanging="360"/>
      </w:pPr>
      <w:rPr>
        <w:b/>
      </w:rPr>
    </w:lvl>
    <w:lvl w:ilvl="1" w:tentative="1">
      <w:start w:val="1"/>
      <w:numFmt w:val="decimal"/>
      <w:lvlText w:val="%2."/>
      <w:lvlJc w:val="left"/>
      <w:pPr>
        <w:tabs>
          <w:tab w:val="num" w:pos="1364"/>
        </w:tabs>
        <w:ind w:left="1364" w:hanging="360"/>
      </w:pPr>
    </w:lvl>
    <w:lvl w:ilvl="2" w:tentative="1">
      <w:start w:val="1"/>
      <w:numFmt w:val="decimal"/>
      <w:lvlText w:val="%3."/>
      <w:lvlJc w:val="left"/>
      <w:pPr>
        <w:tabs>
          <w:tab w:val="num" w:pos="2084"/>
        </w:tabs>
        <w:ind w:left="2084" w:hanging="360"/>
      </w:pPr>
    </w:lvl>
    <w:lvl w:ilvl="3" w:tentative="1">
      <w:start w:val="1"/>
      <w:numFmt w:val="decimal"/>
      <w:lvlText w:val="%4."/>
      <w:lvlJc w:val="left"/>
      <w:pPr>
        <w:tabs>
          <w:tab w:val="num" w:pos="2804"/>
        </w:tabs>
        <w:ind w:left="2804" w:hanging="360"/>
      </w:pPr>
    </w:lvl>
    <w:lvl w:ilvl="4" w:tentative="1">
      <w:start w:val="1"/>
      <w:numFmt w:val="decimal"/>
      <w:lvlText w:val="%5."/>
      <w:lvlJc w:val="left"/>
      <w:pPr>
        <w:tabs>
          <w:tab w:val="num" w:pos="3524"/>
        </w:tabs>
        <w:ind w:left="3524" w:hanging="360"/>
      </w:pPr>
    </w:lvl>
    <w:lvl w:ilvl="5" w:tentative="1">
      <w:start w:val="1"/>
      <w:numFmt w:val="decimal"/>
      <w:lvlText w:val="%6."/>
      <w:lvlJc w:val="left"/>
      <w:pPr>
        <w:tabs>
          <w:tab w:val="num" w:pos="4244"/>
        </w:tabs>
        <w:ind w:left="4244" w:hanging="360"/>
      </w:pPr>
    </w:lvl>
    <w:lvl w:ilvl="6" w:tentative="1">
      <w:start w:val="1"/>
      <w:numFmt w:val="decimal"/>
      <w:lvlText w:val="%7."/>
      <w:lvlJc w:val="left"/>
      <w:pPr>
        <w:tabs>
          <w:tab w:val="num" w:pos="4964"/>
        </w:tabs>
        <w:ind w:left="4964" w:hanging="360"/>
      </w:pPr>
    </w:lvl>
    <w:lvl w:ilvl="7" w:tentative="1">
      <w:start w:val="1"/>
      <w:numFmt w:val="decimal"/>
      <w:lvlText w:val="%8."/>
      <w:lvlJc w:val="left"/>
      <w:pPr>
        <w:tabs>
          <w:tab w:val="num" w:pos="5684"/>
        </w:tabs>
        <w:ind w:left="5684" w:hanging="360"/>
      </w:pPr>
    </w:lvl>
    <w:lvl w:ilvl="8" w:tentative="1">
      <w:start w:val="1"/>
      <w:numFmt w:val="decimal"/>
      <w:lvlText w:val="%9."/>
      <w:lvlJc w:val="left"/>
      <w:pPr>
        <w:tabs>
          <w:tab w:val="num" w:pos="6404"/>
        </w:tabs>
        <w:ind w:left="6404" w:hanging="360"/>
      </w:pPr>
    </w:lvl>
  </w:abstractNum>
  <w:abstractNum w:abstractNumId="7" w15:restartNumberingAfterBreak="0">
    <w:nsid w:val="62A05E70"/>
    <w:multiLevelType w:val="multilevel"/>
    <w:tmpl w:val="892AB1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7"/>
  </w:num>
  <w:num w:numId="3">
    <w:abstractNumId w:val="1"/>
  </w:num>
  <w:num w:numId="4">
    <w:abstractNumId w:val="5"/>
  </w:num>
  <w:num w:numId="5">
    <w:abstractNumId w:val="2"/>
  </w:num>
  <w:num w:numId="6">
    <w:abstractNumId w:val="3"/>
  </w:num>
  <w:num w:numId="7">
    <w:abstractNumId w:val="4"/>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E234C"/>
    <w:rsid w:val="000012C7"/>
    <w:rsid w:val="000E7423"/>
    <w:rsid w:val="001134F5"/>
    <w:rsid w:val="00151E2B"/>
    <w:rsid w:val="00193FF4"/>
    <w:rsid w:val="002C47A3"/>
    <w:rsid w:val="002E1F2C"/>
    <w:rsid w:val="002E699E"/>
    <w:rsid w:val="0030231B"/>
    <w:rsid w:val="003A2B50"/>
    <w:rsid w:val="00472936"/>
    <w:rsid w:val="004D235C"/>
    <w:rsid w:val="005252C0"/>
    <w:rsid w:val="00566A45"/>
    <w:rsid w:val="00567E74"/>
    <w:rsid w:val="00591035"/>
    <w:rsid w:val="005B2669"/>
    <w:rsid w:val="005C5477"/>
    <w:rsid w:val="00664B92"/>
    <w:rsid w:val="006E3D2B"/>
    <w:rsid w:val="0071112D"/>
    <w:rsid w:val="00742708"/>
    <w:rsid w:val="00754A1F"/>
    <w:rsid w:val="00771F25"/>
    <w:rsid w:val="008126CC"/>
    <w:rsid w:val="00825D68"/>
    <w:rsid w:val="008C1333"/>
    <w:rsid w:val="009E234C"/>
    <w:rsid w:val="00A76BA8"/>
    <w:rsid w:val="00A86D82"/>
    <w:rsid w:val="00BA690C"/>
    <w:rsid w:val="00BD1790"/>
    <w:rsid w:val="00C466BC"/>
    <w:rsid w:val="00C5400F"/>
    <w:rsid w:val="00CA4A88"/>
    <w:rsid w:val="00D74334"/>
    <w:rsid w:val="00D77C53"/>
    <w:rsid w:val="00D91761"/>
    <w:rsid w:val="00EA65A3"/>
    <w:rsid w:val="00EC613D"/>
    <w:rsid w:val="00EF3FE2"/>
    <w:rsid w:val="00F54974"/>
    <w:rsid w:val="00F66FCF"/>
    <w:rsid w:val="00F7551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600AB4"/>
  <w15:docId w15:val="{C95C99EE-BAE2-49F6-A030-44C4CAD39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keepLines/>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BD1790"/>
    <w:pPr>
      <w:tabs>
        <w:tab w:val="center" w:pos="4680"/>
        <w:tab w:val="right" w:pos="9360"/>
      </w:tabs>
      <w:spacing w:line="240" w:lineRule="auto"/>
    </w:pPr>
  </w:style>
  <w:style w:type="character" w:customStyle="1" w:styleId="HeaderChar">
    <w:name w:val="Header Char"/>
    <w:basedOn w:val="DefaultParagraphFont"/>
    <w:link w:val="Header"/>
    <w:uiPriority w:val="99"/>
    <w:rsid w:val="00BD1790"/>
  </w:style>
  <w:style w:type="paragraph" w:styleId="Footer">
    <w:name w:val="footer"/>
    <w:basedOn w:val="Normal"/>
    <w:link w:val="FooterChar"/>
    <w:uiPriority w:val="99"/>
    <w:unhideWhenUsed/>
    <w:rsid w:val="00BD1790"/>
    <w:pPr>
      <w:tabs>
        <w:tab w:val="center" w:pos="4680"/>
        <w:tab w:val="right" w:pos="9360"/>
      </w:tabs>
      <w:spacing w:line="240" w:lineRule="auto"/>
    </w:pPr>
  </w:style>
  <w:style w:type="character" w:customStyle="1" w:styleId="FooterChar">
    <w:name w:val="Footer Char"/>
    <w:basedOn w:val="DefaultParagraphFont"/>
    <w:link w:val="Footer"/>
    <w:uiPriority w:val="99"/>
    <w:rsid w:val="00BD1790"/>
  </w:style>
  <w:style w:type="paragraph" w:styleId="TOCHeading">
    <w:name w:val="TOC Heading"/>
    <w:basedOn w:val="Heading1"/>
    <w:next w:val="Normal"/>
    <w:uiPriority w:val="39"/>
    <w:unhideWhenUsed/>
    <w:qFormat/>
    <w:rsid w:val="006E3D2B"/>
    <w:pPr>
      <w:spacing w:before="24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6E3D2B"/>
    <w:pPr>
      <w:spacing w:after="100"/>
    </w:pPr>
  </w:style>
  <w:style w:type="character" w:styleId="Hyperlink">
    <w:name w:val="Hyperlink"/>
    <w:basedOn w:val="DefaultParagraphFont"/>
    <w:uiPriority w:val="99"/>
    <w:unhideWhenUsed/>
    <w:rsid w:val="006E3D2B"/>
    <w:rPr>
      <w:color w:val="0000FF" w:themeColor="hyperlink"/>
      <w:u w:val="single"/>
    </w:rPr>
  </w:style>
  <w:style w:type="paragraph" w:styleId="BalloonText">
    <w:name w:val="Balloon Text"/>
    <w:basedOn w:val="Normal"/>
    <w:link w:val="BalloonTextChar"/>
    <w:uiPriority w:val="99"/>
    <w:semiHidden/>
    <w:unhideWhenUsed/>
    <w:rsid w:val="008C133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133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9156296">
      <w:bodyDiv w:val="1"/>
      <w:marLeft w:val="0"/>
      <w:marRight w:val="0"/>
      <w:marTop w:val="0"/>
      <w:marBottom w:val="0"/>
      <w:divBdr>
        <w:top w:val="none" w:sz="0" w:space="0" w:color="auto"/>
        <w:left w:val="none" w:sz="0" w:space="0" w:color="auto"/>
        <w:bottom w:val="none" w:sz="0" w:space="0" w:color="auto"/>
        <w:right w:val="none" w:sz="0" w:space="0" w:color="auto"/>
      </w:divBdr>
    </w:div>
    <w:div w:id="564802289">
      <w:bodyDiv w:val="1"/>
      <w:marLeft w:val="0"/>
      <w:marRight w:val="0"/>
      <w:marTop w:val="0"/>
      <w:marBottom w:val="0"/>
      <w:divBdr>
        <w:top w:val="none" w:sz="0" w:space="0" w:color="auto"/>
        <w:left w:val="none" w:sz="0" w:space="0" w:color="auto"/>
        <w:bottom w:val="none" w:sz="0" w:space="0" w:color="auto"/>
        <w:right w:val="none" w:sz="0" w:space="0" w:color="auto"/>
      </w:divBdr>
    </w:div>
    <w:div w:id="577906873">
      <w:bodyDiv w:val="1"/>
      <w:marLeft w:val="0"/>
      <w:marRight w:val="0"/>
      <w:marTop w:val="0"/>
      <w:marBottom w:val="0"/>
      <w:divBdr>
        <w:top w:val="none" w:sz="0" w:space="0" w:color="auto"/>
        <w:left w:val="none" w:sz="0" w:space="0" w:color="auto"/>
        <w:bottom w:val="none" w:sz="0" w:space="0" w:color="auto"/>
        <w:right w:val="none" w:sz="0" w:space="0" w:color="auto"/>
      </w:divBdr>
    </w:div>
    <w:div w:id="826868839">
      <w:bodyDiv w:val="1"/>
      <w:marLeft w:val="0"/>
      <w:marRight w:val="0"/>
      <w:marTop w:val="0"/>
      <w:marBottom w:val="0"/>
      <w:divBdr>
        <w:top w:val="none" w:sz="0" w:space="0" w:color="auto"/>
        <w:left w:val="none" w:sz="0" w:space="0" w:color="auto"/>
        <w:bottom w:val="none" w:sz="0" w:space="0" w:color="auto"/>
        <w:right w:val="none" w:sz="0" w:space="0" w:color="auto"/>
      </w:divBdr>
    </w:div>
    <w:div w:id="1621492815">
      <w:bodyDiv w:val="1"/>
      <w:marLeft w:val="0"/>
      <w:marRight w:val="0"/>
      <w:marTop w:val="0"/>
      <w:marBottom w:val="0"/>
      <w:divBdr>
        <w:top w:val="none" w:sz="0" w:space="0" w:color="auto"/>
        <w:left w:val="none" w:sz="0" w:space="0" w:color="auto"/>
        <w:bottom w:val="none" w:sz="0" w:space="0" w:color="auto"/>
        <w:right w:val="none" w:sz="0" w:space="0" w:color="auto"/>
      </w:divBdr>
    </w:div>
    <w:div w:id="20128785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ACB5A8-8DB7-487D-A3E6-F672B12378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TotalTime>
  <Pages>12</Pages>
  <Words>2681</Words>
  <Characters>16223</Characters>
  <Application>Microsoft Office Word</Application>
  <DocSecurity>0</DocSecurity>
  <Lines>331</Lines>
  <Paragraphs>122</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1. Overview of the business idea, products and services.</vt:lpstr>
      <vt:lpstr>2. Legal format of the startup company.</vt:lpstr>
      <vt:lpstr>3. Management of the company (Owner, employees and the requirements for external</vt:lpstr>
      <vt:lpstr>4. Evaluation of the business idea by using the PESTEL analysis model.</vt:lpstr>
      <vt:lpstr>5. The application of the 4Ps of marketing to the business plan.</vt:lpstr>
      <vt:lpstr/>
      <vt:lpstr>6. Suggested revenue model.</vt:lpstr>
      <vt:lpstr>7.  Cash flow forecast for the first 12 months. Startup funding not exceeding £2</vt:lpstr>
      <vt:lpstr>8. Reference List</vt:lpstr>
    </vt:vector>
  </TitlesOfParts>
  <Company/>
  <LinksUpToDate>false</LinksUpToDate>
  <CharactersWithSpaces>18782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Zoe Matthews</dc:creator>
  <cp:lastModifiedBy>Zoe Matthews</cp:lastModifiedBy>
  <cp:revision>9</cp:revision>
  <cp:lastPrinted>2024-06-20T12:39:00Z</cp:lastPrinted>
  <dcterms:created xsi:type="dcterms:W3CDTF">2024-06-19T15:56:00Z</dcterms:created>
  <dcterms:modified xsi:type="dcterms:W3CDTF">2024-06-20T12:44:00Z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60f22fcb5302066b9836bab8effbe83177d34141b8ae92f9de14fcba249c11d6</vt:lpwstr>
  </property>
</Properties>
</file>