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204C2" w14:textId="5BFBA62B" w:rsidR="00E207FC" w:rsidRPr="00E13607" w:rsidRDefault="00E13607" w:rsidP="00E13607">
      <w:pPr>
        <w:jc w:val="center"/>
        <w:rPr>
          <w:rFonts w:ascii="Arial" w:hAnsi="Arial" w:cs="Arial"/>
          <w:b/>
          <w:bCs/>
          <w:sz w:val="24"/>
          <w:szCs w:val="24"/>
        </w:rPr>
      </w:pPr>
      <w:r w:rsidRPr="00E13607">
        <w:rPr>
          <w:rFonts w:ascii="Arial" w:hAnsi="Arial" w:cs="Arial"/>
          <w:b/>
          <w:bCs/>
          <w:sz w:val="24"/>
          <w:szCs w:val="24"/>
        </w:rPr>
        <w:t>Case Study: The Seacrest Lodge</w:t>
      </w:r>
    </w:p>
    <w:p w14:paraId="2362421E" w14:textId="77777777" w:rsidR="00E13607" w:rsidRDefault="00E13607" w:rsidP="00E13607">
      <w:pPr>
        <w:jc w:val="center"/>
        <w:rPr>
          <w:rFonts w:ascii="Arial" w:hAnsi="Arial" w:cs="Arial"/>
          <w:b/>
          <w:bCs/>
          <w:sz w:val="36"/>
          <w:szCs w:val="36"/>
        </w:rPr>
      </w:pPr>
    </w:p>
    <w:p w14:paraId="30665485" w14:textId="77777777" w:rsidR="00E13607" w:rsidRDefault="00E13607" w:rsidP="00E13607">
      <w:pPr>
        <w:jc w:val="center"/>
        <w:rPr>
          <w:rFonts w:ascii="Arial" w:hAnsi="Arial" w:cs="Arial"/>
          <w:b/>
          <w:bCs/>
          <w:sz w:val="24"/>
          <w:szCs w:val="24"/>
        </w:rPr>
      </w:pPr>
      <w:r>
        <w:rPr>
          <w:rFonts w:ascii="Arial" w:hAnsi="Arial" w:cs="Arial"/>
          <w:b/>
          <w:bCs/>
          <w:sz w:val="24"/>
          <w:szCs w:val="24"/>
        </w:rPr>
        <w:t>Student name:</w:t>
      </w:r>
    </w:p>
    <w:p w14:paraId="60C52FE8" w14:textId="77777777" w:rsidR="00E13607" w:rsidRDefault="00E13607" w:rsidP="00E13607">
      <w:pPr>
        <w:jc w:val="center"/>
        <w:rPr>
          <w:rFonts w:ascii="Arial" w:hAnsi="Arial" w:cs="Arial"/>
          <w:b/>
          <w:bCs/>
          <w:sz w:val="24"/>
          <w:szCs w:val="24"/>
        </w:rPr>
      </w:pPr>
      <w:r>
        <w:rPr>
          <w:rFonts w:ascii="Arial" w:hAnsi="Arial" w:cs="Arial"/>
          <w:b/>
          <w:bCs/>
          <w:sz w:val="24"/>
          <w:szCs w:val="24"/>
        </w:rPr>
        <w:t>Roberto-Alexandru Stere</w:t>
      </w:r>
    </w:p>
    <w:p w14:paraId="07CBBCF6" w14:textId="77777777" w:rsidR="00E13607" w:rsidRDefault="00E13607" w:rsidP="00E13607">
      <w:pPr>
        <w:jc w:val="center"/>
        <w:rPr>
          <w:rFonts w:ascii="Arial" w:hAnsi="Arial" w:cs="Arial"/>
          <w:b/>
          <w:bCs/>
          <w:sz w:val="24"/>
          <w:szCs w:val="24"/>
        </w:rPr>
      </w:pPr>
      <w:r>
        <w:rPr>
          <w:rFonts w:ascii="Arial" w:hAnsi="Arial" w:cs="Arial"/>
          <w:b/>
          <w:bCs/>
          <w:sz w:val="24"/>
          <w:szCs w:val="24"/>
        </w:rPr>
        <w:t>Student ID:</w:t>
      </w:r>
    </w:p>
    <w:p w14:paraId="2E1CEF80" w14:textId="77777777" w:rsidR="00E13607" w:rsidRDefault="00E13607" w:rsidP="00E13607">
      <w:pPr>
        <w:jc w:val="center"/>
        <w:rPr>
          <w:rFonts w:ascii="Arial" w:hAnsi="Arial" w:cs="Arial"/>
          <w:b/>
          <w:bCs/>
          <w:sz w:val="24"/>
          <w:szCs w:val="24"/>
        </w:rPr>
      </w:pPr>
      <w:r>
        <w:rPr>
          <w:rFonts w:ascii="Arial" w:hAnsi="Arial" w:cs="Arial"/>
          <w:b/>
          <w:bCs/>
          <w:sz w:val="24"/>
          <w:szCs w:val="24"/>
        </w:rPr>
        <w:t>2214492</w:t>
      </w:r>
    </w:p>
    <w:p w14:paraId="271CDBF1" w14:textId="77777777" w:rsidR="00E13607" w:rsidRDefault="00E13607" w:rsidP="00E13607">
      <w:pPr>
        <w:jc w:val="center"/>
        <w:rPr>
          <w:rFonts w:ascii="Arial" w:hAnsi="Arial" w:cs="Arial"/>
          <w:b/>
          <w:bCs/>
          <w:sz w:val="24"/>
          <w:szCs w:val="24"/>
        </w:rPr>
      </w:pPr>
    </w:p>
    <w:p w14:paraId="192E693F" w14:textId="77777777" w:rsidR="00E13607" w:rsidRDefault="00E13607" w:rsidP="00E13607">
      <w:pPr>
        <w:jc w:val="center"/>
        <w:rPr>
          <w:rFonts w:ascii="Arial" w:hAnsi="Arial" w:cs="Arial"/>
          <w:b/>
          <w:bCs/>
          <w:sz w:val="24"/>
          <w:szCs w:val="24"/>
        </w:rPr>
      </w:pPr>
      <w:r>
        <w:rPr>
          <w:rFonts w:ascii="Arial" w:hAnsi="Arial" w:cs="Arial"/>
          <w:b/>
          <w:bCs/>
          <w:sz w:val="24"/>
          <w:szCs w:val="24"/>
        </w:rPr>
        <w:t>Module name:</w:t>
      </w:r>
    </w:p>
    <w:p w14:paraId="24884E4F" w14:textId="77777777" w:rsidR="00E13607" w:rsidRDefault="00E13607" w:rsidP="00E13607">
      <w:pPr>
        <w:jc w:val="center"/>
        <w:rPr>
          <w:rFonts w:ascii="Arial" w:hAnsi="Arial" w:cs="Arial"/>
          <w:b/>
          <w:bCs/>
          <w:sz w:val="24"/>
          <w:szCs w:val="24"/>
        </w:rPr>
      </w:pPr>
      <w:r w:rsidRPr="00030A2D">
        <w:rPr>
          <w:rFonts w:ascii="Arial" w:hAnsi="Arial" w:cs="Arial"/>
          <w:b/>
          <w:bCs/>
          <w:sz w:val="24"/>
          <w:szCs w:val="24"/>
        </w:rPr>
        <w:t>Financial Management for the Hotel Industry</w:t>
      </w:r>
    </w:p>
    <w:p w14:paraId="1C30FDED" w14:textId="77777777" w:rsidR="00E13607" w:rsidRDefault="00E13607" w:rsidP="00E13607">
      <w:pPr>
        <w:jc w:val="center"/>
        <w:rPr>
          <w:rFonts w:ascii="Arial" w:hAnsi="Arial" w:cs="Arial"/>
          <w:b/>
          <w:bCs/>
          <w:sz w:val="24"/>
          <w:szCs w:val="24"/>
        </w:rPr>
      </w:pPr>
      <w:r>
        <w:rPr>
          <w:rFonts w:ascii="Arial" w:hAnsi="Arial" w:cs="Arial"/>
          <w:b/>
          <w:bCs/>
          <w:sz w:val="24"/>
          <w:szCs w:val="24"/>
        </w:rPr>
        <w:t>BMIH5007</w:t>
      </w:r>
    </w:p>
    <w:p w14:paraId="1E8A1CAE" w14:textId="77777777" w:rsidR="00E13607" w:rsidRDefault="00E13607" w:rsidP="00E13607">
      <w:pPr>
        <w:jc w:val="center"/>
        <w:rPr>
          <w:rFonts w:ascii="Arial" w:hAnsi="Arial" w:cs="Arial"/>
          <w:b/>
          <w:bCs/>
          <w:sz w:val="24"/>
          <w:szCs w:val="24"/>
        </w:rPr>
      </w:pPr>
    </w:p>
    <w:p w14:paraId="337AFFCD" w14:textId="77777777" w:rsidR="00E13607" w:rsidRDefault="00E13607" w:rsidP="00E13607">
      <w:pPr>
        <w:jc w:val="center"/>
        <w:rPr>
          <w:rFonts w:ascii="Arial" w:hAnsi="Arial" w:cs="Arial"/>
          <w:b/>
          <w:bCs/>
          <w:sz w:val="24"/>
          <w:szCs w:val="24"/>
        </w:rPr>
      </w:pPr>
      <w:r>
        <w:rPr>
          <w:rFonts w:ascii="Arial" w:hAnsi="Arial" w:cs="Arial"/>
          <w:b/>
          <w:bCs/>
          <w:sz w:val="24"/>
          <w:szCs w:val="24"/>
        </w:rPr>
        <w:t>Lecturer name:</w:t>
      </w:r>
    </w:p>
    <w:p w14:paraId="10B424FB" w14:textId="77777777" w:rsidR="00E13607" w:rsidRDefault="00E13607" w:rsidP="00E13607">
      <w:pPr>
        <w:jc w:val="center"/>
        <w:rPr>
          <w:rFonts w:ascii="Arial" w:hAnsi="Arial" w:cs="Arial"/>
          <w:b/>
          <w:bCs/>
          <w:sz w:val="24"/>
          <w:szCs w:val="24"/>
        </w:rPr>
      </w:pPr>
      <w:r w:rsidRPr="00030A2D">
        <w:rPr>
          <w:rFonts w:ascii="Arial" w:hAnsi="Arial" w:cs="Arial"/>
          <w:b/>
          <w:bCs/>
          <w:sz w:val="24"/>
          <w:szCs w:val="24"/>
        </w:rPr>
        <w:t>Jaliya de Silva</w:t>
      </w:r>
    </w:p>
    <w:p w14:paraId="69FB6BED" w14:textId="77777777" w:rsidR="00E13607" w:rsidRDefault="00E13607" w:rsidP="00E13607">
      <w:pPr>
        <w:jc w:val="center"/>
        <w:rPr>
          <w:rFonts w:ascii="Arial" w:hAnsi="Arial" w:cs="Arial"/>
          <w:b/>
          <w:bCs/>
          <w:sz w:val="24"/>
          <w:szCs w:val="24"/>
        </w:rPr>
      </w:pPr>
    </w:p>
    <w:p w14:paraId="6D684C85" w14:textId="77777777" w:rsidR="00E13607" w:rsidRDefault="00E13607" w:rsidP="00E13607">
      <w:pPr>
        <w:jc w:val="center"/>
        <w:rPr>
          <w:rFonts w:ascii="Arial" w:hAnsi="Arial" w:cs="Arial"/>
          <w:b/>
          <w:bCs/>
          <w:sz w:val="24"/>
          <w:szCs w:val="24"/>
        </w:rPr>
      </w:pPr>
      <w:r>
        <w:rPr>
          <w:rFonts w:ascii="Arial" w:hAnsi="Arial" w:cs="Arial"/>
          <w:b/>
          <w:bCs/>
          <w:sz w:val="24"/>
          <w:szCs w:val="24"/>
        </w:rPr>
        <w:t>Word count:</w:t>
      </w:r>
    </w:p>
    <w:p w14:paraId="13E49428" w14:textId="52DD6600" w:rsidR="00E13607" w:rsidRPr="0001134D" w:rsidRDefault="0001134D" w:rsidP="00E13607">
      <w:pPr>
        <w:jc w:val="center"/>
        <w:rPr>
          <w:rFonts w:ascii="Arial" w:hAnsi="Arial" w:cs="Arial"/>
          <w:b/>
          <w:bCs/>
          <w:sz w:val="24"/>
          <w:szCs w:val="24"/>
        </w:rPr>
      </w:pPr>
      <w:r w:rsidRPr="0001134D">
        <w:rPr>
          <w:rFonts w:ascii="Arial" w:hAnsi="Arial" w:cs="Arial"/>
          <w:b/>
          <w:bCs/>
          <w:sz w:val="24"/>
          <w:szCs w:val="24"/>
        </w:rPr>
        <w:t>1911</w:t>
      </w:r>
    </w:p>
    <w:p w14:paraId="71EF9EB7" w14:textId="68715BE0" w:rsidR="00E13607" w:rsidRDefault="00E13607" w:rsidP="00E13607">
      <w:pPr>
        <w:jc w:val="center"/>
        <w:rPr>
          <w:rFonts w:ascii="Arial" w:hAnsi="Arial" w:cs="Arial"/>
          <w:b/>
          <w:bCs/>
          <w:sz w:val="36"/>
          <w:szCs w:val="36"/>
        </w:rPr>
      </w:pPr>
    </w:p>
    <w:p w14:paraId="5FDE9E54" w14:textId="77777777" w:rsidR="00E13607" w:rsidRDefault="00E13607">
      <w:pPr>
        <w:rPr>
          <w:rFonts w:ascii="Arial" w:hAnsi="Arial" w:cs="Arial"/>
          <w:b/>
          <w:bCs/>
          <w:sz w:val="36"/>
          <w:szCs w:val="36"/>
        </w:rPr>
      </w:pPr>
      <w:r>
        <w:rPr>
          <w:rFonts w:ascii="Arial" w:hAnsi="Arial" w:cs="Arial"/>
          <w:b/>
          <w:bCs/>
          <w:sz w:val="36"/>
          <w:szCs w:val="36"/>
        </w:rPr>
        <w:br w:type="page"/>
      </w:r>
    </w:p>
    <w:p w14:paraId="2BC8605E" w14:textId="77777777" w:rsidR="00E13607" w:rsidRPr="00FA4CFD" w:rsidRDefault="00E13607" w:rsidP="00E13607">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r w:rsidRPr="00FA4CFD">
        <w:rPr>
          <w:rFonts w:ascii="Arial" w:eastAsia="Times New Roman" w:hAnsi="Arial" w:cs="Arial"/>
          <w:b/>
          <w:bCs/>
          <w:color w:val="0D0D0D"/>
          <w:kern w:val="0"/>
          <w:sz w:val="36"/>
          <w:szCs w:val="36"/>
          <w:lang w:eastAsia="en-GB"/>
          <w14:ligatures w14:val="none"/>
        </w:rPr>
        <w:lastRenderedPageBreak/>
        <w:t>Table of Contents</w:t>
      </w:r>
    </w:p>
    <w:p w14:paraId="4125B709" w14:textId="77777777" w:rsidR="00E13607" w:rsidRPr="00E13607" w:rsidRDefault="00E13607" w:rsidP="00E13607">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b/>
          <w:bCs/>
          <w:color w:val="0D0D0D"/>
          <w:kern w:val="0"/>
          <w:sz w:val="24"/>
          <w:szCs w:val="24"/>
          <w:lang w:eastAsia="en-GB"/>
          <w14:ligatures w14:val="none"/>
        </w:rPr>
      </w:pPr>
      <w:r w:rsidRPr="00E13607">
        <w:rPr>
          <w:rFonts w:ascii="Arial" w:eastAsia="Times New Roman" w:hAnsi="Arial" w:cs="Arial"/>
          <w:b/>
          <w:bCs/>
          <w:color w:val="0D0D0D"/>
          <w:kern w:val="0"/>
          <w:sz w:val="24"/>
          <w:szCs w:val="24"/>
          <w:lang w:eastAsia="en-GB"/>
          <w14:ligatures w14:val="none"/>
        </w:rPr>
        <w:t>Executive summary</w:t>
      </w:r>
    </w:p>
    <w:p w14:paraId="70904A33" w14:textId="77777777" w:rsidR="00E13607" w:rsidRPr="00E13607" w:rsidRDefault="00E13607" w:rsidP="00E1360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5EEBB9A5" w14:textId="77777777" w:rsidR="00E13607" w:rsidRPr="00E13607" w:rsidRDefault="00E13607" w:rsidP="00E13607">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b/>
          <w:bCs/>
          <w:color w:val="0D0D0D"/>
          <w:kern w:val="0"/>
          <w:sz w:val="24"/>
          <w:szCs w:val="24"/>
          <w:lang w:eastAsia="en-GB"/>
          <w14:ligatures w14:val="none"/>
        </w:rPr>
      </w:pPr>
      <w:r w:rsidRPr="00E13607">
        <w:rPr>
          <w:rFonts w:ascii="Arial" w:eastAsia="Times New Roman" w:hAnsi="Arial" w:cs="Arial"/>
          <w:b/>
          <w:bCs/>
          <w:color w:val="0D0D0D"/>
          <w:kern w:val="0"/>
          <w:sz w:val="24"/>
          <w:szCs w:val="24"/>
          <w:lang w:eastAsia="en-GB"/>
          <w14:ligatures w14:val="none"/>
        </w:rPr>
        <w:t>Introduction</w:t>
      </w:r>
    </w:p>
    <w:p w14:paraId="1E3D5915" w14:textId="77777777" w:rsidR="00E13607" w:rsidRPr="00FA4CFD" w:rsidRDefault="00E13607" w:rsidP="00E1360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143DE5EE" w14:textId="77777777" w:rsidR="00E13607" w:rsidRPr="00E13607" w:rsidRDefault="00E13607" w:rsidP="00E13607">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b/>
          <w:bCs/>
          <w:color w:val="0D0D0D"/>
          <w:kern w:val="0"/>
          <w:sz w:val="24"/>
          <w:szCs w:val="24"/>
          <w:lang w:eastAsia="en-GB"/>
          <w14:ligatures w14:val="none"/>
        </w:rPr>
      </w:pPr>
      <w:r w:rsidRPr="00FA4CFD">
        <w:rPr>
          <w:rFonts w:ascii="Arial" w:eastAsia="Times New Roman" w:hAnsi="Arial" w:cs="Arial"/>
          <w:b/>
          <w:bCs/>
          <w:color w:val="0D0D0D"/>
          <w:kern w:val="0"/>
          <w:sz w:val="24"/>
          <w:szCs w:val="24"/>
          <w:lang w:eastAsia="en-GB"/>
          <w14:ligatures w14:val="none"/>
        </w:rPr>
        <w:t>Market Analysis</w:t>
      </w:r>
    </w:p>
    <w:p w14:paraId="3B8960BB" w14:textId="77777777" w:rsidR="00E13607" w:rsidRPr="00FA4CFD" w:rsidRDefault="00E13607" w:rsidP="00E1360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25AAA006" w14:textId="77777777" w:rsidR="00E13607" w:rsidRPr="00E13607" w:rsidRDefault="00E13607" w:rsidP="00E13607">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b/>
          <w:bCs/>
          <w:color w:val="0D0D0D"/>
          <w:kern w:val="0"/>
          <w:sz w:val="24"/>
          <w:szCs w:val="24"/>
          <w:lang w:eastAsia="en-GB"/>
          <w14:ligatures w14:val="none"/>
        </w:rPr>
      </w:pPr>
      <w:r w:rsidRPr="00FA4CFD">
        <w:rPr>
          <w:rFonts w:ascii="Arial" w:eastAsia="Times New Roman" w:hAnsi="Arial" w:cs="Arial"/>
          <w:b/>
          <w:bCs/>
          <w:color w:val="0D0D0D"/>
          <w:kern w:val="0"/>
          <w:sz w:val="24"/>
          <w:szCs w:val="24"/>
          <w:lang w:eastAsia="en-GB"/>
          <w14:ligatures w14:val="none"/>
        </w:rPr>
        <w:t>Financial Performance Analysis</w:t>
      </w:r>
    </w:p>
    <w:p w14:paraId="5178A787" w14:textId="77777777" w:rsidR="00E13607" w:rsidRPr="00FA4CFD" w:rsidRDefault="00E13607" w:rsidP="00E1360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1DC9C160" w14:textId="77777777" w:rsidR="00E13607" w:rsidRPr="00E13607" w:rsidRDefault="00E13607" w:rsidP="00E13607">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b/>
          <w:bCs/>
          <w:color w:val="0D0D0D"/>
          <w:kern w:val="0"/>
          <w:sz w:val="24"/>
          <w:szCs w:val="24"/>
          <w:lang w:eastAsia="en-GB"/>
          <w14:ligatures w14:val="none"/>
        </w:rPr>
      </w:pPr>
      <w:r w:rsidRPr="00FA4CFD">
        <w:rPr>
          <w:rFonts w:ascii="Arial" w:eastAsia="Times New Roman" w:hAnsi="Arial" w:cs="Arial"/>
          <w:b/>
          <w:bCs/>
          <w:color w:val="0D0D0D"/>
          <w:kern w:val="0"/>
          <w:sz w:val="24"/>
          <w:szCs w:val="24"/>
          <w:lang w:eastAsia="en-GB"/>
          <w14:ligatures w14:val="none"/>
        </w:rPr>
        <w:t>Turnaround Strategy</w:t>
      </w:r>
    </w:p>
    <w:p w14:paraId="134A3C79" w14:textId="77777777" w:rsidR="00E13607" w:rsidRPr="00FA4CFD" w:rsidRDefault="00E13607" w:rsidP="00E1360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600C4662" w14:textId="77777777" w:rsidR="00E13607" w:rsidRPr="00E13607" w:rsidRDefault="00E13607" w:rsidP="00E13607">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b/>
          <w:bCs/>
          <w:color w:val="0D0D0D"/>
          <w:kern w:val="0"/>
          <w:sz w:val="24"/>
          <w:szCs w:val="24"/>
          <w:lang w:eastAsia="en-GB"/>
          <w14:ligatures w14:val="none"/>
        </w:rPr>
      </w:pPr>
      <w:r w:rsidRPr="00FA4CFD">
        <w:rPr>
          <w:rFonts w:ascii="Arial" w:eastAsia="Times New Roman" w:hAnsi="Arial" w:cs="Arial"/>
          <w:b/>
          <w:bCs/>
          <w:color w:val="0D0D0D"/>
          <w:kern w:val="0"/>
          <w:sz w:val="24"/>
          <w:szCs w:val="24"/>
          <w:lang w:eastAsia="en-GB"/>
          <w14:ligatures w14:val="none"/>
        </w:rPr>
        <w:t>Conclusion</w:t>
      </w:r>
    </w:p>
    <w:p w14:paraId="050B5D70" w14:textId="77777777" w:rsidR="00E13607" w:rsidRPr="00FA4CFD" w:rsidRDefault="00E13607" w:rsidP="00E1360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ascii="Segoe UI" w:eastAsia="Times New Roman" w:hAnsi="Segoe UI" w:cs="Segoe UI"/>
          <w:b/>
          <w:bCs/>
          <w:color w:val="0D0D0D"/>
          <w:kern w:val="0"/>
          <w:sz w:val="24"/>
          <w:szCs w:val="24"/>
          <w:lang w:eastAsia="en-GB"/>
          <w14:ligatures w14:val="none"/>
        </w:rPr>
      </w:pPr>
    </w:p>
    <w:p w14:paraId="382E6F52" w14:textId="648CDED6" w:rsidR="00E13607" w:rsidRDefault="00E13607" w:rsidP="00E13607">
      <w:pPr>
        <w:rPr>
          <w:rFonts w:ascii="Arial" w:hAnsi="Arial" w:cs="Arial"/>
          <w:b/>
          <w:bCs/>
          <w:sz w:val="36"/>
          <w:szCs w:val="36"/>
        </w:rPr>
      </w:pPr>
    </w:p>
    <w:p w14:paraId="05B75036" w14:textId="314EAC12" w:rsidR="00E13607" w:rsidRPr="00E13607" w:rsidRDefault="00E13607" w:rsidP="00E13607">
      <w:pPr>
        <w:ind w:left="360"/>
        <w:jc w:val="both"/>
        <w:rPr>
          <w:rFonts w:ascii="Arial" w:hAnsi="Arial" w:cs="Arial"/>
          <w:sz w:val="24"/>
          <w:szCs w:val="24"/>
        </w:rPr>
      </w:pPr>
      <w:r w:rsidRPr="00E13607">
        <w:rPr>
          <w:rFonts w:ascii="Arial" w:hAnsi="Arial" w:cs="Arial"/>
          <w:b/>
          <w:bCs/>
          <w:sz w:val="36"/>
          <w:szCs w:val="36"/>
        </w:rPr>
        <w:br w:type="page"/>
      </w:r>
      <w:r>
        <w:rPr>
          <w:rFonts w:ascii="Arial" w:hAnsi="Arial" w:cs="Arial"/>
          <w:b/>
          <w:bCs/>
          <w:sz w:val="24"/>
          <w:szCs w:val="24"/>
        </w:rPr>
        <w:lastRenderedPageBreak/>
        <w:t xml:space="preserve">Executive summary: </w:t>
      </w:r>
    </w:p>
    <w:p w14:paraId="7FAB053B" w14:textId="77777777" w:rsidR="00E13607" w:rsidRPr="00E13607" w:rsidRDefault="00E13607" w:rsidP="00E13607">
      <w:pPr>
        <w:spacing w:line="360" w:lineRule="auto"/>
        <w:ind w:left="360"/>
        <w:jc w:val="both"/>
        <w:rPr>
          <w:rFonts w:ascii="Arial" w:hAnsi="Arial" w:cs="Arial"/>
          <w:sz w:val="24"/>
          <w:szCs w:val="24"/>
        </w:rPr>
      </w:pPr>
      <w:r w:rsidRPr="00E13607">
        <w:rPr>
          <w:rFonts w:ascii="Arial" w:hAnsi="Arial" w:cs="Arial"/>
          <w:sz w:val="24"/>
          <w:szCs w:val="24"/>
        </w:rPr>
        <w:t>The Seacrest Lodge, a once prominent vacation destination, is currently facing significant challenges, including declining revenue, occupancy rates and guest satisfaction. In response to these challenges, this report proposes a comprehensive recovery strategy designed to revitalize the lodge's financial health and restore its reputation.</w:t>
      </w:r>
    </w:p>
    <w:p w14:paraId="5EF4A723" w14:textId="77777777" w:rsidR="00E13607" w:rsidRPr="00E13607" w:rsidRDefault="00E13607" w:rsidP="00E13607">
      <w:pPr>
        <w:spacing w:line="360" w:lineRule="auto"/>
        <w:ind w:left="360"/>
        <w:jc w:val="both"/>
        <w:rPr>
          <w:rFonts w:ascii="Arial" w:hAnsi="Arial" w:cs="Arial"/>
          <w:sz w:val="24"/>
          <w:szCs w:val="24"/>
        </w:rPr>
      </w:pPr>
      <w:r w:rsidRPr="00E13607">
        <w:rPr>
          <w:rFonts w:ascii="Arial" w:hAnsi="Arial" w:cs="Arial"/>
          <w:sz w:val="24"/>
          <w:szCs w:val="24"/>
        </w:rPr>
        <w:t>The market analysis shows that Seacrest Lodge operates in a highly competitive coastal market, where customer preferences have shifted toward upgraded amenities and superior service. Analysis of financial performance shows a disturbing trend of declining revenues, occupancy rates and negative net income over the past three years.</w:t>
      </w:r>
    </w:p>
    <w:p w14:paraId="6EECE9EF" w14:textId="77777777" w:rsidR="00E13607" w:rsidRPr="00E13607" w:rsidRDefault="00E13607" w:rsidP="00E13607">
      <w:pPr>
        <w:spacing w:line="360" w:lineRule="auto"/>
        <w:ind w:left="360"/>
        <w:jc w:val="both"/>
        <w:rPr>
          <w:rFonts w:ascii="Arial" w:hAnsi="Arial" w:cs="Arial"/>
          <w:sz w:val="24"/>
          <w:szCs w:val="24"/>
        </w:rPr>
      </w:pPr>
      <w:r w:rsidRPr="00E13607">
        <w:rPr>
          <w:rFonts w:ascii="Arial" w:hAnsi="Arial" w:cs="Arial"/>
          <w:sz w:val="24"/>
          <w:szCs w:val="24"/>
        </w:rPr>
        <w:t>The proposed recovery strategy addresses key issues such as declining revenue and occupancy rates, negative net income, and outdated facilities and service quality. Strategies include renovating and upgrading facilities, launching a comprehensive marketing campaign, improving the customer experience, diversifying revenue streams and optimising costs.</w:t>
      </w:r>
    </w:p>
    <w:p w14:paraId="11D76C5D" w14:textId="06B5D97E" w:rsidR="002F2254" w:rsidRDefault="00E13607" w:rsidP="00E13607">
      <w:pPr>
        <w:spacing w:line="360" w:lineRule="auto"/>
        <w:ind w:left="360"/>
        <w:jc w:val="both"/>
        <w:rPr>
          <w:rFonts w:ascii="Arial" w:hAnsi="Arial" w:cs="Arial"/>
          <w:sz w:val="24"/>
          <w:szCs w:val="24"/>
        </w:rPr>
      </w:pPr>
      <w:r w:rsidRPr="00E13607">
        <w:rPr>
          <w:rFonts w:ascii="Arial" w:hAnsi="Arial" w:cs="Arial"/>
          <w:sz w:val="24"/>
          <w:szCs w:val="24"/>
        </w:rPr>
        <w:t>By implementing these strategies, Seacrest Lodge can regain its position as a top holiday destination, attract more customers, improve profitability and restore its reputation in the market. This report provides a roadmap for The Seacrest Lodge to achieve sustainable growth and success in the competitive hospitality industry.</w:t>
      </w:r>
    </w:p>
    <w:p w14:paraId="09656575" w14:textId="77777777" w:rsidR="002F2254" w:rsidRDefault="002F2254">
      <w:pPr>
        <w:rPr>
          <w:rFonts w:ascii="Arial" w:hAnsi="Arial" w:cs="Arial"/>
          <w:sz w:val="24"/>
          <w:szCs w:val="24"/>
        </w:rPr>
      </w:pPr>
      <w:r>
        <w:rPr>
          <w:rFonts w:ascii="Arial" w:hAnsi="Arial" w:cs="Arial"/>
          <w:sz w:val="24"/>
          <w:szCs w:val="24"/>
        </w:rPr>
        <w:br w:type="page"/>
      </w:r>
    </w:p>
    <w:p w14:paraId="7B8A60F0" w14:textId="34407CE7" w:rsidR="00E13607" w:rsidRDefault="002F2254" w:rsidP="00E13607">
      <w:pPr>
        <w:spacing w:line="360" w:lineRule="auto"/>
        <w:ind w:left="360"/>
        <w:jc w:val="both"/>
        <w:rPr>
          <w:rFonts w:ascii="Arial" w:hAnsi="Arial" w:cs="Arial"/>
          <w:b/>
          <w:bCs/>
          <w:sz w:val="24"/>
          <w:szCs w:val="24"/>
        </w:rPr>
      </w:pPr>
      <w:r>
        <w:rPr>
          <w:rFonts w:ascii="Arial" w:hAnsi="Arial" w:cs="Arial"/>
          <w:b/>
          <w:bCs/>
          <w:sz w:val="24"/>
          <w:szCs w:val="24"/>
        </w:rPr>
        <w:lastRenderedPageBreak/>
        <w:t>2.Introduction:</w:t>
      </w:r>
    </w:p>
    <w:p w14:paraId="7FD0143A" w14:textId="77777777" w:rsidR="002F2254" w:rsidRP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 xml:space="preserve">The Seacrest Lodge, nestled along the scenic coastline, has long been prized as a retreat for tourists seeking </w:t>
      </w:r>
      <w:proofErr w:type="spellStart"/>
      <w:r w:rsidRPr="002F2254">
        <w:rPr>
          <w:rFonts w:ascii="Arial" w:hAnsi="Arial" w:cs="Arial"/>
          <w:sz w:val="24"/>
          <w:szCs w:val="24"/>
        </w:rPr>
        <w:t>tranquility</w:t>
      </w:r>
      <w:proofErr w:type="spellEnd"/>
      <w:r w:rsidRPr="002F2254">
        <w:rPr>
          <w:rFonts w:ascii="Arial" w:hAnsi="Arial" w:cs="Arial"/>
          <w:sz w:val="24"/>
          <w:szCs w:val="24"/>
        </w:rPr>
        <w:t xml:space="preserve"> and seaside charm. Boasting stunning views, comfortable accommodation and warm hospitality, it was once a beacon of hospitality excellence in the region. However, in recent years, The Seacrest Lodge's serene facade has been overshadowed by a series of challenges that have threatened its position in the hospitality industry.</w:t>
      </w:r>
    </w:p>
    <w:p w14:paraId="5ADCD67A" w14:textId="6CA4F1E6" w:rsidR="002F2254" w:rsidRP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Amid changing consumer preferences and intensifying competition, The Seacrest Lodge has faced a worrying decline. Declining revenues, declining occupancy rates and declining customer satisfaction cast a shadow over its once glowing reputation. The winds of change have been blowing hard, forcing management to confront these pressing issues head-on.</w:t>
      </w:r>
    </w:p>
    <w:p w14:paraId="2809EE46" w14:textId="77777777" w:rsidR="002F2254" w:rsidRP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In response to these challenges, this report embarks on a journey to delve deep into the heart of Seacrest Lodge. By meticulously examining its current state, identifying key pain points, and examining industry trends, we aim to develop a comprehensive turnaround strategy. Our mission is clear: to breathe new life into The Seacrest Lodge, rejuvenate its financial vitality and rekindle the flame of its illustrious reputation.</w:t>
      </w:r>
    </w:p>
    <w:p w14:paraId="1064ED0D" w14:textId="2006B239" w:rsidR="00E13607" w:rsidRP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As we navigate the complicated landscape of hospitality management, we engage in a quest to discover innovative solutions, strategic insights and actionable recommendations. Together, let's embark on this transformative journey to lead Seacrest Lodge to a brighter, more prosperous future.</w:t>
      </w:r>
    </w:p>
    <w:p w14:paraId="5C30BB18" w14:textId="235D049F" w:rsidR="00E13607" w:rsidRDefault="00E13607" w:rsidP="00E13607">
      <w:pPr>
        <w:ind w:left="360"/>
        <w:jc w:val="both"/>
        <w:rPr>
          <w:rFonts w:ascii="Arial" w:hAnsi="Arial" w:cs="Arial"/>
          <w:b/>
          <w:bCs/>
          <w:sz w:val="24"/>
          <w:szCs w:val="24"/>
        </w:rPr>
      </w:pPr>
    </w:p>
    <w:p w14:paraId="2E5F49CA" w14:textId="34D51298" w:rsidR="002F2254" w:rsidRDefault="002F2254" w:rsidP="00E13607">
      <w:pPr>
        <w:ind w:left="360"/>
        <w:jc w:val="both"/>
        <w:rPr>
          <w:rFonts w:ascii="Arial" w:hAnsi="Arial" w:cs="Arial"/>
          <w:b/>
          <w:bCs/>
          <w:sz w:val="24"/>
          <w:szCs w:val="24"/>
        </w:rPr>
      </w:pPr>
      <w:r>
        <w:rPr>
          <w:rFonts w:ascii="Arial" w:hAnsi="Arial" w:cs="Arial"/>
          <w:b/>
          <w:bCs/>
          <w:sz w:val="24"/>
          <w:szCs w:val="24"/>
        </w:rPr>
        <w:t>3.Market Analysis:</w:t>
      </w:r>
    </w:p>
    <w:p w14:paraId="7ADD22F6" w14:textId="77777777" w:rsidR="002F2254" w:rsidRP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The coastal market in which Seacrest Lodge is located is not only competitive, but also dynamic, characterized by constantly evolving consumer preferences and industry trends. In recent years, the landscape has witnessed the emergence of newer, more modern resorts that boast state-of-the-art amenities and innovative offerings. These establishments have raised the bar for hospitality standards, forcing existing players like The Seacrest Lodge to adapt or risk being left behind.</w:t>
      </w:r>
    </w:p>
    <w:p w14:paraId="79D1C0BA" w14:textId="10932D3C" w:rsid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lastRenderedPageBreak/>
        <w:t xml:space="preserve">Customer preferences in the market have undergone a noticeable shift, with an increasing emphasis on contemporary amenities and </w:t>
      </w:r>
      <w:proofErr w:type="gramStart"/>
      <w:r w:rsidRPr="002F2254">
        <w:rPr>
          <w:rFonts w:ascii="Arial" w:hAnsi="Arial" w:cs="Arial"/>
          <w:sz w:val="24"/>
          <w:szCs w:val="24"/>
        </w:rPr>
        <w:t>high quality</w:t>
      </w:r>
      <w:proofErr w:type="gramEnd"/>
      <w:r w:rsidRPr="002F2254">
        <w:rPr>
          <w:rFonts w:ascii="Arial" w:hAnsi="Arial" w:cs="Arial"/>
          <w:sz w:val="24"/>
          <w:szCs w:val="24"/>
        </w:rPr>
        <w:t xml:space="preserve"> service. Today's discerning travellers are looking for immersive experiences, personalised touches and seamless service. As such, Seacrest Lodge's traditional charm, while once appealing, now risks being perceived as outdated compared to the offerings of its more progressive counterparts.</w:t>
      </w:r>
    </w:p>
    <w:p w14:paraId="52B7AA85" w14:textId="38220702" w:rsidR="002F2254" w:rsidRP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A</w:t>
      </w:r>
      <w:r>
        <w:rPr>
          <w:rFonts w:ascii="Arial" w:hAnsi="Arial" w:cs="Arial"/>
          <w:sz w:val="24"/>
          <w:szCs w:val="24"/>
        </w:rPr>
        <w:t>n</w:t>
      </w:r>
      <w:r w:rsidRPr="002F2254">
        <w:rPr>
          <w:rFonts w:ascii="Arial" w:hAnsi="Arial" w:cs="Arial"/>
          <w:sz w:val="24"/>
          <w:szCs w:val="24"/>
        </w:rPr>
        <w:t xml:space="preserve"> analysis of guest reviews further highlights the challenges facing The Seacrest Lodge. Dissatisfaction with the current quality of service and perceptions of outdated amenities are found throughout these testimonials, serving as poignant reminders of the gap between guest expectations and the lodge's current offerings. Issues such as aging infrastructure, limited recreational activities, and inconsistent service standards have eroded guest satisfaction and jeopardized the lodge's competitive position.</w:t>
      </w:r>
    </w:p>
    <w:p w14:paraId="67382DB8" w14:textId="6B15A32E" w:rsidR="002F2254" w:rsidRDefault="002F2254" w:rsidP="002F2254">
      <w:pPr>
        <w:spacing w:line="360" w:lineRule="auto"/>
        <w:ind w:left="360"/>
        <w:jc w:val="both"/>
        <w:rPr>
          <w:rFonts w:ascii="Arial" w:hAnsi="Arial" w:cs="Arial"/>
          <w:sz w:val="24"/>
          <w:szCs w:val="24"/>
        </w:rPr>
      </w:pPr>
      <w:r w:rsidRPr="002F2254">
        <w:rPr>
          <w:rFonts w:ascii="Arial" w:hAnsi="Arial" w:cs="Arial"/>
          <w:sz w:val="24"/>
          <w:szCs w:val="24"/>
        </w:rPr>
        <w:t xml:space="preserve">In this highly competitive market environment, success depends not only on meeting, but exceeding customer expectations. To thrive in this landscape, The Seacrest Lodge must embark on a journey of transformation, embracing innovation and redefining its value proposition to resonate with the evolving preferences of today's </w:t>
      </w:r>
      <w:proofErr w:type="spellStart"/>
      <w:r w:rsidRPr="002F2254">
        <w:rPr>
          <w:rFonts w:ascii="Arial" w:hAnsi="Arial" w:cs="Arial"/>
          <w:sz w:val="24"/>
          <w:szCs w:val="24"/>
        </w:rPr>
        <w:t>travelers</w:t>
      </w:r>
      <w:proofErr w:type="spellEnd"/>
      <w:r w:rsidRPr="002F2254">
        <w:rPr>
          <w:rFonts w:ascii="Arial" w:hAnsi="Arial" w:cs="Arial"/>
          <w:sz w:val="24"/>
          <w:szCs w:val="24"/>
        </w:rPr>
        <w:t>. Only by understanding and adapting to changing market dynamics can The Seacrest Lodge hope to reclaim its position as a sought-after destination on the coastal hospitality scene.</w:t>
      </w:r>
    </w:p>
    <w:p w14:paraId="565D86C9" w14:textId="41B61658" w:rsidR="002F2254" w:rsidRDefault="002F2254" w:rsidP="002F2254">
      <w:pPr>
        <w:spacing w:line="360" w:lineRule="auto"/>
        <w:ind w:left="360"/>
        <w:jc w:val="both"/>
        <w:rPr>
          <w:rFonts w:ascii="Arial" w:eastAsia="Times New Roman" w:hAnsi="Arial" w:cs="Arial"/>
          <w:b/>
          <w:bCs/>
          <w:color w:val="0D0D0D"/>
          <w:kern w:val="0"/>
          <w:sz w:val="24"/>
          <w:szCs w:val="24"/>
          <w:lang w:eastAsia="en-GB"/>
          <w14:ligatures w14:val="none"/>
        </w:rPr>
      </w:pPr>
      <w:r>
        <w:rPr>
          <w:rFonts w:ascii="Arial" w:hAnsi="Arial" w:cs="Arial"/>
          <w:b/>
          <w:bCs/>
          <w:sz w:val="24"/>
          <w:szCs w:val="24"/>
        </w:rPr>
        <w:t>4.</w:t>
      </w:r>
      <w:r w:rsidR="009D1F6D" w:rsidRPr="009D1F6D">
        <w:rPr>
          <w:rFonts w:ascii="Arial" w:eastAsia="Times New Roman" w:hAnsi="Arial" w:cs="Arial"/>
          <w:b/>
          <w:bCs/>
          <w:color w:val="0D0D0D"/>
          <w:kern w:val="0"/>
          <w:sz w:val="24"/>
          <w:szCs w:val="24"/>
          <w:lang w:eastAsia="en-GB"/>
          <w14:ligatures w14:val="none"/>
        </w:rPr>
        <w:t xml:space="preserve"> </w:t>
      </w:r>
      <w:r w:rsidR="009D1F6D" w:rsidRPr="00FA4CFD">
        <w:rPr>
          <w:rFonts w:ascii="Arial" w:eastAsia="Times New Roman" w:hAnsi="Arial" w:cs="Arial"/>
          <w:b/>
          <w:bCs/>
          <w:color w:val="0D0D0D"/>
          <w:kern w:val="0"/>
          <w:sz w:val="24"/>
          <w:szCs w:val="24"/>
          <w:lang w:eastAsia="en-GB"/>
          <w14:ligatures w14:val="none"/>
        </w:rPr>
        <w:t>Financial Performance Analysis</w:t>
      </w:r>
      <w:r w:rsidR="009D1F6D">
        <w:rPr>
          <w:rFonts w:ascii="Arial" w:eastAsia="Times New Roman" w:hAnsi="Arial" w:cs="Arial"/>
          <w:b/>
          <w:bCs/>
          <w:color w:val="0D0D0D"/>
          <w:kern w:val="0"/>
          <w:sz w:val="24"/>
          <w:szCs w:val="24"/>
          <w:lang w:eastAsia="en-GB"/>
          <w14:ligatures w14:val="none"/>
        </w:rPr>
        <w:t>:</w:t>
      </w:r>
    </w:p>
    <w:p w14:paraId="316A9A91" w14:textId="29E6474E" w:rsidR="009D1F6D" w:rsidRPr="009D1F6D" w:rsidRDefault="009D1F6D" w:rsidP="002F2254">
      <w:pPr>
        <w:spacing w:line="360" w:lineRule="auto"/>
        <w:ind w:left="360"/>
        <w:jc w:val="both"/>
        <w:rPr>
          <w:rFonts w:ascii="Arial" w:eastAsia="Times New Roman" w:hAnsi="Arial" w:cs="Arial"/>
          <w:b/>
          <w:bCs/>
          <w:color w:val="0D0D0D"/>
          <w:kern w:val="0"/>
          <w:sz w:val="24"/>
          <w:szCs w:val="24"/>
          <w:lang w:eastAsia="en-GB"/>
          <w14:ligatures w14:val="none"/>
        </w:rPr>
      </w:pPr>
      <w:r w:rsidRPr="009D1F6D">
        <w:rPr>
          <w:rFonts w:ascii="Arial" w:hAnsi="Arial" w:cs="Arial"/>
          <w:b/>
          <w:bCs/>
          <w:color w:val="0D0D0D"/>
          <w:sz w:val="24"/>
          <w:szCs w:val="24"/>
          <w:shd w:val="clear" w:color="auto" w:fill="FFFFFF"/>
        </w:rPr>
        <w:t>Income Statement Analysis (GBP)</w:t>
      </w:r>
      <w:r>
        <w:rPr>
          <w:rFonts w:ascii="Arial" w:hAnsi="Arial" w:cs="Arial"/>
          <w:b/>
          <w:bCs/>
          <w:color w:val="0D0D0D"/>
          <w:sz w:val="24"/>
          <w:szCs w:val="24"/>
          <w:shd w:val="clear" w:color="auto" w:fill="FFFFFF"/>
        </w:rPr>
        <w:t>:</w:t>
      </w:r>
    </w:p>
    <w:tbl>
      <w:tblPr>
        <w:tblStyle w:val="TableGrid"/>
        <w:tblW w:w="0" w:type="auto"/>
        <w:tblInd w:w="360" w:type="dxa"/>
        <w:tblLook w:val="04A0" w:firstRow="1" w:lastRow="0" w:firstColumn="1" w:lastColumn="0" w:noHBand="0" w:noVBand="1"/>
      </w:tblPr>
      <w:tblGrid>
        <w:gridCol w:w="2158"/>
        <w:gridCol w:w="2166"/>
        <w:gridCol w:w="2166"/>
        <w:gridCol w:w="2166"/>
      </w:tblGrid>
      <w:tr w:rsidR="009D1F6D" w14:paraId="3B57B747" w14:textId="77777777" w:rsidTr="009D1F6D">
        <w:tc>
          <w:tcPr>
            <w:tcW w:w="2254" w:type="dxa"/>
          </w:tcPr>
          <w:p w14:paraId="4DBAACA0" w14:textId="21F0A26F" w:rsidR="009D1F6D" w:rsidRDefault="009D1F6D" w:rsidP="002F2254">
            <w:pPr>
              <w:spacing w:line="360" w:lineRule="auto"/>
              <w:jc w:val="both"/>
              <w:rPr>
                <w:rFonts w:ascii="Arial" w:hAnsi="Arial" w:cs="Arial"/>
                <w:b/>
                <w:bCs/>
                <w:sz w:val="24"/>
                <w:szCs w:val="24"/>
              </w:rPr>
            </w:pPr>
            <w:r>
              <w:rPr>
                <w:rFonts w:ascii="Arial" w:hAnsi="Arial" w:cs="Arial"/>
                <w:b/>
                <w:bCs/>
                <w:sz w:val="24"/>
                <w:szCs w:val="24"/>
              </w:rPr>
              <w:t>Item</w:t>
            </w:r>
          </w:p>
        </w:tc>
        <w:tc>
          <w:tcPr>
            <w:tcW w:w="2254" w:type="dxa"/>
          </w:tcPr>
          <w:p w14:paraId="0D7D5164" w14:textId="1EC6C923" w:rsidR="009D1F6D" w:rsidRDefault="009D1F6D" w:rsidP="002F2254">
            <w:pPr>
              <w:spacing w:line="360" w:lineRule="auto"/>
              <w:jc w:val="both"/>
              <w:rPr>
                <w:rFonts w:ascii="Arial" w:hAnsi="Arial" w:cs="Arial"/>
                <w:b/>
                <w:bCs/>
                <w:sz w:val="24"/>
                <w:szCs w:val="24"/>
              </w:rPr>
            </w:pPr>
            <w:r>
              <w:rPr>
                <w:rFonts w:ascii="Arial" w:hAnsi="Arial" w:cs="Arial"/>
                <w:b/>
                <w:bCs/>
                <w:sz w:val="24"/>
                <w:szCs w:val="24"/>
              </w:rPr>
              <w:t>2021</w:t>
            </w:r>
          </w:p>
        </w:tc>
        <w:tc>
          <w:tcPr>
            <w:tcW w:w="2254" w:type="dxa"/>
          </w:tcPr>
          <w:p w14:paraId="1BA825F3" w14:textId="3469DA03" w:rsidR="009D1F6D" w:rsidRDefault="009D1F6D" w:rsidP="002F2254">
            <w:pPr>
              <w:spacing w:line="360" w:lineRule="auto"/>
              <w:jc w:val="both"/>
              <w:rPr>
                <w:rFonts w:ascii="Arial" w:hAnsi="Arial" w:cs="Arial"/>
                <w:b/>
                <w:bCs/>
                <w:sz w:val="24"/>
                <w:szCs w:val="24"/>
              </w:rPr>
            </w:pPr>
            <w:r>
              <w:rPr>
                <w:rFonts w:ascii="Arial" w:hAnsi="Arial" w:cs="Arial"/>
                <w:b/>
                <w:bCs/>
                <w:sz w:val="24"/>
                <w:szCs w:val="24"/>
              </w:rPr>
              <w:t>2022</w:t>
            </w:r>
          </w:p>
        </w:tc>
        <w:tc>
          <w:tcPr>
            <w:tcW w:w="2254" w:type="dxa"/>
          </w:tcPr>
          <w:p w14:paraId="1CC48CBC" w14:textId="31D50B6E" w:rsidR="009D1F6D" w:rsidRDefault="009D1F6D" w:rsidP="002F2254">
            <w:pPr>
              <w:spacing w:line="360" w:lineRule="auto"/>
              <w:jc w:val="both"/>
              <w:rPr>
                <w:rFonts w:ascii="Arial" w:hAnsi="Arial" w:cs="Arial"/>
                <w:b/>
                <w:bCs/>
                <w:sz w:val="24"/>
                <w:szCs w:val="24"/>
              </w:rPr>
            </w:pPr>
            <w:r>
              <w:rPr>
                <w:rFonts w:ascii="Arial" w:hAnsi="Arial" w:cs="Arial"/>
                <w:b/>
                <w:bCs/>
                <w:sz w:val="24"/>
                <w:szCs w:val="24"/>
              </w:rPr>
              <w:t>2023</w:t>
            </w:r>
          </w:p>
        </w:tc>
      </w:tr>
      <w:tr w:rsidR="009D1F6D" w14:paraId="2A1684ED" w14:textId="77777777" w:rsidTr="009D1F6D">
        <w:tc>
          <w:tcPr>
            <w:tcW w:w="2254" w:type="dxa"/>
          </w:tcPr>
          <w:p w14:paraId="2F1EF45D" w14:textId="121EB437" w:rsidR="009D1F6D" w:rsidRDefault="009D1F6D" w:rsidP="002F2254">
            <w:pPr>
              <w:spacing w:line="360" w:lineRule="auto"/>
              <w:jc w:val="both"/>
              <w:rPr>
                <w:rFonts w:ascii="Arial" w:hAnsi="Arial" w:cs="Arial"/>
                <w:b/>
                <w:bCs/>
                <w:sz w:val="24"/>
                <w:szCs w:val="24"/>
              </w:rPr>
            </w:pPr>
            <w:r>
              <w:rPr>
                <w:rFonts w:ascii="Arial" w:hAnsi="Arial" w:cs="Arial"/>
                <w:b/>
                <w:bCs/>
                <w:sz w:val="24"/>
                <w:szCs w:val="24"/>
              </w:rPr>
              <w:t>Revenue</w:t>
            </w:r>
          </w:p>
        </w:tc>
        <w:tc>
          <w:tcPr>
            <w:tcW w:w="2254" w:type="dxa"/>
          </w:tcPr>
          <w:p w14:paraId="519157E5" w14:textId="0B9908AD" w:rsidR="009D1F6D" w:rsidRDefault="009D1F6D" w:rsidP="002F2254">
            <w:pPr>
              <w:spacing w:line="360" w:lineRule="auto"/>
              <w:jc w:val="both"/>
              <w:rPr>
                <w:rFonts w:ascii="Arial" w:hAnsi="Arial" w:cs="Arial"/>
                <w:b/>
                <w:bCs/>
                <w:sz w:val="24"/>
                <w:szCs w:val="24"/>
              </w:rPr>
            </w:pPr>
            <w:r>
              <w:rPr>
                <w:rFonts w:ascii="Arial" w:hAnsi="Arial" w:cs="Arial"/>
                <w:b/>
                <w:bCs/>
                <w:sz w:val="24"/>
                <w:szCs w:val="24"/>
              </w:rPr>
              <w:t>£1,200,000</w:t>
            </w:r>
          </w:p>
        </w:tc>
        <w:tc>
          <w:tcPr>
            <w:tcW w:w="2254" w:type="dxa"/>
          </w:tcPr>
          <w:p w14:paraId="4FE5CA4D" w14:textId="40A7B27E" w:rsidR="009D1F6D" w:rsidRDefault="009D1F6D" w:rsidP="002F2254">
            <w:pPr>
              <w:spacing w:line="360" w:lineRule="auto"/>
              <w:jc w:val="both"/>
              <w:rPr>
                <w:rFonts w:ascii="Arial" w:hAnsi="Arial" w:cs="Arial"/>
                <w:b/>
                <w:bCs/>
                <w:sz w:val="24"/>
                <w:szCs w:val="24"/>
              </w:rPr>
            </w:pPr>
            <w:r>
              <w:rPr>
                <w:rFonts w:ascii="Arial" w:hAnsi="Arial" w:cs="Arial"/>
                <w:b/>
                <w:bCs/>
                <w:sz w:val="24"/>
                <w:szCs w:val="24"/>
              </w:rPr>
              <w:t>£1,100,000</w:t>
            </w:r>
          </w:p>
        </w:tc>
        <w:tc>
          <w:tcPr>
            <w:tcW w:w="2254" w:type="dxa"/>
          </w:tcPr>
          <w:p w14:paraId="3D8ECB35" w14:textId="42B42108" w:rsidR="009D1F6D" w:rsidRDefault="009D1F6D" w:rsidP="002F2254">
            <w:pPr>
              <w:spacing w:line="360" w:lineRule="auto"/>
              <w:jc w:val="both"/>
              <w:rPr>
                <w:rFonts w:ascii="Arial" w:hAnsi="Arial" w:cs="Arial"/>
                <w:b/>
                <w:bCs/>
                <w:sz w:val="24"/>
                <w:szCs w:val="24"/>
              </w:rPr>
            </w:pPr>
            <w:r>
              <w:rPr>
                <w:rFonts w:ascii="Arial" w:hAnsi="Arial" w:cs="Arial"/>
                <w:b/>
                <w:bCs/>
                <w:sz w:val="24"/>
                <w:szCs w:val="24"/>
              </w:rPr>
              <w:t>£950,000</w:t>
            </w:r>
          </w:p>
        </w:tc>
      </w:tr>
      <w:tr w:rsidR="009D1F6D" w14:paraId="526364AE" w14:textId="77777777" w:rsidTr="009D1F6D">
        <w:tc>
          <w:tcPr>
            <w:tcW w:w="2254" w:type="dxa"/>
          </w:tcPr>
          <w:p w14:paraId="3CF63551" w14:textId="5EAD8EEA" w:rsidR="009D1F6D" w:rsidRDefault="009D1F6D" w:rsidP="002F2254">
            <w:pPr>
              <w:spacing w:line="360" w:lineRule="auto"/>
              <w:jc w:val="both"/>
              <w:rPr>
                <w:rFonts w:ascii="Arial" w:hAnsi="Arial" w:cs="Arial"/>
                <w:b/>
                <w:bCs/>
                <w:sz w:val="24"/>
                <w:szCs w:val="24"/>
              </w:rPr>
            </w:pPr>
            <w:r>
              <w:rPr>
                <w:rFonts w:ascii="Arial" w:hAnsi="Arial" w:cs="Arial"/>
                <w:b/>
                <w:bCs/>
                <w:sz w:val="24"/>
                <w:szCs w:val="24"/>
              </w:rPr>
              <w:t>Operating Expenses</w:t>
            </w:r>
          </w:p>
        </w:tc>
        <w:tc>
          <w:tcPr>
            <w:tcW w:w="2254" w:type="dxa"/>
          </w:tcPr>
          <w:p w14:paraId="4C682743" w14:textId="47D9F552" w:rsidR="009D1F6D" w:rsidRDefault="009D1F6D" w:rsidP="002F2254">
            <w:pPr>
              <w:spacing w:line="360" w:lineRule="auto"/>
              <w:jc w:val="both"/>
              <w:rPr>
                <w:rFonts w:ascii="Arial" w:hAnsi="Arial" w:cs="Arial"/>
                <w:b/>
                <w:bCs/>
                <w:sz w:val="24"/>
                <w:szCs w:val="24"/>
              </w:rPr>
            </w:pPr>
            <w:r>
              <w:rPr>
                <w:rFonts w:ascii="Arial" w:hAnsi="Arial" w:cs="Arial"/>
                <w:b/>
                <w:bCs/>
                <w:sz w:val="24"/>
                <w:szCs w:val="24"/>
              </w:rPr>
              <w:t>£900,000</w:t>
            </w:r>
          </w:p>
        </w:tc>
        <w:tc>
          <w:tcPr>
            <w:tcW w:w="2254" w:type="dxa"/>
          </w:tcPr>
          <w:p w14:paraId="52B71014" w14:textId="6D5A0B8C" w:rsidR="009D1F6D" w:rsidRDefault="009D1F6D" w:rsidP="002F2254">
            <w:pPr>
              <w:spacing w:line="360" w:lineRule="auto"/>
              <w:jc w:val="both"/>
              <w:rPr>
                <w:rFonts w:ascii="Arial" w:hAnsi="Arial" w:cs="Arial"/>
                <w:b/>
                <w:bCs/>
                <w:sz w:val="24"/>
                <w:szCs w:val="24"/>
              </w:rPr>
            </w:pPr>
            <w:r>
              <w:rPr>
                <w:rFonts w:ascii="Arial" w:hAnsi="Arial" w:cs="Arial"/>
                <w:b/>
                <w:bCs/>
                <w:sz w:val="24"/>
                <w:szCs w:val="24"/>
              </w:rPr>
              <w:t>£950,000</w:t>
            </w:r>
          </w:p>
        </w:tc>
        <w:tc>
          <w:tcPr>
            <w:tcW w:w="2254" w:type="dxa"/>
          </w:tcPr>
          <w:p w14:paraId="53F0A7D4" w14:textId="4EE3B26A" w:rsidR="009D1F6D" w:rsidRDefault="009D1F6D" w:rsidP="002F2254">
            <w:pPr>
              <w:spacing w:line="360" w:lineRule="auto"/>
              <w:jc w:val="both"/>
              <w:rPr>
                <w:rFonts w:ascii="Arial" w:hAnsi="Arial" w:cs="Arial"/>
                <w:b/>
                <w:bCs/>
                <w:sz w:val="24"/>
                <w:szCs w:val="24"/>
              </w:rPr>
            </w:pPr>
            <w:r>
              <w:rPr>
                <w:rFonts w:ascii="Arial" w:hAnsi="Arial" w:cs="Arial"/>
                <w:b/>
                <w:bCs/>
                <w:sz w:val="24"/>
                <w:szCs w:val="24"/>
              </w:rPr>
              <w:t>£1,100,000</w:t>
            </w:r>
          </w:p>
        </w:tc>
      </w:tr>
      <w:tr w:rsidR="009D1F6D" w14:paraId="1A657900" w14:textId="77777777" w:rsidTr="009D1F6D">
        <w:tc>
          <w:tcPr>
            <w:tcW w:w="2254" w:type="dxa"/>
          </w:tcPr>
          <w:p w14:paraId="4A1A39EE" w14:textId="40EDE882" w:rsidR="009D1F6D" w:rsidRDefault="009D1F6D" w:rsidP="002F2254">
            <w:pPr>
              <w:spacing w:line="360" w:lineRule="auto"/>
              <w:jc w:val="both"/>
              <w:rPr>
                <w:rFonts w:ascii="Arial" w:hAnsi="Arial" w:cs="Arial"/>
                <w:b/>
                <w:bCs/>
                <w:sz w:val="24"/>
                <w:szCs w:val="24"/>
              </w:rPr>
            </w:pPr>
            <w:r>
              <w:rPr>
                <w:rFonts w:ascii="Arial" w:hAnsi="Arial" w:cs="Arial"/>
                <w:b/>
                <w:bCs/>
                <w:sz w:val="24"/>
                <w:szCs w:val="24"/>
              </w:rPr>
              <w:t>Net Income</w:t>
            </w:r>
          </w:p>
        </w:tc>
        <w:tc>
          <w:tcPr>
            <w:tcW w:w="2254" w:type="dxa"/>
          </w:tcPr>
          <w:p w14:paraId="6B2D4DAE" w14:textId="4FEC3625" w:rsidR="009D1F6D" w:rsidRDefault="009D1F6D" w:rsidP="002F2254">
            <w:pPr>
              <w:spacing w:line="360" w:lineRule="auto"/>
              <w:jc w:val="both"/>
              <w:rPr>
                <w:rFonts w:ascii="Arial" w:hAnsi="Arial" w:cs="Arial"/>
                <w:b/>
                <w:bCs/>
                <w:sz w:val="24"/>
                <w:szCs w:val="24"/>
              </w:rPr>
            </w:pPr>
            <w:r>
              <w:rPr>
                <w:rFonts w:ascii="Arial" w:hAnsi="Arial" w:cs="Arial"/>
                <w:b/>
                <w:bCs/>
                <w:sz w:val="24"/>
                <w:szCs w:val="24"/>
              </w:rPr>
              <w:t>£300,000</w:t>
            </w:r>
          </w:p>
        </w:tc>
        <w:tc>
          <w:tcPr>
            <w:tcW w:w="2254" w:type="dxa"/>
          </w:tcPr>
          <w:p w14:paraId="4409ED78" w14:textId="5D7D7A18" w:rsidR="009D1F6D" w:rsidRDefault="009D1F6D" w:rsidP="002F2254">
            <w:pPr>
              <w:spacing w:line="360" w:lineRule="auto"/>
              <w:jc w:val="both"/>
              <w:rPr>
                <w:rFonts w:ascii="Arial" w:hAnsi="Arial" w:cs="Arial"/>
                <w:b/>
                <w:bCs/>
                <w:sz w:val="24"/>
                <w:szCs w:val="24"/>
              </w:rPr>
            </w:pPr>
            <w:r>
              <w:rPr>
                <w:rFonts w:ascii="Arial" w:hAnsi="Arial" w:cs="Arial"/>
                <w:b/>
                <w:bCs/>
                <w:sz w:val="24"/>
                <w:szCs w:val="24"/>
              </w:rPr>
              <w:t>£150,000</w:t>
            </w:r>
          </w:p>
        </w:tc>
        <w:tc>
          <w:tcPr>
            <w:tcW w:w="2254" w:type="dxa"/>
          </w:tcPr>
          <w:p w14:paraId="4BE7E5BE" w14:textId="7AEB1A7E" w:rsidR="009D1F6D" w:rsidRDefault="009D1F6D" w:rsidP="002F2254">
            <w:pPr>
              <w:spacing w:line="360" w:lineRule="auto"/>
              <w:jc w:val="both"/>
              <w:rPr>
                <w:rFonts w:ascii="Arial" w:hAnsi="Arial" w:cs="Arial"/>
                <w:b/>
                <w:bCs/>
                <w:sz w:val="24"/>
                <w:szCs w:val="24"/>
              </w:rPr>
            </w:pPr>
            <w:r>
              <w:rPr>
                <w:rFonts w:ascii="Arial" w:hAnsi="Arial" w:cs="Arial"/>
                <w:b/>
                <w:bCs/>
                <w:sz w:val="24"/>
                <w:szCs w:val="24"/>
              </w:rPr>
              <w:t>-£150,000</w:t>
            </w:r>
          </w:p>
        </w:tc>
      </w:tr>
    </w:tbl>
    <w:p w14:paraId="3FB6B2AF" w14:textId="77777777" w:rsidR="009D1F6D" w:rsidRDefault="009D1F6D" w:rsidP="002F2254">
      <w:pPr>
        <w:spacing w:line="360" w:lineRule="auto"/>
        <w:ind w:left="360"/>
        <w:jc w:val="both"/>
        <w:rPr>
          <w:rFonts w:ascii="Arial" w:hAnsi="Arial" w:cs="Arial"/>
          <w:b/>
          <w:bCs/>
          <w:sz w:val="24"/>
          <w:szCs w:val="24"/>
        </w:rPr>
      </w:pPr>
    </w:p>
    <w:p w14:paraId="323EF988" w14:textId="78E9ED37" w:rsidR="009D1F6D" w:rsidRDefault="009D1F6D" w:rsidP="002F2254">
      <w:pPr>
        <w:spacing w:line="360" w:lineRule="auto"/>
        <w:ind w:left="360"/>
        <w:jc w:val="both"/>
        <w:rPr>
          <w:rFonts w:ascii="Arial" w:hAnsi="Arial" w:cs="Arial"/>
          <w:b/>
          <w:bCs/>
          <w:sz w:val="24"/>
          <w:szCs w:val="24"/>
        </w:rPr>
      </w:pPr>
    </w:p>
    <w:p w14:paraId="413E419B" w14:textId="77777777" w:rsidR="009D1F6D" w:rsidRDefault="009D1F6D">
      <w:pPr>
        <w:rPr>
          <w:rFonts w:ascii="Arial" w:hAnsi="Arial" w:cs="Arial"/>
          <w:b/>
          <w:bCs/>
          <w:sz w:val="24"/>
          <w:szCs w:val="24"/>
        </w:rPr>
      </w:pPr>
      <w:r>
        <w:rPr>
          <w:rFonts w:ascii="Arial" w:hAnsi="Arial" w:cs="Arial"/>
          <w:b/>
          <w:bCs/>
          <w:sz w:val="24"/>
          <w:szCs w:val="24"/>
        </w:rPr>
        <w:br w:type="page"/>
      </w:r>
    </w:p>
    <w:p w14:paraId="0C679D12" w14:textId="77777777" w:rsidR="009D1F6D" w:rsidRDefault="009D1F6D" w:rsidP="009D1F6D">
      <w:pPr>
        <w:spacing w:line="360" w:lineRule="auto"/>
        <w:ind w:left="360"/>
        <w:jc w:val="both"/>
        <w:rPr>
          <w:rFonts w:ascii="Arial" w:hAnsi="Arial" w:cs="Arial"/>
          <w:b/>
          <w:bCs/>
          <w:color w:val="0D0D0D"/>
          <w:sz w:val="24"/>
          <w:szCs w:val="24"/>
          <w:shd w:val="clear" w:color="auto" w:fill="FFFFFF"/>
        </w:rPr>
      </w:pPr>
      <w:r w:rsidRPr="009D1F6D">
        <w:rPr>
          <w:rFonts w:ascii="Arial" w:hAnsi="Arial" w:cs="Arial"/>
          <w:b/>
          <w:bCs/>
          <w:color w:val="0D0D0D"/>
          <w:sz w:val="24"/>
          <w:szCs w:val="24"/>
          <w:shd w:val="clear" w:color="auto" w:fill="FFFFFF"/>
        </w:rPr>
        <w:lastRenderedPageBreak/>
        <w:t>Balance Sheet Analysis (GBP)</w:t>
      </w:r>
      <w:r>
        <w:rPr>
          <w:rFonts w:ascii="Arial" w:hAnsi="Arial" w:cs="Arial"/>
          <w:b/>
          <w:bCs/>
          <w:color w:val="0D0D0D"/>
          <w:sz w:val="24"/>
          <w:szCs w:val="24"/>
          <w:shd w:val="clear" w:color="auto" w:fill="FFFFFF"/>
        </w:rPr>
        <w:t>:</w:t>
      </w:r>
    </w:p>
    <w:tbl>
      <w:tblPr>
        <w:tblStyle w:val="TableGrid"/>
        <w:tblW w:w="0" w:type="auto"/>
        <w:tblInd w:w="360" w:type="dxa"/>
        <w:tblLook w:val="04A0" w:firstRow="1" w:lastRow="0" w:firstColumn="1" w:lastColumn="0" w:noHBand="0" w:noVBand="1"/>
      </w:tblPr>
      <w:tblGrid>
        <w:gridCol w:w="2164"/>
        <w:gridCol w:w="2161"/>
        <w:gridCol w:w="2161"/>
        <w:gridCol w:w="2170"/>
      </w:tblGrid>
      <w:tr w:rsidR="009D1F6D" w14:paraId="52CB2C1B" w14:textId="77777777" w:rsidTr="009D1F6D">
        <w:tc>
          <w:tcPr>
            <w:tcW w:w="2163" w:type="dxa"/>
          </w:tcPr>
          <w:p w14:paraId="694B2A78" w14:textId="690CB28B"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 xml:space="preserve">Asset/Liability </w:t>
            </w:r>
          </w:p>
        </w:tc>
        <w:tc>
          <w:tcPr>
            <w:tcW w:w="2162" w:type="dxa"/>
          </w:tcPr>
          <w:p w14:paraId="03A9363B" w14:textId="3AFC729E"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2021</w:t>
            </w:r>
          </w:p>
        </w:tc>
        <w:tc>
          <w:tcPr>
            <w:tcW w:w="2162" w:type="dxa"/>
          </w:tcPr>
          <w:p w14:paraId="0D9239D9" w14:textId="30B2837B"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2022</w:t>
            </w:r>
          </w:p>
        </w:tc>
        <w:tc>
          <w:tcPr>
            <w:tcW w:w="2169" w:type="dxa"/>
          </w:tcPr>
          <w:p w14:paraId="3DC1E717" w14:textId="2765020F"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2023</w:t>
            </w:r>
          </w:p>
        </w:tc>
      </w:tr>
      <w:tr w:rsidR="009D1F6D" w14:paraId="1AE41825" w14:textId="77777777" w:rsidTr="009D1F6D">
        <w:tc>
          <w:tcPr>
            <w:tcW w:w="2163" w:type="dxa"/>
          </w:tcPr>
          <w:p w14:paraId="5767DDFA" w14:textId="26193DF0" w:rsidR="009D1F6D" w:rsidRPr="002807D9" w:rsidRDefault="002807D9" w:rsidP="009D1F6D">
            <w:pPr>
              <w:spacing w:line="360" w:lineRule="auto"/>
              <w:jc w:val="both"/>
              <w:rPr>
                <w:rFonts w:ascii="Arial" w:hAnsi="Arial" w:cs="Arial"/>
                <w:b/>
                <w:bCs/>
                <w:sz w:val="24"/>
                <w:szCs w:val="24"/>
              </w:rPr>
            </w:pPr>
            <w:r>
              <w:rPr>
                <w:rFonts w:ascii="Arial" w:hAnsi="Arial" w:cs="Arial"/>
                <w:b/>
                <w:bCs/>
                <w:sz w:val="24"/>
                <w:szCs w:val="24"/>
              </w:rPr>
              <w:t>Cash and Equivalent</w:t>
            </w:r>
            <w:r w:rsidRPr="002807D9">
              <w:rPr>
                <w:rFonts w:ascii="Arial" w:hAnsi="Arial" w:cs="Arial"/>
                <w:b/>
                <w:bCs/>
                <w:sz w:val="24"/>
                <w:szCs w:val="24"/>
              </w:rPr>
              <w:t xml:space="preserve"> </w:t>
            </w:r>
          </w:p>
        </w:tc>
        <w:tc>
          <w:tcPr>
            <w:tcW w:w="2162" w:type="dxa"/>
          </w:tcPr>
          <w:p w14:paraId="46BB9550" w14:textId="7308FA74"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£100,000</w:t>
            </w:r>
          </w:p>
        </w:tc>
        <w:tc>
          <w:tcPr>
            <w:tcW w:w="2162" w:type="dxa"/>
          </w:tcPr>
          <w:p w14:paraId="255C0192" w14:textId="3662CE92"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£80,000</w:t>
            </w:r>
          </w:p>
        </w:tc>
        <w:tc>
          <w:tcPr>
            <w:tcW w:w="2169" w:type="dxa"/>
          </w:tcPr>
          <w:p w14:paraId="55B4F9E8" w14:textId="161AD599"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£20,000</w:t>
            </w:r>
          </w:p>
        </w:tc>
      </w:tr>
      <w:tr w:rsidR="009D1F6D" w14:paraId="1161EF70" w14:textId="77777777" w:rsidTr="009D1F6D">
        <w:tc>
          <w:tcPr>
            <w:tcW w:w="2163" w:type="dxa"/>
          </w:tcPr>
          <w:p w14:paraId="3B7EF545" w14:textId="13884D07"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 xml:space="preserve">Accounts Receivable </w:t>
            </w:r>
          </w:p>
        </w:tc>
        <w:tc>
          <w:tcPr>
            <w:tcW w:w="2162" w:type="dxa"/>
          </w:tcPr>
          <w:p w14:paraId="109429E4" w14:textId="1B55E47E"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£50,000</w:t>
            </w:r>
          </w:p>
        </w:tc>
        <w:tc>
          <w:tcPr>
            <w:tcW w:w="2162" w:type="dxa"/>
          </w:tcPr>
          <w:p w14:paraId="1F17D0CB" w14:textId="37F7D1E0"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£40,000</w:t>
            </w:r>
          </w:p>
        </w:tc>
        <w:tc>
          <w:tcPr>
            <w:tcW w:w="2169" w:type="dxa"/>
          </w:tcPr>
          <w:p w14:paraId="6FB1C1BA" w14:textId="3EF336C1" w:rsidR="009D1F6D" w:rsidRPr="002807D9" w:rsidRDefault="002807D9" w:rsidP="009D1F6D">
            <w:pPr>
              <w:spacing w:line="360" w:lineRule="auto"/>
              <w:jc w:val="both"/>
              <w:rPr>
                <w:rFonts w:ascii="Arial" w:hAnsi="Arial" w:cs="Arial"/>
                <w:b/>
                <w:bCs/>
                <w:sz w:val="24"/>
                <w:szCs w:val="24"/>
              </w:rPr>
            </w:pPr>
            <w:r w:rsidRPr="002807D9">
              <w:rPr>
                <w:rFonts w:ascii="Arial" w:hAnsi="Arial" w:cs="Arial"/>
                <w:b/>
                <w:bCs/>
                <w:sz w:val="24"/>
                <w:szCs w:val="24"/>
              </w:rPr>
              <w:t>£30,000</w:t>
            </w:r>
          </w:p>
        </w:tc>
      </w:tr>
      <w:tr w:rsidR="009D1F6D" w14:paraId="2ECEB27C" w14:textId="77777777" w:rsidTr="009D1F6D">
        <w:tc>
          <w:tcPr>
            <w:tcW w:w="2163" w:type="dxa"/>
          </w:tcPr>
          <w:p w14:paraId="752B60B2" w14:textId="63C04917"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Property and Equipment</w:t>
            </w:r>
          </w:p>
        </w:tc>
        <w:tc>
          <w:tcPr>
            <w:tcW w:w="2162" w:type="dxa"/>
          </w:tcPr>
          <w:p w14:paraId="1C2971AB" w14:textId="1DFCD489" w:rsidR="009D1F6D" w:rsidRPr="008F4A10" w:rsidRDefault="002807D9" w:rsidP="009D1F6D">
            <w:pPr>
              <w:spacing w:line="360" w:lineRule="auto"/>
              <w:jc w:val="both"/>
              <w:rPr>
                <w:rFonts w:ascii="Arial" w:hAnsi="Arial" w:cs="Arial"/>
                <w:b/>
                <w:bCs/>
                <w:sz w:val="24"/>
                <w:szCs w:val="24"/>
              </w:rPr>
            </w:pPr>
            <w:r w:rsidRPr="008F4A10">
              <w:rPr>
                <w:rFonts w:ascii="Arial" w:hAnsi="Arial" w:cs="Arial"/>
                <w:b/>
                <w:bCs/>
                <w:sz w:val="24"/>
                <w:szCs w:val="24"/>
              </w:rPr>
              <w:t>£2,000,000</w:t>
            </w:r>
          </w:p>
        </w:tc>
        <w:tc>
          <w:tcPr>
            <w:tcW w:w="2162" w:type="dxa"/>
          </w:tcPr>
          <w:p w14:paraId="7CFA8143" w14:textId="3C53475F" w:rsidR="009D1F6D" w:rsidRPr="008F4A10" w:rsidRDefault="002807D9" w:rsidP="009D1F6D">
            <w:pPr>
              <w:spacing w:line="360" w:lineRule="auto"/>
              <w:jc w:val="both"/>
              <w:rPr>
                <w:rFonts w:ascii="Arial" w:hAnsi="Arial" w:cs="Arial"/>
                <w:b/>
                <w:bCs/>
                <w:sz w:val="24"/>
                <w:szCs w:val="24"/>
              </w:rPr>
            </w:pPr>
            <w:r w:rsidRPr="008F4A10">
              <w:rPr>
                <w:rFonts w:ascii="Arial" w:hAnsi="Arial" w:cs="Arial"/>
                <w:b/>
                <w:bCs/>
                <w:sz w:val="24"/>
                <w:szCs w:val="24"/>
              </w:rPr>
              <w:t>£2,000,000</w:t>
            </w:r>
          </w:p>
        </w:tc>
        <w:tc>
          <w:tcPr>
            <w:tcW w:w="2169" w:type="dxa"/>
          </w:tcPr>
          <w:p w14:paraId="313DE6DE" w14:textId="49617C8F" w:rsidR="009D1F6D" w:rsidRPr="008F4A10" w:rsidRDefault="002807D9" w:rsidP="009D1F6D">
            <w:pPr>
              <w:spacing w:line="360" w:lineRule="auto"/>
              <w:jc w:val="both"/>
              <w:rPr>
                <w:rFonts w:ascii="Arial" w:hAnsi="Arial" w:cs="Arial"/>
                <w:b/>
                <w:bCs/>
                <w:sz w:val="24"/>
                <w:szCs w:val="24"/>
              </w:rPr>
            </w:pPr>
            <w:r w:rsidRPr="008F4A10">
              <w:rPr>
                <w:rFonts w:ascii="Arial" w:hAnsi="Arial" w:cs="Arial"/>
                <w:b/>
                <w:bCs/>
                <w:sz w:val="24"/>
                <w:szCs w:val="24"/>
              </w:rPr>
              <w:t>£1,800,000</w:t>
            </w:r>
          </w:p>
        </w:tc>
      </w:tr>
      <w:tr w:rsidR="009D1F6D" w14:paraId="1348593F" w14:textId="77777777" w:rsidTr="009D1F6D">
        <w:tc>
          <w:tcPr>
            <w:tcW w:w="2163" w:type="dxa"/>
          </w:tcPr>
          <w:p w14:paraId="4AA1FEBC" w14:textId="5539BE24"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 xml:space="preserve">Total Assets </w:t>
            </w:r>
          </w:p>
        </w:tc>
        <w:tc>
          <w:tcPr>
            <w:tcW w:w="2162" w:type="dxa"/>
          </w:tcPr>
          <w:p w14:paraId="43B65B46" w14:textId="2DE0FF00"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£2,150,000</w:t>
            </w:r>
          </w:p>
        </w:tc>
        <w:tc>
          <w:tcPr>
            <w:tcW w:w="2162" w:type="dxa"/>
          </w:tcPr>
          <w:p w14:paraId="45D85243" w14:textId="06C17B4D"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£2,120,000</w:t>
            </w:r>
          </w:p>
        </w:tc>
        <w:tc>
          <w:tcPr>
            <w:tcW w:w="2169" w:type="dxa"/>
          </w:tcPr>
          <w:p w14:paraId="16D8B945" w14:textId="14AD3E3F"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£1,850,000</w:t>
            </w:r>
          </w:p>
        </w:tc>
      </w:tr>
      <w:tr w:rsidR="009D1F6D" w14:paraId="426681BF" w14:textId="77777777" w:rsidTr="009D1F6D">
        <w:tc>
          <w:tcPr>
            <w:tcW w:w="2163" w:type="dxa"/>
          </w:tcPr>
          <w:p w14:paraId="59947CCF" w14:textId="36722511"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 xml:space="preserve">Accounts Payable </w:t>
            </w:r>
          </w:p>
        </w:tc>
        <w:tc>
          <w:tcPr>
            <w:tcW w:w="2162" w:type="dxa"/>
          </w:tcPr>
          <w:p w14:paraId="3084F082" w14:textId="48DDD0BF"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£30,000</w:t>
            </w:r>
          </w:p>
        </w:tc>
        <w:tc>
          <w:tcPr>
            <w:tcW w:w="2162" w:type="dxa"/>
          </w:tcPr>
          <w:p w14:paraId="770B86DC" w14:textId="28B70505"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£40,000</w:t>
            </w:r>
          </w:p>
        </w:tc>
        <w:tc>
          <w:tcPr>
            <w:tcW w:w="2169" w:type="dxa"/>
          </w:tcPr>
          <w:p w14:paraId="1041ABBF" w14:textId="5DA24D08"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£50,000</w:t>
            </w:r>
          </w:p>
        </w:tc>
      </w:tr>
      <w:tr w:rsidR="009D1F6D" w14:paraId="75FD7CA8" w14:textId="77777777" w:rsidTr="009D1F6D">
        <w:tc>
          <w:tcPr>
            <w:tcW w:w="2163" w:type="dxa"/>
          </w:tcPr>
          <w:p w14:paraId="718C618A" w14:textId="16688CEC"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 xml:space="preserve">Long-term Debt </w:t>
            </w:r>
          </w:p>
        </w:tc>
        <w:tc>
          <w:tcPr>
            <w:tcW w:w="2162" w:type="dxa"/>
          </w:tcPr>
          <w:p w14:paraId="3186CD37" w14:textId="27A7CD9C"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£1,500,000</w:t>
            </w:r>
          </w:p>
        </w:tc>
        <w:tc>
          <w:tcPr>
            <w:tcW w:w="2162" w:type="dxa"/>
          </w:tcPr>
          <w:p w14:paraId="1B7B87FB" w14:textId="35E2E451"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£1,500,000</w:t>
            </w:r>
          </w:p>
        </w:tc>
        <w:tc>
          <w:tcPr>
            <w:tcW w:w="2169" w:type="dxa"/>
          </w:tcPr>
          <w:p w14:paraId="6D1C6938" w14:textId="5C5DD2B0"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£1,500,000</w:t>
            </w:r>
          </w:p>
        </w:tc>
      </w:tr>
      <w:tr w:rsidR="009D1F6D" w14:paraId="387D0F05" w14:textId="77777777" w:rsidTr="009D1F6D">
        <w:tc>
          <w:tcPr>
            <w:tcW w:w="2163" w:type="dxa"/>
          </w:tcPr>
          <w:p w14:paraId="18A427DA" w14:textId="79DBF345"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 xml:space="preserve">Total Liabilities </w:t>
            </w:r>
          </w:p>
        </w:tc>
        <w:tc>
          <w:tcPr>
            <w:tcW w:w="2162" w:type="dxa"/>
          </w:tcPr>
          <w:p w14:paraId="6C99A28B" w14:textId="6DF3F8D8"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£1,530,000</w:t>
            </w:r>
          </w:p>
        </w:tc>
        <w:tc>
          <w:tcPr>
            <w:tcW w:w="2162" w:type="dxa"/>
          </w:tcPr>
          <w:p w14:paraId="5CFDB238" w14:textId="0AEBAEC3"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£1,540,000</w:t>
            </w:r>
          </w:p>
        </w:tc>
        <w:tc>
          <w:tcPr>
            <w:tcW w:w="2169" w:type="dxa"/>
          </w:tcPr>
          <w:p w14:paraId="0BAAF4C6" w14:textId="7025EC02"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£1,550,000</w:t>
            </w:r>
          </w:p>
        </w:tc>
      </w:tr>
      <w:tr w:rsidR="009D1F6D" w14:paraId="3907ED5E" w14:textId="1DDDAD20" w:rsidTr="009D1F6D">
        <w:tblPrEx>
          <w:tblLook w:val="0000" w:firstRow="0" w:lastRow="0" w:firstColumn="0" w:lastColumn="0" w:noHBand="0" w:noVBand="0"/>
        </w:tblPrEx>
        <w:trPr>
          <w:trHeight w:val="345"/>
        </w:trPr>
        <w:tc>
          <w:tcPr>
            <w:tcW w:w="2163" w:type="dxa"/>
          </w:tcPr>
          <w:p w14:paraId="69D55AC3" w14:textId="115AA89D"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Equity</w:t>
            </w:r>
          </w:p>
        </w:tc>
        <w:tc>
          <w:tcPr>
            <w:tcW w:w="2162" w:type="dxa"/>
          </w:tcPr>
          <w:p w14:paraId="51C0F1DB" w14:textId="069DA123"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£620,000</w:t>
            </w:r>
          </w:p>
        </w:tc>
        <w:tc>
          <w:tcPr>
            <w:tcW w:w="2160" w:type="dxa"/>
          </w:tcPr>
          <w:p w14:paraId="65EE82A8" w14:textId="37319551"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£580,000</w:t>
            </w:r>
          </w:p>
        </w:tc>
        <w:tc>
          <w:tcPr>
            <w:tcW w:w="2171" w:type="dxa"/>
          </w:tcPr>
          <w:p w14:paraId="5C4756D3" w14:textId="6F272D0D" w:rsidR="009D1F6D" w:rsidRPr="008F4A10" w:rsidRDefault="008F4A10" w:rsidP="009D1F6D">
            <w:pPr>
              <w:spacing w:line="360" w:lineRule="auto"/>
              <w:jc w:val="both"/>
              <w:rPr>
                <w:rFonts w:ascii="Arial" w:hAnsi="Arial" w:cs="Arial"/>
                <w:b/>
                <w:bCs/>
                <w:sz w:val="24"/>
                <w:szCs w:val="24"/>
              </w:rPr>
            </w:pPr>
            <w:r w:rsidRPr="008F4A10">
              <w:rPr>
                <w:rFonts w:ascii="Arial" w:hAnsi="Arial" w:cs="Arial"/>
                <w:b/>
                <w:bCs/>
                <w:sz w:val="24"/>
                <w:szCs w:val="24"/>
              </w:rPr>
              <w:t>£300,000</w:t>
            </w:r>
          </w:p>
        </w:tc>
      </w:tr>
    </w:tbl>
    <w:p w14:paraId="7011E0CC" w14:textId="5E034714" w:rsidR="009D1F6D" w:rsidRDefault="008F4A10" w:rsidP="002F2254">
      <w:pPr>
        <w:spacing w:line="360" w:lineRule="auto"/>
        <w:ind w:left="360"/>
        <w:jc w:val="both"/>
        <w:rPr>
          <w:rFonts w:ascii="Arial" w:hAnsi="Arial" w:cs="Arial"/>
          <w:b/>
          <w:bCs/>
          <w:sz w:val="24"/>
          <w:szCs w:val="24"/>
        </w:rPr>
      </w:pPr>
      <w:r>
        <w:rPr>
          <w:rFonts w:ascii="Arial" w:hAnsi="Arial" w:cs="Arial"/>
          <w:b/>
          <w:bCs/>
          <w:sz w:val="24"/>
          <w:szCs w:val="24"/>
        </w:rPr>
        <w:t xml:space="preserve"> </w:t>
      </w:r>
    </w:p>
    <w:p w14:paraId="35169EB7" w14:textId="77777777" w:rsidR="008F4A10" w:rsidRDefault="008F4A10" w:rsidP="008F4A10">
      <w:pPr>
        <w:spacing w:line="360" w:lineRule="auto"/>
        <w:ind w:left="360"/>
        <w:jc w:val="both"/>
        <w:rPr>
          <w:rFonts w:ascii="Arial" w:hAnsi="Arial" w:cs="Arial"/>
          <w:b/>
          <w:bCs/>
          <w:sz w:val="24"/>
          <w:szCs w:val="24"/>
        </w:rPr>
      </w:pPr>
      <w:r>
        <w:rPr>
          <w:rFonts w:ascii="Arial" w:hAnsi="Arial" w:cs="Arial"/>
          <w:b/>
          <w:bCs/>
          <w:sz w:val="24"/>
          <w:szCs w:val="24"/>
        </w:rPr>
        <w:t xml:space="preserve">Additional financial </w:t>
      </w:r>
      <w:proofErr w:type="spellStart"/>
      <w:r>
        <w:rPr>
          <w:rFonts w:ascii="Arial" w:hAnsi="Arial" w:cs="Arial"/>
          <w:b/>
          <w:bCs/>
          <w:sz w:val="24"/>
          <w:szCs w:val="24"/>
        </w:rPr>
        <w:t>informations</w:t>
      </w:r>
      <w:proofErr w:type="spellEnd"/>
      <w:r>
        <w:rPr>
          <w:rFonts w:ascii="Arial" w:hAnsi="Arial" w:cs="Arial"/>
          <w:b/>
          <w:bCs/>
          <w:sz w:val="24"/>
          <w:szCs w:val="24"/>
        </w:rPr>
        <w:t>:</w:t>
      </w:r>
    </w:p>
    <w:p w14:paraId="3D765BEB" w14:textId="7ADE169E" w:rsidR="008F4A10" w:rsidRDefault="008F4A10" w:rsidP="008F4A10">
      <w:pPr>
        <w:spacing w:line="360" w:lineRule="auto"/>
        <w:ind w:left="360"/>
        <w:jc w:val="both"/>
        <w:rPr>
          <w:rFonts w:ascii="Arial" w:hAnsi="Arial" w:cs="Arial"/>
          <w:b/>
          <w:bCs/>
          <w:sz w:val="24"/>
          <w:szCs w:val="24"/>
        </w:rPr>
      </w:pPr>
      <w:r w:rsidRPr="008F4A10">
        <w:rPr>
          <w:rFonts w:ascii="Arial" w:hAnsi="Arial" w:cs="Arial"/>
          <w:b/>
          <w:bCs/>
          <w:sz w:val="24"/>
          <w:szCs w:val="24"/>
        </w:rPr>
        <w:t>Average Room Rate (ARR):</w:t>
      </w:r>
    </w:p>
    <w:p w14:paraId="0D2EEE94" w14:textId="4FD5FD38" w:rsidR="008F4A10" w:rsidRPr="008F4A10" w:rsidRDefault="008F4A10" w:rsidP="008F4A10">
      <w:pPr>
        <w:pStyle w:val="ListParagraph"/>
        <w:numPr>
          <w:ilvl w:val="0"/>
          <w:numId w:val="6"/>
        </w:numPr>
        <w:spacing w:line="360" w:lineRule="auto"/>
        <w:jc w:val="both"/>
        <w:rPr>
          <w:rFonts w:ascii="Arial" w:hAnsi="Arial" w:cs="Arial"/>
          <w:b/>
          <w:bCs/>
          <w:sz w:val="24"/>
          <w:szCs w:val="24"/>
        </w:rPr>
      </w:pPr>
      <w:r w:rsidRPr="008F4A10">
        <w:rPr>
          <w:rFonts w:ascii="Arial" w:hAnsi="Arial" w:cs="Arial"/>
          <w:b/>
          <w:bCs/>
          <w:sz w:val="24"/>
          <w:szCs w:val="24"/>
        </w:rPr>
        <w:t>2021: £260</w:t>
      </w:r>
    </w:p>
    <w:p w14:paraId="1F32447D" w14:textId="73031173" w:rsidR="008F4A10" w:rsidRPr="008F4A10" w:rsidRDefault="008F4A10" w:rsidP="008F4A10">
      <w:pPr>
        <w:pStyle w:val="ListParagraph"/>
        <w:numPr>
          <w:ilvl w:val="0"/>
          <w:numId w:val="6"/>
        </w:numPr>
        <w:spacing w:line="360" w:lineRule="auto"/>
        <w:jc w:val="both"/>
        <w:rPr>
          <w:rFonts w:ascii="Arial" w:hAnsi="Arial" w:cs="Arial"/>
          <w:b/>
          <w:bCs/>
          <w:sz w:val="24"/>
          <w:szCs w:val="24"/>
        </w:rPr>
      </w:pPr>
      <w:r w:rsidRPr="008F4A10">
        <w:rPr>
          <w:rFonts w:ascii="Arial" w:hAnsi="Arial" w:cs="Arial"/>
          <w:b/>
          <w:bCs/>
          <w:sz w:val="24"/>
          <w:szCs w:val="24"/>
        </w:rPr>
        <w:t>2022: £240</w:t>
      </w:r>
    </w:p>
    <w:p w14:paraId="3141483E" w14:textId="584B8FD1" w:rsidR="008F4A10" w:rsidRDefault="008F4A10" w:rsidP="008F4A10">
      <w:pPr>
        <w:pStyle w:val="ListParagraph"/>
        <w:numPr>
          <w:ilvl w:val="0"/>
          <w:numId w:val="6"/>
        </w:numPr>
        <w:spacing w:line="360" w:lineRule="auto"/>
        <w:jc w:val="both"/>
        <w:rPr>
          <w:rFonts w:ascii="Arial" w:hAnsi="Arial" w:cs="Arial"/>
          <w:b/>
          <w:bCs/>
          <w:sz w:val="24"/>
          <w:szCs w:val="24"/>
        </w:rPr>
      </w:pPr>
      <w:r w:rsidRPr="008F4A10">
        <w:rPr>
          <w:rFonts w:ascii="Arial" w:hAnsi="Arial" w:cs="Arial"/>
          <w:b/>
          <w:bCs/>
          <w:sz w:val="24"/>
          <w:szCs w:val="24"/>
        </w:rPr>
        <w:t>2023: £210</w:t>
      </w:r>
    </w:p>
    <w:p w14:paraId="575292A6" w14:textId="1AC5E6F9" w:rsidR="008F4A10" w:rsidRDefault="008F4A10" w:rsidP="008F4A10">
      <w:pPr>
        <w:spacing w:line="360" w:lineRule="auto"/>
        <w:jc w:val="both"/>
        <w:rPr>
          <w:rFonts w:ascii="Arial" w:hAnsi="Arial" w:cs="Arial"/>
          <w:b/>
          <w:bCs/>
          <w:sz w:val="24"/>
          <w:szCs w:val="24"/>
        </w:rPr>
      </w:pPr>
      <w:r>
        <w:rPr>
          <w:rFonts w:ascii="Arial" w:hAnsi="Arial" w:cs="Arial"/>
          <w:b/>
          <w:bCs/>
          <w:sz w:val="24"/>
          <w:szCs w:val="24"/>
        </w:rPr>
        <w:t xml:space="preserve">     Occupancy rate:</w:t>
      </w:r>
    </w:p>
    <w:p w14:paraId="2B94CC59" w14:textId="77777777" w:rsidR="008F4A10" w:rsidRDefault="008F4A10" w:rsidP="008F4A10">
      <w:pPr>
        <w:pStyle w:val="ListParagraph"/>
        <w:numPr>
          <w:ilvl w:val="0"/>
          <w:numId w:val="7"/>
        </w:numPr>
        <w:spacing w:line="360" w:lineRule="auto"/>
        <w:jc w:val="both"/>
        <w:rPr>
          <w:rFonts w:ascii="Arial" w:hAnsi="Arial" w:cs="Arial"/>
          <w:b/>
          <w:bCs/>
          <w:sz w:val="24"/>
          <w:szCs w:val="24"/>
        </w:rPr>
      </w:pPr>
      <w:r>
        <w:rPr>
          <w:rFonts w:ascii="Arial" w:hAnsi="Arial" w:cs="Arial"/>
          <w:b/>
          <w:bCs/>
          <w:sz w:val="24"/>
          <w:szCs w:val="24"/>
        </w:rPr>
        <w:t>2021: 65%</w:t>
      </w:r>
    </w:p>
    <w:p w14:paraId="06702B48" w14:textId="77777777" w:rsidR="008F4A10" w:rsidRDefault="008F4A10" w:rsidP="008F4A10">
      <w:pPr>
        <w:pStyle w:val="ListParagraph"/>
        <w:numPr>
          <w:ilvl w:val="0"/>
          <w:numId w:val="7"/>
        </w:numPr>
        <w:spacing w:line="360" w:lineRule="auto"/>
        <w:jc w:val="both"/>
        <w:rPr>
          <w:rFonts w:ascii="Arial" w:hAnsi="Arial" w:cs="Arial"/>
          <w:b/>
          <w:bCs/>
          <w:sz w:val="24"/>
          <w:szCs w:val="24"/>
        </w:rPr>
      </w:pPr>
      <w:r>
        <w:rPr>
          <w:rFonts w:ascii="Arial" w:hAnsi="Arial" w:cs="Arial"/>
          <w:b/>
          <w:bCs/>
          <w:sz w:val="24"/>
          <w:szCs w:val="24"/>
        </w:rPr>
        <w:t>2022: 60%</w:t>
      </w:r>
    </w:p>
    <w:p w14:paraId="18391E6F" w14:textId="77777777" w:rsidR="008F4A10" w:rsidRPr="008F4A10" w:rsidRDefault="008F4A10" w:rsidP="008F4A10">
      <w:pPr>
        <w:pStyle w:val="ListParagraph"/>
        <w:numPr>
          <w:ilvl w:val="0"/>
          <w:numId w:val="7"/>
        </w:numPr>
        <w:spacing w:line="360" w:lineRule="auto"/>
        <w:jc w:val="both"/>
        <w:rPr>
          <w:rFonts w:ascii="Arial" w:hAnsi="Arial" w:cs="Arial"/>
          <w:b/>
          <w:bCs/>
          <w:sz w:val="24"/>
          <w:szCs w:val="24"/>
        </w:rPr>
      </w:pPr>
      <w:r>
        <w:rPr>
          <w:rFonts w:ascii="Arial" w:hAnsi="Arial" w:cs="Arial"/>
          <w:b/>
          <w:bCs/>
          <w:sz w:val="24"/>
          <w:szCs w:val="24"/>
        </w:rPr>
        <w:t>2023: 50%</w:t>
      </w:r>
    </w:p>
    <w:p w14:paraId="24A6BC5C" w14:textId="33EBB577" w:rsidR="008F4A10" w:rsidRDefault="008F4A10" w:rsidP="006B1BBE">
      <w:pPr>
        <w:spacing w:line="360" w:lineRule="auto"/>
        <w:jc w:val="both"/>
        <w:rPr>
          <w:rFonts w:ascii="Arial" w:hAnsi="Arial" w:cs="Arial"/>
          <w:sz w:val="24"/>
          <w:szCs w:val="24"/>
        </w:rPr>
      </w:pPr>
      <w:r w:rsidRPr="008F4A10">
        <w:rPr>
          <w:rFonts w:ascii="Arial" w:hAnsi="Arial" w:cs="Arial"/>
          <w:sz w:val="24"/>
          <w:szCs w:val="24"/>
        </w:rPr>
        <w:t>The financial performance of The Seacrest Lodge over the past three years reflects a concerning trend of declining revenue, deteriorating profitability, and weakening asset values. Let's delve deeper into each aspect:</w:t>
      </w:r>
    </w:p>
    <w:p w14:paraId="45E2B287" w14:textId="25319A6F" w:rsidR="006B1BBE" w:rsidRPr="006B1BBE" w:rsidRDefault="008F4A10" w:rsidP="006B1BBE">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F4A10">
        <w:rPr>
          <w:rFonts w:ascii="Arial" w:eastAsia="Times New Roman" w:hAnsi="Arial" w:cs="Arial"/>
          <w:b/>
          <w:bCs/>
          <w:kern w:val="0"/>
          <w:sz w:val="24"/>
          <w:szCs w:val="24"/>
          <w:lang w:eastAsia="en-GB"/>
          <w14:ligatures w14:val="none"/>
        </w:rPr>
        <w:t xml:space="preserve">Income: </w:t>
      </w:r>
    </w:p>
    <w:p w14:paraId="02C0C27E" w14:textId="75FEAA93" w:rsidR="008F4A10" w:rsidRPr="008F4A10" w:rsidRDefault="008F4A10" w:rsidP="006B1BB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F4A10">
        <w:rPr>
          <w:rFonts w:ascii="Arial" w:eastAsia="Times New Roman" w:hAnsi="Arial" w:cs="Arial"/>
          <w:kern w:val="0"/>
          <w:sz w:val="24"/>
          <w:szCs w:val="24"/>
          <w:lang w:eastAsia="en-GB"/>
          <w14:ligatures w14:val="none"/>
        </w:rPr>
        <w:lastRenderedPageBreak/>
        <w:t>From 2021 to 2023, The Seacrest Lodge saw a steady decline in revenue, with figures falling from £1,200,000 in 2021 to £950,000 in 2023. This indicates a steady downward trajectory in top-line performance over the period under review.</w:t>
      </w:r>
    </w:p>
    <w:p w14:paraId="004175CC" w14:textId="1A7F6AD1" w:rsidR="006B1BBE" w:rsidRPr="006B1BBE" w:rsidRDefault="008F4A10" w:rsidP="006B1BBE">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F4A10">
        <w:rPr>
          <w:rFonts w:ascii="Arial" w:eastAsia="Times New Roman" w:hAnsi="Arial" w:cs="Arial"/>
          <w:b/>
          <w:bCs/>
          <w:kern w:val="0"/>
          <w:sz w:val="24"/>
          <w:szCs w:val="24"/>
          <w:lang w:eastAsia="en-GB"/>
          <w14:ligatures w14:val="none"/>
        </w:rPr>
        <w:t>Operating expenses:</w:t>
      </w:r>
    </w:p>
    <w:p w14:paraId="37F220A2" w14:textId="46532F11" w:rsidR="008F4A10" w:rsidRDefault="008F4A10" w:rsidP="006B1BB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F4A10">
        <w:rPr>
          <w:rFonts w:ascii="Arial" w:eastAsia="Times New Roman" w:hAnsi="Arial" w:cs="Arial"/>
          <w:kern w:val="0"/>
          <w:sz w:val="24"/>
          <w:szCs w:val="24"/>
          <w:lang w:eastAsia="en-GB"/>
          <w14:ligatures w14:val="none"/>
        </w:rPr>
        <w:t xml:space="preserve"> Operating expenses have increased over the three-year period, rising from £900,000 in 2021 to £1,100,000 in 2023. Escalating operating expenses, coupled with declining revenues, further exacerbate the lodge's financial challenges, squeezing profit margins and highlighting inefficiencies in cost management.</w:t>
      </w:r>
    </w:p>
    <w:p w14:paraId="0F0FDFE5" w14:textId="621D562A" w:rsidR="006B1BBE" w:rsidRPr="006B1BBE" w:rsidRDefault="006B1BBE" w:rsidP="006B1BBE">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6B1BBE">
        <w:rPr>
          <w:rFonts w:ascii="Arial" w:eastAsia="Times New Roman" w:hAnsi="Arial" w:cs="Arial"/>
          <w:b/>
          <w:bCs/>
          <w:kern w:val="0"/>
          <w:sz w:val="24"/>
          <w:szCs w:val="24"/>
          <w:lang w:eastAsia="en-GB"/>
          <w14:ligatures w14:val="none"/>
        </w:rPr>
        <w:t>Net income:</w:t>
      </w:r>
    </w:p>
    <w:p w14:paraId="06E61A77" w14:textId="36D7C791" w:rsidR="006B1BBE" w:rsidRPr="006B1BBE" w:rsidRDefault="006B1BBE" w:rsidP="006B1BB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B1BBE">
        <w:rPr>
          <w:rFonts w:ascii="Arial" w:eastAsia="Times New Roman" w:hAnsi="Arial" w:cs="Arial"/>
          <w:kern w:val="0"/>
          <w:sz w:val="24"/>
          <w:szCs w:val="24"/>
          <w:lang w:eastAsia="en-GB"/>
          <w14:ligatures w14:val="none"/>
        </w:rPr>
        <w:t>Perhaps the most alarming aspect of The Seacrest Lodge's financial performance is the drastic shift from positive to negative net income. In 2021, the lodge recorded a net income of £300,000, but by 2023, that figure had plummeted to a loss of £150,000. This indicates a significant deterioration in profitability, raising serious concerns about the sustainability of the lodge and its ability to generate returns for stakeholders.</w:t>
      </w:r>
    </w:p>
    <w:p w14:paraId="02E1DA0E" w14:textId="0AC92857" w:rsidR="006B1BBE" w:rsidRDefault="006B1BBE" w:rsidP="006B1BBE">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6B1BBE">
        <w:rPr>
          <w:rFonts w:ascii="Arial" w:eastAsia="Times New Roman" w:hAnsi="Arial" w:cs="Arial"/>
          <w:b/>
          <w:bCs/>
          <w:kern w:val="0"/>
          <w:sz w:val="24"/>
          <w:szCs w:val="24"/>
          <w:lang w:eastAsia="en-GB"/>
          <w14:ligatures w14:val="none"/>
        </w:rPr>
        <w:t>Balance Sheet:</w:t>
      </w:r>
    </w:p>
    <w:p w14:paraId="449204D2" w14:textId="02654A59" w:rsidR="006B1BBE" w:rsidRDefault="006B1BBE" w:rsidP="006B1BB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B1BBE">
        <w:rPr>
          <w:rFonts w:ascii="Arial" w:eastAsia="Times New Roman" w:hAnsi="Arial" w:cs="Arial"/>
          <w:kern w:val="0"/>
          <w:sz w:val="24"/>
          <w:szCs w:val="24"/>
          <w:lang w:eastAsia="en-GB"/>
          <w14:ligatures w14:val="none"/>
        </w:rPr>
        <w:t xml:space="preserve">The balance sheet reflects a decrease in the value of assets, with cash and cash equivalents, and property and equipment having decreased over the </w:t>
      </w:r>
      <w:proofErr w:type="gramStart"/>
      <w:r w:rsidRPr="006B1BBE">
        <w:rPr>
          <w:rFonts w:ascii="Arial" w:eastAsia="Times New Roman" w:hAnsi="Arial" w:cs="Arial"/>
          <w:kern w:val="0"/>
          <w:sz w:val="24"/>
          <w:szCs w:val="24"/>
          <w:lang w:eastAsia="en-GB"/>
          <w14:ligatures w14:val="none"/>
        </w:rPr>
        <w:t>three year</w:t>
      </w:r>
      <w:proofErr w:type="gramEnd"/>
      <w:r w:rsidRPr="006B1BBE">
        <w:rPr>
          <w:rFonts w:ascii="Arial" w:eastAsia="Times New Roman" w:hAnsi="Arial" w:cs="Arial"/>
          <w:kern w:val="0"/>
          <w:sz w:val="24"/>
          <w:szCs w:val="24"/>
          <w:lang w:eastAsia="en-GB"/>
          <w14:ligatures w14:val="none"/>
        </w:rPr>
        <w:t xml:space="preserve"> period. In addition, while liabilities have remained relatively stable, equity has declined substantially, further indicating the erosion of shareholder value.</w:t>
      </w:r>
    </w:p>
    <w:p w14:paraId="478F9450" w14:textId="38578C33" w:rsidR="006B1BBE" w:rsidRDefault="006B1BBE" w:rsidP="006B1BB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B1BBE">
        <w:rPr>
          <w:rFonts w:ascii="Arial" w:eastAsia="Times New Roman" w:hAnsi="Arial" w:cs="Arial"/>
          <w:kern w:val="0"/>
          <w:sz w:val="24"/>
          <w:szCs w:val="24"/>
          <w:lang w:eastAsia="en-GB"/>
          <w14:ligatures w14:val="none"/>
        </w:rPr>
        <w:t>Overall, The Seacrest Lodge's financial performance over the past three years paints a bleak picture of its operational health and highlights the urgent need for intervention. Declining revenues, rising expenses, negative net income and a weakening balance sheet all point to systemic issues that need to be addressed through a comprehensive turnaround strategy aimed at restoring profitability, improving operational efficiency and revitalizing the Lodge's financial health.</w:t>
      </w:r>
    </w:p>
    <w:p w14:paraId="14746832" w14:textId="5E229D99" w:rsidR="006B1BBE" w:rsidRDefault="006B1BBE" w:rsidP="006B1BBE">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6B1BBE">
        <w:rPr>
          <w:rFonts w:ascii="Arial" w:eastAsia="Times New Roman" w:hAnsi="Arial" w:cs="Arial"/>
          <w:b/>
          <w:bCs/>
          <w:kern w:val="0"/>
          <w:sz w:val="24"/>
          <w:szCs w:val="24"/>
          <w:lang w:eastAsia="en-GB"/>
          <w14:ligatures w14:val="none"/>
        </w:rPr>
        <w:t>5.</w:t>
      </w:r>
      <w:r w:rsidR="003F05E3">
        <w:rPr>
          <w:rFonts w:ascii="Arial" w:eastAsia="Times New Roman" w:hAnsi="Arial" w:cs="Arial"/>
          <w:b/>
          <w:bCs/>
          <w:kern w:val="0"/>
          <w:sz w:val="24"/>
          <w:szCs w:val="24"/>
          <w:lang w:eastAsia="en-GB"/>
          <w14:ligatures w14:val="none"/>
        </w:rPr>
        <w:t>Turnaround Strategy:</w:t>
      </w:r>
    </w:p>
    <w:p w14:paraId="61D32DAE"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Key aspects:</w:t>
      </w:r>
    </w:p>
    <w:p w14:paraId="7D8C5050"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lastRenderedPageBreak/>
        <w:t>Falling incomes and employment rates:</w:t>
      </w:r>
    </w:p>
    <w:p w14:paraId="0AF200AE"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The decline in both revenue and occupancy rates over the past three years indicates an urgent need to reverse this trend to ensure the financial viability of Seacrest Lodge. Without a steady stream of guests, the lodge is struggling to generate revenue to cover operating expenses and maintain profitability.</w:t>
      </w:r>
    </w:p>
    <w:p w14:paraId="0110D12E"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Negative Net Income:</w:t>
      </w:r>
    </w:p>
    <w:p w14:paraId="7D358D80"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The lodge's negative net income in the most recent year highlights underlying financial instability and the urgent need for corrective action. Operating at a loss is unsustainable over the long term and threatens the lodge's ability to meet its financial obligations and invest in future growth.</w:t>
      </w:r>
    </w:p>
    <w:p w14:paraId="0A8265C2"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Outdated facilities and service quality:</w:t>
      </w:r>
    </w:p>
    <w:p w14:paraId="4786850A" w14:textId="77777777" w:rsid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Customer dissatisfaction with the lodge's facilities and service quality underscores the importance of addressing outdated offerings to increase customer satisfaction and loyalty. Failure to meet modern standards can lead to decreased customer retention and negative customer feedback, which can further exacerbate revenue issues.</w:t>
      </w:r>
    </w:p>
    <w:p w14:paraId="00BD871A"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Proposed strategies:</w:t>
      </w:r>
    </w:p>
    <w:p w14:paraId="01F49C82"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Renovation and upgrades:</w:t>
      </w:r>
    </w:p>
    <w:p w14:paraId="2024D337"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Invest in comprehensive renovations and upgrades in all areas of the lodge, including guest rooms, common areas, restaurants and event facilities. By upgrading amenities and improving aesthetics, The Seacrest Lodge can attract a wider range of guests and differentiate itself from competitors.</w:t>
      </w:r>
    </w:p>
    <w:p w14:paraId="3FC7957F"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Marketing and branding:</w:t>
      </w:r>
    </w:p>
    <w:p w14:paraId="66BEF047"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Launch a targeted marketing campaign showcasing the renovated facilities and highlighting the unique experiences The Seacrest Lodge offers. Use various channels such as social media, digital advertising and travel agency partnerships to reach potential guests and drive bookings.</w:t>
      </w:r>
    </w:p>
    <w:p w14:paraId="4614D2B9"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lastRenderedPageBreak/>
        <w:t>Enhance the guest experience:</w:t>
      </w:r>
    </w:p>
    <w:p w14:paraId="27E4D182" w14:textId="77777777" w:rsid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Implement robust training programs for staff to elevate service quality and ensure consistent customer satisfaction. Empower employees to anticipate and exceed customer expectations, promoting a culture of hospitality excellence. Introduce personalized service and loyalty programs to drive repeat visits and increase customer loyalty.</w:t>
      </w:r>
    </w:p>
    <w:p w14:paraId="071756E6"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Income diversification:</w:t>
      </w:r>
    </w:p>
    <w:p w14:paraId="256D7997"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Explore opportunities to diversify revenue streams beyond traditional accommodation offerings. Consider hosting special events such as weddings, corporate retreats or wellness retreats to attract new clientele and generate additional revenue. Create partnerships with local businesses to offer unique experiences and activities that enhance the overall guest experience.</w:t>
      </w:r>
    </w:p>
    <w:p w14:paraId="5450F093" w14:textId="77777777" w:rsidR="003F05E3" w:rsidRPr="003F05E3" w:rsidRDefault="003F05E3"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F05E3">
        <w:rPr>
          <w:rFonts w:ascii="Arial" w:eastAsia="Times New Roman" w:hAnsi="Arial" w:cs="Arial"/>
          <w:b/>
          <w:bCs/>
          <w:kern w:val="0"/>
          <w:sz w:val="24"/>
          <w:szCs w:val="24"/>
          <w:lang w:eastAsia="en-GB"/>
          <w14:ligatures w14:val="none"/>
        </w:rPr>
        <w:t>Cost optimisation:</w:t>
      </w:r>
    </w:p>
    <w:p w14:paraId="402A0807"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Conduct a thorough analysis of operational expenses to identify areas for optimization and cost saving opportunities. Negotiate favourable contracts with suppliers, streamline procurement processes and implement efficiency measures to reduce overall costs without compromising service quality or customer satisfaction.</w:t>
      </w:r>
    </w:p>
    <w:p w14:paraId="30D58CFD" w14:textId="304AB495" w:rsid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F05E3">
        <w:rPr>
          <w:rFonts w:ascii="Arial" w:eastAsia="Times New Roman" w:hAnsi="Arial" w:cs="Arial"/>
          <w:kern w:val="0"/>
          <w:sz w:val="24"/>
          <w:szCs w:val="24"/>
          <w:lang w:eastAsia="en-GB"/>
          <w14:ligatures w14:val="none"/>
        </w:rPr>
        <w:t>By implementing these strategies, Seacrest Lodge can address key challenges, attract more guests, improve financial performance and position itself for long-term success in the competitive hospitality market. This comprehensive turnaround plan aims to revitalize the lodge's financial health, increase guest satisfaction and restore its reputation as a premier vacation destination.</w:t>
      </w:r>
    </w:p>
    <w:p w14:paraId="4D0B0AE8" w14:textId="77777777" w:rsid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9DF01C" w14:textId="6F204611" w:rsidR="0017487E" w:rsidRDefault="0017487E" w:rsidP="003F05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6.Conclusion:</w:t>
      </w:r>
    </w:p>
    <w:p w14:paraId="4B07DB40" w14:textId="77777777"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kern w:val="0"/>
          <w:sz w:val="24"/>
          <w:szCs w:val="24"/>
          <w:lang w:eastAsia="en-GB"/>
          <w14:ligatures w14:val="none"/>
        </w:rPr>
        <w:t xml:space="preserve">Seacrest Lodge, once prized as a premier vacation destination, now finds itself at a crossroads, facing a myriad of challenges that threaten its viability and reputation in the highly competitive hospitality market. This report embarks on a journey to dissect </w:t>
      </w:r>
      <w:r w:rsidRPr="0017487E">
        <w:rPr>
          <w:rFonts w:ascii="Arial" w:eastAsia="Times New Roman" w:hAnsi="Arial" w:cs="Arial"/>
          <w:kern w:val="0"/>
          <w:sz w:val="24"/>
          <w:szCs w:val="24"/>
          <w:lang w:eastAsia="en-GB"/>
          <w14:ligatures w14:val="none"/>
        </w:rPr>
        <w:lastRenderedPageBreak/>
        <w:t>the lodge's plight, proposing a holistic turnaround strategy designed to set it on a path to rebirth and prosperity.</w:t>
      </w:r>
    </w:p>
    <w:p w14:paraId="09160BF4" w14:textId="0772FC92" w:rsid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kern w:val="0"/>
          <w:sz w:val="24"/>
          <w:szCs w:val="24"/>
          <w:lang w:eastAsia="en-GB"/>
          <w14:ligatures w14:val="none"/>
        </w:rPr>
        <w:t>Market analysis reveals a landscape full of newer, more modern resorts, where guest preferences have shifted towards contemporary amenities and high service standards. Customer dissatisfaction with outdated facilities and service quality underlines the urgency of intervention.</w:t>
      </w:r>
    </w:p>
    <w:p w14:paraId="0D46FBA0" w14:textId="77777777"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kern w:val="0"/>
          <w:sz w:val="24"/>
          <w:szCs w:val="24"/>
          <w:lang w:eastAsia="en-GB"/>
          <w14:ligatures w14:val="none"/>
        </w:rPr>
        <w:t>Analysis of financial performance reveals a worrying trend of declining revenues, occupancy rates and profitability, indicating an immediate need for action. With negative net income and declining assets, Seacrest Lodge's financial health is in jeopardy.</w:t>
      </w:r>
    </w:p>
    <w:p w14:paraId="2F32D389" w14:textId="772FD58E" w:rsid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kern w:val="0"/>
          <w:sz w:val="24"/>
          <w:szCs w:val="24"/>
          <w:lang w:eastAsia="en-GB"/>
          <w14:ligatures w14:val="none"/>
        </w:rPr>
        <w:t>In response to these challenges, the proposed turnaround strategy presents a multi-faceted approach that includes the following:</w:t>
      </w:r>
    </w:p>
    <w:p w14:paraId="3B84D2DD" w14:textId="2F000F8C"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b/>
          <w:bCs/>
          <w:kern w:val="0"/>
          <w:sz w:val="24"/>
          <w:szCs w:val="24"/>
          <w:lang w:eastAsia="en-GB"/>
          <w14:ligatures w14:val="none"/>
        </w:rPr>
        <w:t>1.Renovation and upgrades:</w:t>
      </w:r>
      <w:r w:rsidRPr="0017487E">
        <w:rPr>
          <w:rFonts w:ascii="Arial" w:eastAsia="Times New Roman" w:hAnsi="Arial" w:cs="Arial"/>
          <w:kern w:val="0"/>
          <w:sz w:val="24"/>
          <w:szCs w:val="24"/>
          <w:lang w:eastAsia="en-GB"/>
          <w14:ligatures w14:val="none"/>
        </w:rPr>
        <w:t xml:space="preserve"> A strategic investment in upgrading facilities and amenities to align with evolving customer expectations and enhance the lodge's attractiveness in the competitive market landscape.</w:t>
      </w:r>
    </w:p>
    <w:p w14:paraId="719A4F4F" w14:textId="30614C92"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b/>
          <w:bCs/>
          <w:kern w:val="0"/>
          <w:sz w:val="24"/>
          <w:szCs w:val="24"/>
          <w:lang w:eastAsia="en-GB"/>
          <w14:ligatures w14:val="none"/>
        </w:rPr>
        <w:t>2</w:t>
      </w:r>
      <w:r w:rsidRPr="0017487E">
        <w:rPr>
          <w:rFonts w:ascii="Arial" w:eastAsia="Times New Roman" w:hAnsi="Arial" w:cs="Arial"/>
          <w:kern w:val="0"/>
          <w:sz w:val="24"/>
          <w:szCs w:val="24"/>
          <w:lang w:eastAsia="en-GB"/>
          <w14:ligatures w14:val="none"/>
        </w:rPr>
        <w:t>.</w:t>
      </w:r>
      <w:r w:rsidRPr="0017487E">
        <w:rPr>
          <w:rFonts w:ascii="Arial" w:eastAsia="Times New Roman" w:hAnsi="Arial" w:cs="Arial"/>
          <w:b/>
          <w:bCs/>
          <w:kern w:val="0"/>
          <w:sz w:val="24"/>
          <w:szCs w:val="24"/>
          <w:lang w:eastAsia="en-GB"/>
          <w14:ligatures w14:val="none"/>
        </w:rPr>
        <w:t>Marketing and branding:</w:t>
      </w:r>
      <w:r w:rsidRPr="0017487E">
        <w:rPr>
          <w:rFonts w:ascii="Arial" w:eastAsia="Times New Roman" w:hAnsi="Arial" w:cs="Arial"/>
          <w:kern w:val="0"/>
          <w:sz w:val="24"/>
          <w:szCs w:val="24"/>
          <w:lang w:eastAsia="en-GB"/>
          <w14:ligatures w14:val="none"/>
        </w:rPr>
        <w:t xml:space="preserve"> A comprehensive marketing campaign designed to reposition The Seacrest Lodge as a beacon of hospitality excellence, leveraging its unique offerings and renovated facilities to captivate target audiences through various channels.</w:t>
      </w:r>
    </w:p>
    <w:p w14:paraId="47E18089" w14:textId="1FC3474C" w:rsid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b/>
          <w:bCs/>
          <w:kern w:val="0"/>
          <w:sz w:val="24"/>
          <w:szCs w:val="24"/>
          <w:lang w:eastAsia="en-GB"/>
          <w14:ligatures w14:val="none"/>
        </w:rPr>
        <w:t>3.Enhance the guest experience:</w:t>
      </w:r>
      <w:r w:rsidRPr="0017487E">
        <w:rPr>
          <w:rFonts w:ascii="Arial" w:eastAsia="Times New Roman" w:hAnsi="Arial" w:cs="Arial"/>
          <w:kern w:val="0"/>
          <w:sz w:val="24"/>
          <w:szCs w:val="24"/>
          <w:lang w:eastAsia="en-GB"/>
          <w14:ligatures w14:val="none"/>
        </w:rPr>
        <w:t xml:space="preserve"> A focus on elevating the quality of service through staff training initiatives, personalized service and loyalty programs, encouraging guest satisfaction and loyalty.</w:t>
      </w:r>
    </w:p>
    <w:p w14:paraId="69D77588" w14:textId="7F3F1624"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b/>
          <w:bCs/>
          <w:kern w:val="0"/>
          <w:sz w:val="24"/>
          <w:szCs w:val="24"/>
          <w:lang w:eastAsia="en-GB"/>
          <w14:ligatures w14:val="none"/>
        </w:rPr>
        <w:t>4.Diversify revenue:</w:t>
      </w:r>
      <w:r w:rsidRPr="0017487E">
        <w:rPr>
          <w:rFonts w:ascii="Arial" w:eastAsia="Times New Roman" w:hAnsi="Arial" w:cs="Arial"/>
          <w:kern w:val="0"/>
          <w:sz w:val="24"/>
          <w:szCs w:val="24"/>
          <w:lang w:eastAsia="en-GB"/>
          <w14:ligatures w14:val="none"/>
        </w:rPr>
        <w:t xml:space="preserve"> Explore new revenue streams such as hosting special events, offering recreational activities, and partnering with local businesses to enrich guest experiences and enhance revenue generation.</w:t>
      </w:r>
    </w:p>
    <w:p w14:paraId="09C4D37A" w14:textId="3241527F"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b/>
          <w:bCs/>
          <w:kern w:val="0"/>
          <w:sz w:val="24"/>
          <w:szCs w:val="24"/>
          <w:lang w:eastAsia="en-GB"/>
          <w14:ligatures w14:val="none"/>
        </w:rPr>
        <w:t>5.Cost Optimization:</w:t>
      </w:r>
      <w:r w:rsidRPr="0017487E">
        <w:rPr>
          <w:rFonts w:ascii="Arial" w:eastAsia="Times New Roman" w:hAnsi="Arial" w:cs="Arial"/>
          <w:kern w:val="0"/>
          <w:sz w:val="24"/>
          <w:szCs w:val="24"/>
          <w:lang w:eastAsia="en-GB"/>
          <w14:ligatures w14:val="none"/>
        </w:rPr>
        <w:t xml:space="preserve"> Rigorously examine operational expenses, renegotiate contracts with vendors, and implement streamlined processes to achieve cost efficiencies without compromising service quality.</w:t>
      </w:r>
    </w:p>
    <w:p w14:paraId="5EF1A677" w14:textId="77777777"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10CE4E8" w14:textId="3F865AA9" w:rsidR="0017487E" w:rsidRPr="0017487E" w:rsidRDefault="0017487E" w:rsidP="001748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7487E">
        <w:rPr>
          <w:rFonts w:ascii="Arial" w:eastAsia="Times New Roman" w:hAnsi="Arial" w:cs="Arial"/>
          <w:kern w:val="0"/>
          <w:sz w:val="24"/>
          <w:szCs w:val="24"/>
          <w:lang w:eastAsia="en-GB"/>
          <w14:ligatures w14:val="none"/>
        </w:rPr>
        <w:t>The Seacrest Lodge is at a critical juncture, ready to either succumb to the challenges that plague it or embark on a transformative journey to rejuvenation and prosperity. By adopting the proposed turnaround strategy, Seacrest Lodge can move toward sustainable growth, profitability and restoration of its reputation as a premier vacation destination. With strategic investments in renovation, enhanced guest experiences, diversified revenue streams and prudent cost management, Seacrest Lodge can emerge stronger, reclaiming its rightful place at the forefront of the coastal hospitality landscape.</w:t>
      </w:r>
    </w:p>
    <w:p w14:paraId="28FB1E9F"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C89318E" w14:textId="77777777" w:rsidR="003F05E3" w:rsidRPr="003F05E3" w:rsidRDefault="003F05E3" w:rsidP="003F05E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51C7145" w14:textId="77777777" w:rsidR="006B1BBE" w:rsidRPr="008F4A10" w:rsidRDefault="006B1BBE" w:rsidP="006B1BB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B652A04" w14:textId="77777777" w:rsidR="008F4A10" w:rsidRPr="008F4A10" w:rsidRDefault="008F4A10" w:rsidP="008F4A10">
      <w:pPr>
        <w:spacing w:line="360" w:lineRule="auto"/>
        <w:jc w:val="both"/>
        <w:rPr>
          <w:rFonts w:ascii="Arial" w:hAnsi="Arial" w:cs="Arial"/>
          <w:sz w:val="24"/>
          <w:szCs w:val="24"/>
        </w:rPr>
      </w:pPr>
    </w:p>
    <w:p w14:paraId="468B5D8E" w14:textId="53B1E9CC" w:rsidR="00311BA3" w:rsidRDefault="00311BA3" w:rsidP="008F4A10">
      <w:pPr>
        <w:pStyle w:val="ListParagraph"/>
        <w:spacing w:line="360" w:lineRule="auto"/>
        <w:jc w:val="both"/>
        <w:rPr>
          <w:rFonts w:ascii="Arial" w:hAnsi="Arial" w:cs="Arial"/>
          <w:b/>
          <w:bCs/>
          <w:sz w:val="24"/>
          <w:szCs w:val="24"/>
        </w:rPr>
      </w:pPr>
    </w:p>
    <w:p w14:paraId="6B6316F1" w14:textId="77777777" w:rsidR="00311BA3" w:rsidRDefault="00311BA3">
      <w:pPr>
        <w:rPr>
          <w:rFonts w:ascii="Arial" w:hAnsi="Arial" w:cs="Arial"/>
          <w:b/>
          <w:bCs/>
          <w:sz w:val="24"/>
          <w:szCs w:val="24"/>
        </w:rPr>
      </w:pPr>
      <w:r>
        <w:rPr>
          <w:rFonts w:ascii="Arial" w:hAnsi="Arial" w:cs="Arial"/>
          <w:b/>
          <w:bCs/>
          <w:sz w:val="24"/>
          <w:szCs w:val="24"/>
        </w:rPr>
        <w:br w:type="page"/>
      </w:r>
    </w:p>
    <w:p w14:paraId="7CE0B5F8" w14:textId="15EA21CF" w:rsidR="008F4A10" w:rsidRPr="004E4338" w:rsidRDefault="00311BA3" w:rsidP="004E4338">
      <w:pPr>
        <w:spacing w:line="360" w:lineRule="auto"/>
        <w:jc w:val="both"/>
        <w:rPr>
          <w:rFonts w:ascii="Arial" w:hAnsi="Arial" w:cs="Arial"/>
          <w:b/>
          <w:bCs/>
          <w:sz w:val="24"/>
          <w:szCs w:val="24"/>
        </w:rPr>
      </w:pPr>
      <w:r w:rsidRPr="004E4338">
        <w:rPr>
          <w:rFonts w:ascii="Arial" w:hAnsi="Arial" w:cs="Arial"/>
          <w:b/>
          <w:bCs/>
          <w:sz w:val="24"/>
          <w:szCs w:val="24"/>
        </w:rPr>
        <w:lastRenderedPageBreak/>
        <w:t>References:</w:t>
      </w:r>
    </w:p>
    <w:p w14:paraId="63878C33" w14:textId="77777777" w:rsidR="00311BA3" w:rsidRDefault="00311BA3" w:rsidP="00311BA3">
      <w:pPr>
        <w:pStyle w:val="NormalWeb"/>
        <w:ind w:left="567" w:hanging="567"/>
      </w:pPr>
      <w:r>
        <w:rPr>
          <w:i/>
          <w:iCs/>
        </w:rPr>
        <w:t>Home</w:t>
      </w:r>
      <w:r>
        <w:t xml:space="preserve"> (2024) </w:t>
      </w:r>
      <w:r>
        <w:rPr>
          <w:i/>
          <w:iCs/>
        </w:rPr>
        <w:t>Seacrest Lodge, Scarborough, North Yorkshire - Cottage Holiday Reviews</w:t>
      </w:r>
      <w:r>
        <w:t xml:space="preserve">. Available at: https://www.mycottageholiday.co.uk/cottage/seacrest-lodge-scarborough (Accessed: 26 February 2024). </w:t>
      </w:r>
    </w:p>
    <w:p w14:paraId="48CF9ED8" w14:textId="77777777" w:rsidR="00311BA3" w:rsidRDefault="00311BA3" w:rsidP="00311BA3">
      <w:pPr>
        <w:pStyle w:val="NormalWeb"/>
        <w:ind w:left="567" w:hanging="567"/>
      </w:pPr>
      <w:r>
        <w:rPr>
          <w:i/>
          <w:iCs/>
        </w:rPr>
        <w:t>Seacrest Lodge</w:t>
      </w:r>
      <w:r>
        <w:t xml:space="preserve"> (2024) </w:t>
      </w:r>
      <w:r>
        <w:rPr>
          <w:i/>
          <w:iCs/>
        </w:rPr>
        <w:t>Sykes Cottages</w:t>
      </w:r>
      <w:r>
        <w:t xml:space="preserve">. Available at: https://www.sykescottages.co.uk/cottage/North-York-Moors-Coast-Eastfield/Seacrest-Lodge-931230.html (Accessed: 26 February 2024). </w:t>
      </w:r>
    </w:p>
    <w:p w14:paraId="0C99B391" w14:textId="77777777" w:rsidR="00311BA3" w:rsidRDefault="00311BA3" w:rsidP="00311BA3">
      <w:pPr>
        <w:pStyle w:val="NormalWeb"/>
        <w:ind w:left="567" w:hanging="567"/>
      </w:pPr>
      <w:r>
        <w:rPr>
          <w:i/>
          <w:iCs/>
        </w:rPr>
        <w:t xml:space="preserve">Seacrest Lodge, Scarborough - updated 2024 - holiday rental in </w:t>
      </w:r>
      <w:proofErr w:type="spellStart"/>
      <w:r>
        <w:rPr>
          <w:i/>
          <w:iCs/>
        </w:rPr>
        <w:t>osgodby</w:t>
      </w:r>
      <w:proofErr w:type="spellEnd"/>
      <w:r>
        <w:t xml:space="preserve"> (2024) </w:t>
      </w:r>
      <w:r>
        <w:rPr>
          <w:i/>
          <w:iCs/>
        </w:rPr>
        <w:t>Tripadvisor</w:t>
      </w:r>
      <w:r>
        <w:t xml:space="preserve">. Available at: https://www.tripadvisor.co.uk/VacationRentalReview-g21405337-d9584779-Seacrest_Lodge_Scarborough-Osgodby_Scarborough_Scarborough_District_North_Yorkshire_.html (Accessed: 26 February 2024). </w:t>
      </w:r>
    </w:p>
    <w:p w14:paraId="26AB5A96" w14:textId="77777777" w:rsidR="00311BA3" w:rsidRDefault="00311BA3" w:rsidP="00311BA3">
      <w:pPr>
        <w:pStyle w:val="NormalWeb"/>
        <w:ind w:left="567" w:hanging="567"/>
      </w:pPr>
      <w:r>
        <w:t xml:space="preserve">ROOMDEX, Inc. (2022) </w:t>
      </w:r>
      <w:r>
        <w:rPr>
          <w:i/>
          <w:iCs/>
        </w:rPr>
        <w:t>Upselling automation success story: Seacrest Oceanfront Hotel</w:t>
      </w:r>
      <w:r>
        <w:t xml:space="preserve">, </w:t>
      </w:r>
      <w:r>
        <w:rPr>
          <w:i/>
          <w:iCs/>
        </w:rPr>
        <w:t>Hospitality Net</w:t>
      </w:r>
      <w:r>
        <w:t xml:space="preserve">. Available at: https://www.hospitalitynet.org/news/4112070.html (Accessed: 26 February 2024). </w:t>
      </w:r>
    </w:p>
    <w:p w14:paraId="740C731D" w14:textId="77777777" w:rsidR="00B256D8" w:rsidRDefault="00B256D8" w:rsidP="00B256D8">
      <w:pPr>
        <w:pStyle w:val="NormalWeb"/>
        <w:ind w:left="567" w:hanging="567"/>
      </w:pPr>
      <w:r>
        <w:t xml:space="preserve">Landman, P. (2023) </w:t>
      </w:r>
      <w:r>
        <w:rPr>
          <w:i/>
          <w:iCs/>
        </w:rPr>
        <w:t>Hotel Market Research &amp; Analysis: XOTELS blog</w:t>
      </w:r>
      <w:r>
        <w:t xml:space="preserve">, </w:t>
      </w:r>
      <w:proofErr w:type="spellStart"/>
      <w:r>
        <w:rPr>
          <w:i/>
          <w:iCs/>
        </w:rPr>
        <w:t>Xotels</w:t>
      </w:r>
      <w:proofErr w:type="spellEnd"/>
      <w:r>
        <w:t xml:space="preserve">. Available at: https://www.xotels.com/en/hotel-management/hotel-market-research (Accessed: 26 February 2024). </w:t>
      </w:r>
    </w:p>
    <w:p w14:paraId="5B98ED04" w14:textId="77777777" w:rsidR="00B256D8" w:rsidRDefault="00B256D8" w:rsidP="00B256D8">
      <w:pPr>
        <w:pStyle w:val="NormalWeb"/>
        <w:ind w:left="567" w:hanging="567"/>
      </w:pPr>
      <w:r>
        <w:rPr>
          <w:i/>
          <w:iCs/>
        </w:rPr>
        <w:t>Hotels market - global industry analysis and forecast (2023-2029)</w:t>
      </w:r>
      <w:r>
        <w:t xml:space="preserve"> (2023) </w:t>
      </w:r>
      <w:r>
        <w:rPr>
          <w:i/>
          <w:iCs/>
        </w:rPr>
        <w:t>MAXIMIZE MARKET RESEARCH</w:t>
      </w:r>
      <w:r>
        <w:t xml:space="preserve">. Available at: https://www.maximizemarketresearch.com/market-report/hotels-market/47478/ (Accessed: 26 February 2024). </w:t>
      </w:r>
    </w:p>
    <w:p w14:paraId="436F6E5A" w14:textId="4C42120B" w:rsidR="00311BA3" w:rsidRDefault="00B256D8" w:rsidP="00311BA3">
      <w:pPr>
        <w:pStyle w:val="NormalWeb"/>
        <w:ind w:left="567" w:hanging="567"/>
        <w:rPr>
          <w:color w:val="333333"/>
          <w:shd w:val="clear" w:color="auto" w:fill="FFFFFF"/>
        </w:rPr>
      </w:pPr>
      <w:r w:rsidRPr="00B256D8">
        <w:rPr>
          <w:color w:val="333333"/>
          <w:shd w:val="clear" w:color="auto" w:fill="FFFFFF"/>
        </w:rPr>
        <w:t>Anderson, R. I., Fish, M., Xia, Y., &amp; Mitchell, F. (1999, March). Measuring efficiency in the hotel industry: A stochastic frontier approach. </w:t>
      </w:r>
      <w:r w:rsidRPr="00B256D8">
        <w:rPr>
          <w:rStyle w:val="Emphasis"/>
          <w:color w:val="333333"/>
          <w:shd w:val="clear" w:color="auto" w:fill="FFFFFF"/>
        </w:rPr>
        <w:t>International Journal of Hospitality Management</w:t>
      </w:r>
      <w:r w:rsidRPr="00B256D8">
        <w:rPr>
          <w:color w:val="333333"/>
          <w:shd w:val="clear" w:color="auto" w:fill="FFFFFF"/>
        </w:rPr>
        <w:t>, 18, 45-57.</w:t>
      </w:r>
    </w:p>
    <w:p w14:paraId="51B30E71" w14:textId="6F493934" w:rsidR="00B256D8" w:rsidRPr="00B256D8" w:rsidRDefault="00B256D8" w:rsidP="00311BA3">
      <w:pPr>
        <w:pStyle w:val="NormalWeb"/>
        <w:ind w:left="567" w:hanging="567"/>
      </w:pPr>
      <w:r w:rsidRPr="00B256D8">
        <w:rPr>
          <w:color w:val="333333"/>
          <w:shd w:val="clear" w:color="auto" w:fill="FFFFFF"/>
        </w:rPr>
        <w:t>Brown, J. R., &amp; Dev, C. S. (1999, April). Looking beyond RevPAR: Consequences of hotel strategies. </w:t>
      </w:r>
      <w:r w:rsidRPr="00B256D8">
        <w:rPr>
          <w:rStyle w:val="Emphasis"/>
          <w:color w:val="333333"/>
          <w:shd w:val="clear" w:color="auto" w:fill="FFFFFF"/>
        </w:rPr>
        <w:t>Cornell Hotel and Restaurant Administration Quarterly</w:t>
      </w:r>
      <w:r w:rsidRPr="00B256D8">
        <w:rPr>
          <w:color w:val="333333"/>
          <w:shd w:val="clear" w:color="auto" w:fill="FFFFFF"/>
        </w:rPr>
        <w:t>, 40, 23-33.</w:t>
      </w:r>
    </w:p>
    <w:p w14:paraId="249DCA20" w14:textId="49C88634" w:rsidR="00311BA3" w:rsidRPr="00B256D8" w:rsidRDefault="00B256D8" w:rsidP="004E4338">
      <w:pPr>
        <w:spacing w:line="360" w:lineRule="auto"/>
        <w:jc w:val="center"/>
        <w:rPr>
          <w:rFonts w:ascii="Times New Roman" w:hAnsi="Times New Roman" w:cs="Times New Roman"/>
          <w:color w:val="333333"/>
          <w:sz w:val="24"/>
          <w:szCs w:val="24"/>
          <w:shd w:val="clear" w:color="auto" w:fill="FFFFFF"/>
        </w:rPr>
      </w:pPr>
      <w:r w:rsidRPr="00B256D8">
        <w:rPr>
          <w:rFonts w:ascii="Times New Roman" w:hAnsi="Times New Roman" w:cs="Times New Roman"/>
          <w:color w:val="333333"/>
          <w:sz w:val="24"/>
          <w:szCs w:val="24"/>
          <w:shd w:val="clear" w:color="auto" w:fill="FFFFFF"/>
        </w:rPr>
        <w:t>Dodds, W. B., Monroe, K. B., &amp; Grewal, D. (1991, August). Effects of price, brand, and store information on buyers’ product evaluations. </w:t>
      </w:r>
      <w:r w:rsidRPr="00B256D8">
        <w:rPr>
          <w:rStyle w:val="Emphasis"/>
          <w:rFonts w:ascii="Times New Roman" w:hAnsi="Times New Roman" w:cs="Times New Roman"/>
          <w:color w:val="333333"/>
          <w:sz w:val="24"/>
          <w:szCs w:val="24"/>
          <w:shd w:val="clear" w:color="auto" w:fill="FFFFFF"/>
        </w:rPr>
        <w:t>Journal of Marketing Research</w:t>
      </w:r>
      <w:r w:rsidRPr="00B256D8">
        <w:rPr>
          <w:rFonts w:ascii="Times New Roman" w:hAnsi="Times New Roman" w:cs="Times New Roman"/>
          <w:color w:val="333333"/>
          <w:sz w:val="24"/>
          <w:szCs w:val="24"/>
          <w:shd w:val="clear" w:color="auto" w:fill="FFFFFF"/>
        </w:rPr>
        <w:t>, 28, 301-319.</w:t>
      </w:r>
    </w:p>
    <w:p w14:paraId="6C007536" w14:textId="2E641E55" w:rsidR="00B256D8" w:rsidRDefault="00B256D8" w:rsidP="004E4338">
      <w:pPr>
        <w:spacing w:line="360" w:lineRule="auto"/>
        <w:jc w:val="center"/>
        <w:rPr>
          <w:rFonts w:ascii="Times New Roman" w:hAnsi="Times New Roman" w:cs="Times New Roman"/>
          <w:color w:val="333333"/>
          <w:sz w:val="24"/>
          <w:szCs w:val="24"/>
          <w:shd w:val="clear" w:color="auto" w:fill="FFFFFF"/>
        </w:rPr>
      </w:pPr>
      <w:r w:rsidRPr="00B256D8">
        <w:rPr>
          <w:rFonts w:ascii="Times New Roman" w:hAnsi="Times New Roman" w:cs="Times New Roman"/>
          <w:color w:val="333333"/>
          <w:sz w:val="24"/>
          <w:szCs w:val="24"/>
          <w:shd w:val="clear" w:color="auto" w:fill="FFFFFF"/>
        </w:rPr>
        <w:t>Lewis, R. C., Chambers, R. E., &amp; Chacko, H. E. (1995). </w:t>
      </w:r>
      <w:r w:rsidRPr="00B256D8">
        <w:rPr>
          <w:rStyle w:val="Emphasis"/>
          <w:rFonts w:ascii="Times New Roman" w:hAnsi="Times New Roman" w:cs="Times New Roman"/>
          <w:color w:val="333333"/>
          <w:sz w:val="24"/>
          <w:szCs w:val="24"/>
          <w:shd w:val="clear" w:color="auto" w:fill="FFFFFF"/>
        </w:rPr>
        <w:t>Marketing leadership in hospitality: Foundations and practices</w:t>
      </w:r>
      <w:r w:rsidRPr="00B256D8">
        <w:rPr>
          <w:rFonts w:ascii="Times New Roman" w:hAnsi="Times New Roman" w:cs="Times New Roman"/>
          <w:color w:val="333333"/>
          <w:sz w:val="24"/>
          <w:szCs w:val="24"/>
          <w:shd w:val="clear" w:color="auto" w:fill="FFFFFF"/>
        </w:rPr>
        <w:t> (2nd ed.). New York: Van Nostrand Reinhold.</w:t>
      </w:r>
    </w:p>
    <w:p w14:paraId="511206CA" w14:textId="77777777" w:rsidR="00B256D8" w:rsidRDefault="00B256D8" w:rsidP="00B256D8">
      <w:pPr>
        <w:pStyle w:val="NormalWeb"/>
        <w:ind w:left="567" w:hanging="567"/>
      </w:pPr>
      <w:r>
        <w:t xml:space="preserve">Wang, Y. (2019) </w:t>
      </w:r>
      <w:proofErr w:type="spellStart"/>
      <w:r>
        <w:rPr>
          <w:i/>
          <w:iCs/>
        </w:rPr>
        <w:t>Webofproceedings</w:t>
      </w:r>
      <w:proofErr w:type="spellEnd"/>
      <w:r>
        <w:t xml:space="preserve">. Available at: https://webofproceedings.org/proceedings_series/ECOM/ECOMHS%202019/ECOMHS19092.pdf (Accessed: 26 February 2024). </w:t>
      </w:r>
    </w:p>
    <w:p w14:paraId="355B2342" w14:textId="77777777" w:rsidR="004E4338" w:rsidRDefault="004E4338" w:rsidP="004E4338">
      <w:pPr>
        <w:pStyle w:val="NormalWeb"/>
        <w:ind w:left="567" w:hanging="567"/>
      </w:pPr>
      <w:r>
        <w:t xml:space="preserve">Soundararajan, L.N. (2023) </w:t>
      </w:r>
      <w:r>
        <w:rPr>
          <w:i/>
          <w:iCs/>
        </w:rPr>
        <w:t>Hotel Financial Performance Analysis-The Ultimate Jargon Free Guide</w:t>
      </w:r>
      <w:r>
        <w:t xml:space="preserve">, </w:t>
      </w:r>
      <w:r>
        <w:rPr>
          <w:i/>
          <w:iCs/>
        </w:rPr>
        <w:t>Hotel Financial Courses</w:t>
      </w:r>
      <w:r>
        <w:t>. Available at: https://profitsmasterclassblog.com/hotel-</w:t>
      </w:r>
      <w:r>
        <w:lastRenderedPageBreak/>
        <w:t xml:space="preserve">financial-performance-analysis-the-ultimate-jargon-free-guide/ (Accessed: 26 February 2024). </w:t>
      </w:r>
    </w:p>
    <w:p w14:paraId="1152F1A0" w14:textId="77777777" w:rsidR="004E4338" w:rsidRDefault="004E4338" w:rsidP="004E4338">
      <w:pPr>
        <w:pStyle w:val="NormalWeb"/>
        <w:ind w:left="567" w:hanging="567"/>
      </w:pPr>
      <w:r>
        <w:t xml:space="preserve">Management, H. (2024) </w:t>
      </w:r>
      <w:r>
        <w:rPr>
          <w:i/>
          <w:iCs/>
        </w:rPr>
        <w:t xml:space="preserve">How can you improve your hospitality operations with financial </w:t>
      </w:r>
      <w:proofErr w:type="gramStart"/>
      <w:r>
        <w:rPr>
          <w:i/>
          <w:iCs/>
        </w:rPr>
        <w:t>analysis?</w:t>
      </w:r>
      <w:r>
        <w:t>,</w:t>
      </w:r>
      <w:proofErr w:type="gramEnd"/>
      <w:r>
        <w:t xml:space="preserve"> </w:t>
      </w:r>
      <w:r>
        <w:rPr>
          <w:i/>
          <w:iCs/>
        </w:rPr>
        <w:t>How to Improve Hospitality Operations with Financial Analysis</w:t>
      </w:r>
      <w:r>
        <w:t xml:space="preserve">. Available at: https://www.linkedin.com/advice/0/how-can-you-improve-your-hospitality-operations#:~:text=Financial%20analysis%20in%20hospitality%20helps,Budgeting%3A%20Set%20realistic%20financial%20goals. (Accessed: 26 February 2024). </w:t>
      </w:r>
    </w:p>
    <w:p w14:paraId="11D9CC9D" w14:textId="77777777" w:rsidR="004E4338" w:rsidRDefault="004E4338" w:rsidP="004E4338">
      <w:pPr>
        <w:pStyle w:val="NormalWeb"/>
        <w:ind w:left="567" w:hanging="567"/>
      </w:pPr>
      <w:r>
        <w:t xml:space="preserve">Tarver, E. (2021) </w:t>
      </w:r>
      <w:r>
        <w:rPr>
          <w:i/>
          <w:iCs/>
        </w:rPr>
        <w:t xml:space="preserve">Key financial ratios to </w:t>
      </w:r>
      <w:proofErr w:type="spellStart"/>
      <w:r>
        <w:rPr>
          <w:i/>
          <w:iCs/>
        </w:rPr>
        <w:t>analyze</w:t>
      </w:r>
      <w:proofErr w:type="spellEnd"/>
      <w:r>
        <w:rPr>
          <w:i/>
          <w:iCs/>
        </w:rPr>
        <w:t xml:space="preserve"> the hospitality industry</w:t>
      </w:r>
      <w:r>
        <w:t xml:space="preserve">, </w:t>
      </w:r>
      <w:r>
        <w:rPr>
          <w:i/>
          <w:iCs/>
        </w:rPr>
        <w:t>Investopedia</w:t>
      </w:r>
      <w:r>
        <w:t xml:space="preserve">. Available at: https://www.investopedia.com/articles/active-trading/082615/key-financial-ratios-analyze-hospitality-industry.asp (Accessed: 26 February 2024). </w:t>
      </w:r>
    </w:p>
    <w:p w14:paraId="3EF41CD2" w14:textId="77777777" w:rsidR="004E4338" w:rsidRDefault="004E4338" w:rsidP="004E4338">
      <w:pPr>
        <w:pStyle w:val="NormalWeb"/>
        <w:ind w:left="567" w:hanging="567"/>
      </w:pPr>
      <w:r>
        <w:t xml:space="preserve">Mulnix-Morris, J.M. (2022) </w:t>
      </w:r>
      <w:r>
        <w:rPr>
          <w:i/>
          <w:iCs/>
        </w:rPr>
        <w:t xml:space="preserve">Hotel Performance Analysis – what is it, and how could it improve your hotel </w:t>
      </w:r>
      <w:proofErr w:type="gramStart"/>
      <w:r>
        <w:rPr>
          <w:i/>
          <w:iCs/>
        </w:rPr>
        <w:t>operation?:</w:t>
      </w:r>
      <w:proofErr w:type="gramEnd"/>
      <w:r>
        <w:rPr>
          <w:i/>
          <w:iCs/>
        </w:rPr>
        <w:t xml:space="preserve"> By Joann m. Mulnix-Morris</w:t>
      </w:r>
      <w:r>
        <w:t xml:space="preserve">, </w:t>
      </w:r>
      <w:r>
        <w:rPr>
          <w:i/>
          <w:iCs/>
        </w:rPr>
        <w:t>Hospitality Net</w:t>
      </w:r>
      <w:r>
        <w:t xml:space="preserve">. Available at: https://www.hospitalitynet.org/opinion/4112774.html (Accessed: 26 February 2024). </w:t>
      </w:r>
    </w:p>
    <w:p w14:paraId="6EE7D243" w14:textId="77777777" w:rsidR="004E4338" w:rsidRDefault="004E4338" w:rsidP="004E4338">
      <w:pPr>
        <w:pStyle w:val="NormalWeb"/>
        <w:ind w:left="567" w:hanging="567"/>
      </w:pPr>
      <w:proofErr w:type="spellStart"/>
      <w:r>
        <w:t>Peuter</w:t>
      </w:r>
      <w:proofErr w:type="spellEnd"/>
      <w:r>
        <w:t xml:space="preserve">-Rutten, J. de (2023) </w:t>
      </w:r>
      <w:r>
        <w:rPr>
          <w:i/>
          <w:iCs/>
        </w:rPr>
        <w:t>Evaluating hotel performance: 6 key factors</w:t>
      </w:r>
      <w:r>
        <w:t xml:space="preserve">, </w:t>
      </w:r>
      <w:r>
        <w:rPr>
          <w:i/>
          <w:iCs/>
        </w:rPr>
        <w:t>EHL Insights news</w:t>
      </w:r>
      <w:r>
        <w:t xml:space="preserve">. Available at: https://hospitalityinsights.ehl.edu/evaluating-hotel-performance (Accessed: 26 February 2024). </w:t>
      </w:r>
    </w:p>
    <w:p w14:paraId="084AA7F2" w14:textId="77777777" w:rsidR="008D2B01" w:rsidRDefault="008D2B01" w:rsidP="008D2B01">
      <w:pPr>
        <w:pStyle w:val="NormalWeb"/>
        <w:ind w:left="567" w:hanging="567"/>
      </w:pPr>
      <w:r>
        <w:t xml:space="preserve">Talati, S. (2022) </w:t>
      </w:r>
      <w:r>
        <w:rPr>
          <w:i/>
          <w:iCs/>
        </w:rPr>
        <w:t>13 strategies to turn around a failing hotel business</w:t>
      </w:r>
      <w:r>
        <w:t xml:space="preserve">, </w:t>
      </w:r>
      <w:proofErr w:type="spellStart"/>
      <w:r>
        <w:rPr>
          <w:i/>
          <w:iCs/>
        </w:rPr>
        <w:t>eZee</w:t>
      </w:r>
      <w:proofErr w:type="spellEnd"/>
      <w:r>
        <w:rPr>
          <w:i/>
          <w:iCs/>
        </w:rPr>
        <w:t xml:space="preserve"> Absolute</w:t>
      </w:r>
      <w:r>
        <w:t xml:space="preserve">. Available at: https://www.ezeeabsolute.com/blog/how-to-save-failing-hotel-business/ (Accessed: 26 February 2024). </w:t>
      </w:r>
    </w:p>
    <w:p w14:paraId="666AC1FE" w14:textId="77777777" w:rsidR="008D2B01" w:rsidRDefault="008D2B01" w:rsidP="008D2B01">
      <w:pPr>
        <w:pStyle w:val="NormalWeb"/>
        <w:ind w:left="567" w:hanging="567"/>
      </w:pPr>
      <w:r>
        <w:t xml:space="preserve">Elphick, D. (2024) </w:t>
      </w:r>
      <w:r>
        <w:rPr>
          <w:i/>
          <w:iCs/>
        </w:rPr>
        <w:t>Hotel Revenue Management Strategies and Solutions</w:t>
      </w:r>
      <w:r>
        <w:t xml:space="preserve">, </w:t>
      </w:r>
      <w:r>
        <w:rPr>
          <w:i/>
          <w:iCs/>
        </w:rPr>
        <w:t>SiteMinder</w:t>
      </w:r>
      <w:r>
        <w:t xml:space="preserve">. Available at: https://www.siteminder.com/r/hotel-revenue-management-strategies/ (Accessed: 26 February 2024). </w:t>
      </w:r>
    </w:p>
    <w:p w14:paraId="48BE41A5" w14:textId="77777777" w:rsidR="008D2B01" w:rsidRDefault="008D2B01" w:rsidP="008D2B01">
      <w:pPr>
        <w:pStyle w:val="NormalWeb"/>
        <w:ind w:left="567" w:hanging="567"/>
      </w:pPr>
      <w:r>
        <w:t xml:space="preserve">Soft, A. (2021) </w:t>
      </w:r>
      <w:r>
        <w:rPr>
          <w:i/>
          <w:iCs/>
        </w:rPr>
        <w:t xml:space="preserve">Hotel Revenue Management: Strategies, tools, and best </w:t>
      </w:r>
      <w:proofErr w:type="spellStart"/>
      <w:r>
        <w:rPr>
          <w:i/>
          <w:iCs/>
        </w:rPr>
        <w:t>practi</w:t>
      </w:r>
      <w:proofErr w:type="spellEnd"/>
      <w:r>
        <w:t xml:space="preserve">, </w:t>
      </w:r>
      <w:proofErr w:type="spellStart"/>
      <w:r>
        <w:rPr>
          <w:i/>
          <w:iCs/>
        </w:rPr>
        <w:t>AltexSoft</w:t>
      </w:r>
      <w:proofErr w:type="spellEnd"/>
      <w:r>
        <w:t xml:space="preserve">. Available at: https://www.altexsoft.com/blog/hotel-revenue-management-solutions-best-practices-revenue-managers-role/ (Accessed: 26 February 2024). </w:t>
      </w:r>
    </w:p>
    <w:p w14:paraId="7C4B2687" w14:textId="77777777" w:rsidR="008D2B01" w:rsidRDefault="008D2B01" w:rsidP="008D2B01">
      <w:pPr>
        <w:pStyle w:val="NormalWeb"/>
        <w:ind w:left="567" w:hanging="567"/>
      </w:pPr>
      <w:r>
        <w:t xml:space="preserve">Pagel, G. (2023) </w:t>
      </w:r>
      <w:r>
        <w:rPr>
          <w:i/>
          <w:iCs/>
        </w:rPr>
        <w:t>Payment solutions</w:t>
      </w:r>
      <w:r>
        <w:t xml:space="preserve">, </w:t>
      </w:r>
      <w:r>
        <w:rPr>
          <w:i/>
          <w:iCs/>
        </w:rPr>
        <w:t>Planet</w:t>
      </w:r>
      <w:r>
        <w:t xml:space="preserve">. Available at: https://www.weareplanet.com/blog/strategies-hotel-revenue-management (Accessed: 26 February 2024). </w:t>
      </w:r>
    </w:p>
    <w:p w14:paraId="5F2EC687" w14:textId="77777777" w:rsidR="008D2B01" w:rsidRDefault="008D2B01" w:rsidP="008D2B01">
      <w:pPr>
        <w:pStyle w:val="NormalWeb"/>
        <w:ind w:left="567" w:hanging="567"/>
      </w:pPr>
      <w:r>
        <w:t xml:space="preserve">Hamilton, C. (2023) </w:t>
      </w:r>
      <w:r>
        <w:rPr>
          <w:i/>
          <w:iCs/>
        </w:rPr>
        <w:t>10 powerful strategies to turn around a distressed hotel quickly</w:t>
      </w:r>
      <w:r>
        <w:t xml:space="preserve">, </w:t>
      </w:r>
      <w:r>
        <w:rPr>
          <w:i/>
          <w:iCs/>
        </w:rPr>
        <w:t>GJC Advisory</w:t>
      </w:r>
      <w:r>
        <w:t xml:space="preserve">. Available at: https://gjcadvisory.com/10-powerful-strategies-to-turn-around-a-distressed-hotel-quickly/ (Accessed: 26 February 2024). </w:t>
      </w:r>
    </w:p>
    <w:p w14:paraId="3CAC7C28" w14:textId="77777777" w:rsidR="008D2B01" w:rsidRDefault="008D2B01" w:rsidP="008D2B01">
      <w:pPr>
        <w:pStyle w:val="NormalWeb"/>
        <w:ind w:left="567" w:hanging="567"/>
      </w:pPr>
      <w:r>
        <w:t xml:space="preserve">Tables, S. (2021) </w:t>
      </w:r>
      <w:r>
        <w:rPr>
          <w:i/>
          <w:iCs/>
        </w:rPr>
        <w:t>7 strategies to turn around a failing hotel</w:t>
      </w:r>
      <w:r>
        <w:t xml:space="preserve">, </w:t>
      </w:r>
      <w:r>
        <w:rPr>
          <w:i/>
          <w:iCs/>
        </w:rPr>
        <w:t>Social Tables</w:t>
      </w:r>
      <w:r>
        <w:t xml:space="preserve">. Available at: https://www.socialtables.com/blog/hospitality/failing-hotel-turn-around-strategies/ (Accessed: 26 February 2024). </w:t>
      </w:r>
    </w:p>
    <w:p w14:paraId="55A34FBB" w14:textId="77777777" w:rsidR="004E4338" w:rsidRDefault="004E4338" w:rsidP="004E4338">
      <w:pPr>
        <w:pStyle w:val="NormalWeb"/>
        <w:ind w:left="567" w:hanging="567"/>
      </w:pPr>
    </w:p>
    <w:p w14:paraId="27E47F76" w14:textId="77777777" w:rsidR="004E4338" w:rsidRDefault="004E4338" w:rsidP="00B256D8">
      <w:pPr>
        <w:pStyle w:val="NormalWeb"/>
        <w:ind w:left="567" w:hanging="567"/>
      </w:pPr>
    </w:p>
    <w:p w14:paraId="69B67CC9" w14:textId="77777777" w:rsidR="00B256D8" w:rsidRDefault="00B256D8" w:rsidP="00B256D8">
      <w:pPr>
        <w:pStyle w:val="NormalWeb"/>
        <w:ind w:left="567" w:hanging="567"/>
      </w:pPr>
    </w:p>
    <w:p w14:paraId="7D5EA16D" w14:textId="77777777" w:rsidR="00B256D8" w:rsidRPr="00B256D8" w:rsidRDefault="00B256D8" w:rsidP="00B256D8">
      <w:pPr>
        <w:spacing w:line="360" w:lineRule="auto"/>
        <w:jc w:val="both"/>
        <w:rPr>
          <w:rFonts w:ascii="Times New Roman" w:hAnsi="Times New Roman" w:cs="Times New Roman"/>
          <w:b/>
          <w:bCs/>
          <w:sz w:val="24"/>
          <w:szCs w:val="24"/>
        </w:rPr>
      </w:pPr>
    </w:p>
    <w:sectPr w:rsidR="00B256D8" w:rsidRPr="00B25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1302E"/>
    <w:multiLevelType w:val="hybridMultilevel"/>
    <w:tmpl w:val="3BE89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604D7"/>
    <w:multiLevelType w:val="hybridMultilevel"/>
    <w:tmpl w:val="A30CA78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CC1BDB"/>
    <w:multiLevelType w:val="multilevel"/>
    <w:tmpl w:val="8D1AB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618D4"/>
    <w:multiLevelType w:val="multilevel"/>
    <w:tmpl w:val="AE0A2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971CD7"/>
    <w:multiLevelType w:val="multilevel"/>
    <w:tmpl w:val="AE0A2D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43180A"/>
    <w:multiLevelType w:val="hybridMultilevel"/>
    <w:tmpl w:val="B7D867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BED30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3A4234C"/>
    <w:multiLevelType w:val="multilevel"/>
    <w:tmpl w:val="AE0A2D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F33E1A"/>
    <w:multiLevelType w:val="multilevel"/>
    <w:tmpl w:val="AE0A2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0C70D0"/>
    <w:multiLevelType w:val="hybridMultilevel"/>
    <w:tmpl w:val="51C0A3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0139B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72753292"/>
    <w:multiLevelType w:val="multilevel"/>
    <w:tmpl w:val="AE0A2D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DA3134"/>
    <w:multiLevelType w:val="multilevel"/>
    <w:tmpl w:val="AE0A2D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99356D0"/>
    <w:multiLevelType w:val="multilevel"/>
    <w:tmpl w:val="52B8F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5709DF"/>
    <w:multiLevelType w:val="multilevel"/>
    <w:tmpl w:val="AE0A2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0321325">
    <w:abstractNumId w:val="14"/>
  </w:num>
  <w:num w:numId="2" w16cid:durableId="1907108645">
    <w:abstractNumId w:val="10"/>
  </w:num>
  <w:num w:numId="3" w16cid:durableId="2037995257">
    <w:abstractNumId w:val="9"/>
  </w:num>
  <w:num w:numId="4" w16cid:durableId="1862355264">
    <w:abstractNumId w:val="6"/>
  </w:num>
  <w:num w:numId="5" w16cid:durableId="1268999648">
    <w:abstractNumId w:val="1"/>
  </w:num>
  <w:num w:numId="6" w16cid:durableId="2063672706">
    <w:abstractNumId w:val="5"/>
  </w:num>
  <w:num w:numId="7" w16cid:durableId="1930506793">
    <w:abstractNumId w:val="0"/>
  </w:num>
  <w:num w:numId="8" w16cid:durableId="974681030">
    <w:abstractNumId w:val="8"/>
  </w:num>
  <w:num w:numId="9" w16cid:durableId="776867958">
    <w:abstractNumId w:val="3"/>
  </w:num>
  <w:num w:numId="10" w16cid:durableId="716734058">
    <w:abstractNumId w:val="4"/>
  </w:num>
  <w:num w:numId="11" w16cid:durableId="1199902355">
    <w:abstractNumId w:val="12"/>
  </w:num>
  <w:num w:numId="12" w16cid:durableId="1288120729">
    <w:abstractNumId w:val="11"/>
  </w:num>
  <w:num w:numId="13" w16cid:durableId="1616667013">
    <w:abstractNumId w:val="7"/>
  </w:num>
  <w:num w:numId="14" w16cid:durableId="494340796">
    <w:abstractNumId w:val="13"/>
  </w:num>
  <w:num w:numId="15" w16cid:durableId="769817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76A"/>
    <w:rsid w:val="0001134D"/>
    <w:rsid w:val="0017487E"/>
    <w:rsid w:val="002807D9"/>
    <w:rsid w:val="002F2254"/>
    <w:rsid w:val="00311BA3"/>
    <w:rsid w:val="003F05E3"/>
    <w:rsid w:val="004E4338"/>
    <w:rsid w:val="006B1BBE"/>
    <w:rsid w:val="008D2B01"/>
    <w:rsid w:val="008F4A10"/>
    <w:rsid w:val="009D1F6D"/>
    <w:rsid w:val="00B256D8"/>
    <w:rsid w:val="00CC176A"/>
    <w:rsid w:val="00E13607"/>
    <w:rsid w:val="00E20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29B1B"/>
  <w15:chartTrackingRefBased/>
  <w15:docId w15:val="{E93DB89E-8D3A-414D-A70B-671DC6EAA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607"/>
    <w:pPr>
      <w:ind w:left="720"/>
      <w:contextualSpacing/>
    </w:pPr>
  </w:style>
  <w:style w:type="table" w:styleId="TableGrid">
    <w:name w:val="Table Grid"/>
    <w:basedOn w:val="TableNormal"/>
    <w:uiPriority w:val="39"/>
    <w:rsid w:val="009D1F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F05E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256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0900">
      <w:bodyDiv w:val="1"/>
      <w:marLeft w:val="0"/>
      <w:marRight w:val="0"/>
      <w:marTop w:val="0"/>
      <w:marBottom w:val="0"/>
      <w:divBdr>
        <w:top w:val="none" w:sz="0" w:space="0" w:color="auto"/>
        <w:left w:val="none" w:sz="0" w:space="0" w:color="auto"/>
        <w:bottom w:val="none" w:sz="0" w:space="0" w:color="auto"/>
        <w:right w:val="none" w:sz="0" w:space="0" w:color="auto"/>
      </w:divBdr>
    </w:div>
    <w:div w:id="136266145">
      <w:bodyDiv w:val="1"/>
      <w:marLeft w:val="0"/>
      <w:marRight w:val="0"/>
      <w:marTop w:val="0"/>
      <w:marBottom w:val="0"/>
      <w:divBdr>
        <w:top w:val="none" w:sz="0" w:space="0" w:color="auto"/>
        <w:left w:val="none" w:sz="0" w:space="0" w:color="auto"/>
        <w:bottom w:val="none" w:sz="0" w:space="0" w:color="auto"/>
        <w:right w:val="none" w:sz="0" w:space="0" w:color="auto"/>
      </w:divBdr>
    </w:div>
    <w:div w:id="273706307">
      <w:bodyDiv w:val="1"/>
      <w:marLeft w:val="0"/>
      <w:marRight w:val="0"/>
      <w:marTop w:val="0"/>
      <w:marBottom w:val="0"/>
      <w:divBdr>
        <w:top w:val="none" w:sz="0" w:space="0" w:color="auto"/>
        <w:left w:val="none" w:sz="0" w:space="0" w:color="auto"/>
        <w:bottom w:val="none" w:sz="0" w:space="0" w:color="auto"/>
        <w:right w:val="none" w:sz="0" w:space="0" w:color="auto"/>
      </w:divBdr>
    </w:div>
    <w:div w:id="314265256">
      <w:bodyDiv w:val="1"/>
      <w:marLeft w:val="0"/>
      <w:marRight w:val="0"/>
      <w:marTop w:val="0"/>
      <w:marBottom w:val="0"/>
      <w:divBdr>
        <w:top w:val="none" w:sz="0" w:space="0" w:color="auto"/>
        <w:left w:val="none" w:sz="0" w:space="0" w:color="auto"/>
        <w:bottom w:val="none" w:sz="0" w:space="0" w:color="auto"/>
        <w:right w:val="none" w:sz="0" w:space="0" w:color="auto"/>
      </w:divBdr>
    </w:div>
    <w:div w:id="317416950">
      <w:bodyDiv w:val="1"/>
      <w:marLeft w:val="0"/>
      <w:marRight w:val="0"/>
      <w:marTop w:val="0"/>
      <w:marBottom w:val="0"/>
      <w:divBdr>
        <w:top w:val="none" w:sz="0" w:space="0" w:color="auto"/>
        <w:left w:val="none" w:sz="0" w:space="0" w:color="auto"/>
        <w:bottom w:val="none" w:sz="0" w:space="0" w:color="auto"/>
        <w:right w:val="none" w:sz="0" w:space="0" w:color="auto"/>
      </w:divBdr>
    </w:div>
    <w:div w:id="323559027">
      <w:bodyDiv w:val="1"/>
      <w:marLeft w:val="0"/>
      <w:marRight w:val="0"/>
      <w:marTop w:val="0"/>
      <w:marBottom w:val="0"/>
      <w:divBdr>
        <w:top w:val="none" w:sz="0" w:space="0" w:color="auto"/>
        <w:left w:val="none" w:sz="0" w:space="0" w:color="auto"/>
        <w:bottom w:val="none" w:sz="0" w:space="0" w:color="auto"/>
        <w:right w:val="none" w:sz="0" w:space="0" w:color="auto"/>
      </w:divBdr>
    </w:div>
    <w:div w:id="463623506">
      <w:bodyDiv w:val="1"/>
      <w:marLeft w:val="0"/>
      <w:marRight w:val="0"/>
      <w:marTop w:val="0"/>
      <w:marBottom w:val="0"/>
      <w:divBdr>
        <w:top w:val="none" w:sz="0" w:space="0" w:color="auto"/>
        <w:left w:val="none" w:sz="0" w:space="0" w:color="auto"/>
        <w:bottom w:val="none" w:sz="0" w:space="0" w:color="auto"/>
        <w:right w:val="none" w:sz="0" w:space="0" w:color="auto"/>
      </w:divBdr>
    </w:div>
    <w:div w:id="559707594">
      <w:bodyDiv w:val="1"/>
      <w:marLeft w:val="0"/>
      <w:marRight w:val="0"/>
      <w:marTop w:val="0"/>
      <w:marBottom w:val="0"/>
      <w:divBdr>
        <w:top w:val="none" w:sz="0" w:space="0" w:color="auto"/>
        <w:left w:val="none" w:sz="0" w:space="0" w:color="auto"/>
        <w:bottom w:val="none" w:sz="0" w:space="0" w:color="auto"/>
        <w:right w:val="none" w:sz="0" w:space="0" w:color="auto"/>
      </w:divBdr>
    </w:div>
    <w:div w:id="584920419">
      <w:bodyDiv w:val="1"/>
      <w:marLeft w:val="0"/>
      <w:marRight w:val="0"/>
      <w:marTop w:val="0"/>
      <w:marBottom w:val="0"/>
      <w:divBdr>
        <w:top w:val="none" w:sz="0" w:space="0" w:color="auto"/>
        <w:left w:val="none" w:sz="0" w:space="0" w:color="auto"/>
        <w:bottom w:val="none" w:sz="0" w:space="0" w:color="auto"/>
        <w:right w:val="none" w:sz="0" w:space="0" w:color="auto"/>
      </w:divBdr>
    </w:div>
    <w:div w:id="659387333">
      <w:bodyDiv w:val="1"/>
      <w:marLeft w:val="0"/>
      <w:marRight w:val="0"/>
      <w:marTop w:val="0"/>
      <w:marBottom w:val="0"/>
      <w:divBdr>
        <w:top w:val="none" w:sz="0" w:space="0" w:color="auto"/>
        <w:left w:val="none" w:sz="0" w:space="0" w:color="auto"/>
        <w:bottom w:val="none" w:sz="0" w:space="0" w:color="auto"/>
        <w:right w:val="none" w:sz="0" w:space="0" w:color="auto"/>
      </w:divBdr>
    </w:div>
    <w:div w:id="672682452">
      <w:bodyDiv w:val="1"/>
      <w:marLeft w:val="0"/>
      <w:marRight w:val="0"/>
      <w:marTop w:val="0"/>
      <w:marBottom w:val="0"/>
      <w:divBdr>
        <w:top w:val="none" w:sz="0" w:space="0" w:color="auto"/>
        <w:left w:val="none" w:sz="0" w:space="0" w:color="auto"/>
        <w:bottom w:val="none" w:sz="0" w:space="0" w:color="auto"/>
        <w:right w:val="none" w:sz="0" w:space="0" w:color="auto"/>
      </w:divBdr>
    </w:div>
    <w:div w:id="713584539">
      <w:bodyDiv w:val="1"/>
      <w:marLeft w:val="0"/>
      <w:marRight w:val="0"/>
      <w:marTop w:val="0"/>
      <w:marBottom w:val="0"/>
      <w:divBdr>
        <w:top w:val="none" w:sz="0" w:space="0" w:color="auto"/>
        <w:left w:val="none" w:sz="0" w:space="0" w:color="auto"/>
        <w:bottom w:val="none" w:sz="0" w:space="0" w:color="auto"/>
        <w:right w:val="none" w:sz="0" w:space="0" w:color="auto"/>
      </w:divBdr>
    </w:div>
    <w:div w:id="835456876">
      <w:bodyDiv w:val="1"/>
      <w:marLeft w:val="0"/>
      <w:marRight w:val="0"/>
      <w:marTop w:val="0"/>
      <w:marBottom w:val="0"/>
      <w:divBdr>
        <w:top w:val="none" w:sz="0" w:space="0" w:color="auto"/>
        <w:left w:val="none" w:sz="0" w:space="0" w:color="auto"/>
        <w:bottom w:val="none" w:sz="0" w:space="0" w:color="auto"/>
        <w:right w:val="none" w:sz="0" w:space="0" w:color="auto"/>
      </w:divBdr>
    </w:div>
    <w:div w:id="890113451">
      <w:bodyDiv w:val="1"/>
      <w:marLeft w:val="0"/>
      <w:marRight w:val="0"/>
      <w:marTop w:val="0"/>
      <w:marBottom w:val="0"/>
      <w:divBdr>
        <w:top w:val="none" w:sz="0" w:space="0" w:color="auto"/>
        <w:left w:val="none" w:sz="0" w:space="0" w:color="auto"/>
        <w:bottom w:val="none" w:sz="0" w:space="0" w:color="auto"/>
        <w:right w:val="none" w:sz="0" w:space="0" w:color="auto"/>
      </w:divBdr>
    </w:div>
    <w:div w:id="1138377482">
      <w:bodyDiv w:val="1"/>
      <w:marLeft w:val="0"/>
      <w:marRight w:val="0"/>
      <w:marTop w:val="0"/>
      <w:marBottom w:val="0"/>
      <w:divBdr>
        <w:top w:val="none" w:sz="0" w:space="0" w:color="auto"/>
        <w:left w:val="none" w:sz="0" w:space="0" w:color="auto"/>
        <w:bottom w:val="none" w:sz="0" w:space="0" w:color="auto"/>
        <w:right w:val="none" w:sz="0" w:space="0" w:color="auto"/>
      </w:divBdr>
    </w:div>
    <w:div w:id="1152911989">
      <w:bodyDiv w:val="1"/>
      <w:marLeft w:val="0"/>
      <w:marRight w:val="0"/>
      <w:marTop w:val="0"/>
      <w:marBottom w:val="0"/>
      <w:divBdr>
        <w:top w:val="none" w:sz="0" w:space="0" w:color="auto"/>
        <w:left w:val="none" w:sz="0" w:space="0" w:color="auto"/>
        <w:bottom w:val="none" w:sz="0" w:space="0" w:color="auto"/>
        <w:right w:val="none" w:sz="0" w:space="0" w:color="auto"/>
      </w:divBdr>
    </w:div>
    <w:div w:id="1168640903">
      <w:bodyDiv w:val="1"/>
      <w:marLeft w:val="0"/>
      <w:marRight w:val="0"/>
      <w:marTop w:val="0"/>
      <w:marBottom w:val="0"/>
      <w:divBdr>
        <w:top w:val="none" w:sz="0" w:space="0" w:color="auto"/>
        <w:left w:val="none" w:sz="0" w:space="0" w:color="auto"/>
        <w:bottom w:val="none" w:sz="0" w:space="0" w:color="auto"/>
        <w:right w:val="none" w:sz="0" w:space="0" w:color="auto"/>
      </w:divBdr>
    </w:div>
    <w:div w:id="1237133457">
      <w:bodyDiv w:val="1"/>
      <w:marLeft w:val="0"/>
      <w:marRight w:val="0"/>
      <w:marTop w:val="0"/>
      <w:marBottom w:val="0"/>
      <w:divBdr>
        <w:top w:val="none" w:sz="0" w:space="0" w:color="auto"/>
        <w:left w:val="none" w:sz="0" w:space="0" w:color="auto"/>
        <w:bottom w:val="none" w:sz="0" w:space="0" w:color="auto"/>
        <w:right w:val="none" w:sz="0" w:space="0" w:color="auto"/>
      </w:divBdr>
    </w:div>
    <w:div w:id="1279987683">
      <w:bodyDiv w:val="1"/>
      <w:marLeft w:val="0"/>
      <w:marRight w:val="0"/>
      <w:marTop w:val="0"/>
      <w:marBottom w:val="0"/>
      <w:divBdr>
        <w:top w:val="none" w:sz="0" w:space="0" w:color="auto"/>
        <w:left w:val="none" w:sz="0" w:space="0" w:color="auto"/>
        <w:bottom w:val="none" w:sz="0" w:space="0" w:color="auto"/>
        <w:right w:val="none" w:sz="0" w:space="0" w:color="auto"/>
      </w:divBdr>
    </w:div>
    <w:div w:id="1358047883">
      <w:bodyDiv w:val="1"/>
      <w:marLeft w:val="0"/>
      <w:marRight w:val="0"/>
      <w:marTop w:val="0"/>
      <w:marBottom w:val="0"/>
      <w:divBdr>
        <w:top w:val="none" w:sz="0" w:space="0" w:color="auto"/>
        <w:left w:val="none" w:sz="0" w:space="0" w:color="auto"/>
        <w:bottom w:val="none" w:sz="0" w:space="0" w:color="auto"/>
        <w:right w:val="none" w:sz="0" w:space="0" w:color="auto"/>
      </w:divBdr>
    </w:div>
    <w:div w:id="1596093959">
      <w:bodyDiv w:val="1"/>
      <w:marLeft w:val="0"/>
      <w:marRight w:val="0"/>
      <w:marTop w:val="0"/>
      <w:marBottom w:val="0"/>
      <w:divBdr>
        <w:top w:val="none" w:sz="0" w:space="0" w:color="auto"/>
        <w:left w:val="none" w:sz="0" w:space="0" w:color="auto"/>
        <w:bottom w:val="none" w:sz="0" w:space="0" w:color="auto"/>
        <w:right w:val="none" w:sz="0" w:space="0" w:color="auto"/>
      </w:divBdr>
    </w:div>
    <w:div w:id="1639409540">
      <w:bodyDiv w:val="1"/>
      <w:marLeft w:val="0"/>
      <w:marRight w:val="0"/>
      <w:marTop w:val="0"/>
      <w:marBottom w:val="0"/>
      <w:divBdr>
        <w:top w:val="none" w:sz="0" w:space="0" w:color="auto"/>
        <w:left w:val="none" w:sz="0" w:space="0" w:color="auto"/>
        <w:bottom w:val="none" w:sz="0" w:space="0" w:color="auto"/>
        <w:right w:val="none" w:sz="0" w:space="0" w:color="auto"/>
      </w:divBdr>
    </w:div>
    <w:div w:id="1724211144">
      <w:bodyDiv w:val="1"/>
      <w:marLeft w:val="0"/>
      <w:marRight w:val="0"/>
      <w:marTop w:val="0"/>
      <w:marBottom w:val="0"/>
      <w:divBdr>
        <w:top w:val="none" w:sz="0" w:space="0" w:color="auto"/>
        <w:left w:val="none" w:sz="0" w:space="0" w:color="auto"/>
        <w:bottom w:val="none" w:sz="0" w:space="0" w:color="auto"/>
        <w:right w:val="none" w:sz="0" w:space="0" w:color="auto"/>
      </w:divBdr>
    </w:div>
    <w:div w:id="1772771763">
      <w:bodyDiv w:val="1"/>
      <w:marLeft w:val="0"/>
      <w:marRight w:val="0"/>
      <w:marTop w:val="0"/>
      <w:marBottom w:val="0"/>
      <w:divBdr>
        <w:top w:val="none" w:sz="0" w:space="0" w:color="auto"/>
        <w:left w:val="none" w:sz="0" w:space="0" w:color="auto"/>
        <w:bottom w:val="none" w:sz="0" w:space="0" w:color="auto"/>
        <w:right w:val="none" w:sz="0" w:space="0" w:color="auto"/>
      </w:divBdr>
    </w:div>
    <w:div w:id="1786775306">
      <w:bodyDiv w:val="1"/>
      <w:marLeft w:val="0"/>
      <w:marRight w:val="0"/>
      <w:marTop w:val="0"/>
      <w:marBottom w:val="0"/>
      <w:divBdr>
        <w:top w:val="none" w:sz="0" w:space="0" w:color="auto"/>
        <w:left w:val="none" w:sz="0" w:space="0" w:color="auto"/>
        <w:bottom w:val="none" w:sz="0" w:space="0" w:color="auto"/>
        <w:right w:val="none" w:sz="0" w:space="0" w:color="auto"/>
      </w:divBdr>
    </w:div>
    <w:div w:id="1873104519">
      <w:bodyDiv w:val="1"/>
      <w:marLeft w:val="0"/>
      <w:marRight w:val="0"/>
      <w:marTop w:val="0"/>
      <w:marBottom w:val="0"/>
      <w:divBdr>
        <w:top w:val="none" w:sz="0" w:space="0" w:color="auto"/>
        <w:left w:val="none" w:sz="0" w:space="0" w:color="auto"/>
        <w:bottom w:val="none" w:sz="0" w:space="0" w:color="auto"/>
        <w:right w:val="none" w:sz="0" w:space="0" w:color="auto"/>
      </w:divBdr>
    </w:div>
    <w:div w:id="1898933834">
      <w:bodyDiv w:val="1"/>
      <w:marLeft w:val="0"/>
      <w:marRight w:val="0"/>
      <w:marTop w:val="0"/>
      <w:marBottom w:val="0"/>
      <w:divBdr>
        <w:top w:val="none" w:sz="0" w:space="0" w:color="auto"/>
        <w:left w:val="none" w:sz="0" w:space="0" w:color="auto"/>
        <w:bottom w:val="none" w:sz="0" w:space="0" w:color="auto"/>
        <w:right w:val="none" w:sz="0" w:space="0" w:color="auto"/>
      </w:divBdr>
    </w:div>
    <w:div w:id="1913347742">
      <w:bodyDiv w:val="1"/>
      <w:marLeft w:val="0"/>
      <w:marRight w:val="0"/>
      <w:marTop w:val="0"/>
      <w:marBottom w:val="0"/>
      <w:divBdr>
        <w:top w:val="none" w:sz="0" w:space="0" w:color="auto"/>
        <w:left w:val="none" w:sz="0" w:space="0" w:color="auto"/>
        <w:bottom w:val="none" w:sz="0" w:space="0" w:color="auto"/>
        <w:right w:val="none" w:sz="0" w:space="0" w:color="auto"/>
      </w:divBdr>
    </w:div>
    <w:div w:id="1938101772">
      <w:bodyDiv w:val="1"/>
      <w:marLeft w:val="0"/>
      <w:marRight w:val="0"/>
      <w:marTop w:val="0"/>
      <w:marBottom w:val="0"/>
      <w:divBdr>
        <w:top w:val="none" w:sz="0" w:space="0" w:color="auto"/>
        <w:left w:val="none" w:sz="0" w:space="0" w:color="auto"/>
        <w:bottom w:val="none" w:sz="0" w:space="0" w:color="auto"/>
        <w:right w:val="none" w:sz="0" w:space="0" w:color="auto"/>
      </w:divBdr>
      <w:divsChild>
        <w:div w:id="2028557952">
          <w:marLeft w:val="0"/>
          <w:marRight w:val="0"/>
          <w:marTop w:val="0"/>
          <w:marBottom w:val="0"/>
          <w:divBdr>
            <w:top w:val="single" w:sz="2" w:space="0" w:color="E3E3E3"/>
            <w:left w:val="single" w:sz="2" w:space="0" w:color="E3E3E3"/>
            <w:bottom w:val="single" w:sz="2" w:space="0" w:color="E3E3E3"/>
            <w:right w:val="single" w:sz="2" w:space="0" w:color="E3E3E3"/>
          </w:divBdr>
          <w:divsChild>
            <w:div w:id="54009528">
              <w:marLeft w:val="0"/>
              <w:marRight w:val="0"/>
              <w:marTop w:val="100"/>
              <w:marBottom w:val="100"/>
              <w:divBdr>
                <w:top w:val="single" w:sz="2" w:space="0" w:color="E3E3E3"/>
                <w:left w:val="single" w:sz="2" w:space="0" w:color="E3E3E3"/>
                <w:bottom w:val="single" w:sz="2" w:space="0" w:color="E3E3E3"/>
                <w:right w:val="single" w:sz="2" w:space="0" w:color="E3E3E3"/>
              </w:divBdr>
              <w:divsChild>
                <w:div w:id="663432018">
                  <w:marLeft w:val="0"/>
                  <w:marRight w:val="0"/>
                  <w:marTop w:val="0"/>
                  <w:marBottom w:val="0"/>
                  <w:divBdr>
                    <w:top w:val="single" w:sz="2" w:space="0" w:color="E3E3E3"/>
                    <w:left w:val="single" w:sz="2" w:space="0" w:color="E3E3E3"/>
                    <w:bottom w:val="single" w:sz="2" w:space="0" w:color="E3E3E3"/>
                    <w:right w:val="single" w:sz="2" w:space="0" w:color="E3E3E3"/>
                  </w:divBdr>
                  <w:divsChild>
                    <w:div w:id="1406564755">
                      <w:marLeft w:val="0"/>
                      <w:marRight w:val="0"/>
                      <w:marTop w:val="0"/>
                      <w:marBottom w:val="0"/>
                      <w:divBdr>
                        <w:top w:val="single" w:sz="2" w:space="0" w:color="E3E3E3"/>
                        <w:left w:val="single" w:sz="2" w:space="0" w:color="E3E3E3"/>
                        <w:bottom w:val="single" w:sz="2" w:space="0" w:color="E3E3E3"/>
                        <w:right w:val="single" w:sz="2" w:space="0" w:color="E3E3E3"/>
                      </w:divBdr>
                      <w:divsChild>
                        <w:div w:id="1125469365">
                          <w:marLeft w:val="0"/>
                          <w:marRight w:val="0"/>
                          <w:marTop w:val="0"/>
                          <w:marBottom w:val="0"/>
                          <w:divBdr>
                            <w:top w:val="single" w:sz="2" w:space="0" w:color="E3E3E3"/>
                            <w:left w:val="single" w:sz="2" w:space="0" w:color="E3E3E3"/>
                            <w:bottom w:val="single" w:sz="2" w:space="0" w:color="E3E3E3"/>
                            <w:right w:val="single" w:sz="2" w:space="0" w:color="E3E3E3"/>
                          </w:divBdr>
                          <w:divsChild>
                            <w:div w:id="1824152901">
                              <w:marLeft w:val="0"/>
                              <w:marRight w:val="0"/>
                              <w:marTop w:val="0"/>
                              <w:marBottom w:val="0"/>
                              <w:divBdr>
                                <w:top w:val="single" w:sz="2" w:space="0" w:color="E3E3E3"/>
                                <w:left w:val="single" w:sz="2" w:space="0" w:color="E3E3E3"/>
                                <w:bottom w:val="single" w:sz="2" w:space="0" w:color="E3E3E3"/>
                                <w:right w:val="single" w:sz="2" w:space="0" w:color="E3E3E3"/>
                              </w:divBdr>
                              <w:divsChild>
                                <w:div w:id="2068261640">
                                  <w:marLeft w:val="0"/>
                                  <w:marRight w:val="0"/>
                                  <w:marTop w:val="0"/>
                                  <w:marBottom w:val="0"/>
                                  <w:divBdr>
                                    <w:top w:val="single" w:sz="2" w:space="0" w:color="E3E3E3"/>
                                    <w:left w:val="single" w:sz="2" w:space="0" w:color="E3E3E3"/>
                                    <w:bottom w:val="single" w:sz="2" w:space="0" w:color="E3E3E3"/>
                                    <w:right w:val="single" w:sz="2" w:space="0" w:color="E3E3E3"/>
                                  </w:divBdr>
                                  <w:divsChild>
                                    <w:div w:id="1323316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78796084">
      <w:bodyDiv w:val="1"/>
      <w:marLeft w:val="0"/>
      <w:marRight w:val="0"/>
      <w:marTop w:val="0"/>
      <w:marBottom w:val="0"/>
      <w:divBdr>
        <w:top w:val="none" w:sz="0" w:space="0" w:color="auto"/>
        <w:left w:val="none" w:sz="0" w:space="0" w:color="auto"/>
        <w:bottom w:val="none" w:sz="0" w:space="0" w:color="auto"/>
        <w:right w:val="none" w:sz="0" w:space="0" w:color="auto"/>
      </w:divBdr>
    </w:div>
    <w:div w:id="2040692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D4450-5D21-44BF-B6C0-5D45478FC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Pages>
  <Words>2801</Words>
  <Characters>15970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4</cp:revision>
  <dcterms:created xsi:type="dcterms:W3CDTF">2024-02-29T13:12:00Z</dcterms:created>
  <dcterms:modified xsi:type="dcterms:W3CDTF">2024-02-29T21:24:00Z</dcterms:modified>
</cp:coreProperties>
</file>