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ED87B7" w14:textId="77777777" w:rsidR="0079084F" w:rsidRDefault="0079084F">
      <w:pPr>
        <w:spacing w:after="360" w:line="240" w:lineRule="auto"/>
      </w:pPr>
    </w:p>
    <w:tbl>
      <w:tblPr>
        <w:tblW w:w="9648" w:type="dxa"/>
        <w:jc w:val="center"/>
        <w:tblBorders>
          <w:top w:val="nil"/>
          <w:left w:val="nil"/>
          <w:bottom w:val="nil"/>
          <w:right w:val="nil"/>
          <w:insideH w:val="nil"/>
          <w:insideV w:val="nil"/>
        </w:tblBorders>
        <w:tblLayout w:type="fixed"/>
        <w:tblLook w:val="0000" w:firstRow="0" w:lastRow="0" w:firstColumn="0" w:lastColumn="0" w:noHBand="0" w:noVBand="0"/>
      </w:tblPr>
      <w:tblGrid>
        <w:gridCol w:w="240"/>
        <w:gridCol w:w="9408"/>
      </w:tblGrid>
      <w:tr w:rsidR="0079084F" w14:paraId="7C082F67" w14:textId="77777777">
        <w:trPr>
          <w:cantSplit/>
          <w:trHeight w:val="7000"/>
          <w:jc w:val="center"/>
        </w:trPr>
        <w:tc>
          <w:tcPr>
            <w:tcW w:w="240" w:type="dxa"/>
            <w:tcBorders>
              <w:top w:val="nil"/>
              <w:left w:val="nil"/>
              <w:bottom w:val="nil"/>
              <w:right w:val="nil"/>
            </w:tcBorders>
            <w:shd w:val="clear" w:color="auto" w:fill="C8102E"/>
          </w:tcPr>
          <w:p w14:paraId="6C7C2FE6" w14:textId="77777777" w:rsidR="0079084F" w:rsidRDefault="0079084F">
            <w:pPr>
              <w:spacing w:after="0"/>
            </w:pPr>
          </w:p>
        </w:tc>
        <w:tc>
          <w:tcPr>
            <w:tcW w:w="9408" w:type="dxa"/>
            <w:tcBorders>
              <w:top w:val="nil"/>
              <w:left w:val="nil"/>
              <w:bottom w:val="nil"/>
              <w:right w:val="nil"/>
            </w:tcBorders>
            <w:shd w:val="clear" w:color="auto" w:fill="1D3E5D"/>
            <w:tcMar>
              <w:top w:w="600" w:type="dxa"/>
              <w:left w:w="700" w:type="dxa"/>
              <w:bottom w:w="600" w:type="dxa"/>
              <w:right w:w="600" w:type="dxa"/>
            </w:tcMar>
            <w:vAlign w:val="center"/>
          </w:tcPr>
          <w:p w14:paraId="73468223" w14:textId="77777777" w:rsidR="0079084F" w:rsidRDefault="00000000">
            <w:pPr>
              <w:spacing w:after="480" w:line="240" w:lineRule="auto"/>
            </w:pPr>
            <w:r>
              <w:rPr>
                <w:rFonts w:ascii="Arial" w:hAnsi="Arial" w:cs="Arial"/>
                <w:b/>
                <w:bCs/>
                <w:caps/>
                <w:color w:val="A9C1DA"/>
                <w:spacing w:val="30"/>
                <w:sz w:val="22"/>
              </w:rPr>
              <w:t>LCBB</w:t>
            </w:r>
            <w:proofErr w:type="gramStart"/>
            <w:r>
              <w:rPr>
                <w:rFonts w:ascii="Arial" w:hAnsi="Arial" w:cs="Arial"/>
                <w:b/>
                <w:bCs/>
                <w:caps/>
                <w:color w:val="A9C1DA"/>
                <w:spacing w:val="30"/>
                <w:sz w:val="22"/>
              </w:rPr>
              <w:t>5010  |</w:t>
            </w:r>
            <w:proofErr w:type="gramEnd"/>
            <w:r>
              <w:rPr>
                <w:rFonts w:ascii="Arial" w:hAnsi="Arial" w:cs="Arial"/>
                <w:b/>
                <w:bCs/>
                <w:caps/>
                <w:color w:val="A9C1DA"/>
                <w:spacing w:val="30"/>
                <w:sz w:val="22"/>
              </w:rPr>
              <w:t xml:space="preserve">  Component 1: Individual Report</w:t>
            </w:r>
          </w:p>
          <w:p w14:paraId="72FB7505" w14:textId="77777777" w:rsidR="0079084F" w:rsidRPr="00424C85" w:rsidRDefault="00000000">
            <w:pPr>
              <w:pStyle w:val="Title"/>
              <w:pBdr>
                <w:bottom w:val="nil"/>
              </w:pBdr>
              <w:spacing w:after="360"/>
              <w:rPr>
                <w:sz w:val="40"/>
                <w:szCs w:val="40"/>
              </w:rPr>
            </w:pPr>
            <w:r w:rsidRPr="00424C85">
              <w:rPr>
                <w:rFonts w:ascii="Arial" w:hAnsi="Arial" w:cs="Arial"/>
                <w:b/>
                <w:bCs/>
                <w:color w:val="FFFFFF"/>
                <w:sz w:val="40"/>
                <w:szCs w:val="40"/>
              </w:rPr>
              <w:t>Management Accounting for Managers</w:t>
            </w:r>
          </w:p>
          <w:p w14:paraId="33C527D8" w14:textId="77777777" w:rsidR="0079084F" w:rsidRDefault="0079084F">
            <w:pPr>
              <w:pBdr>
                <w:bottom w:val="single" w:sz="36" w:space="1" w:color="C8102E"/>
              </w:pBdr>
              <w:spacing w:after="360" w:line="120" w:lineRule="exact"/>
              <w:ind w:right="7600"/>
            </w:pPr>
          </w:p>
          <w:p w14:paraId="2D965A05" w14:textId="77777777" w:rsidR="0079084F" w:rsidRDefault="00000000">
            <w:pPr>
              <w:pStyle w:val="Subtitle"/>
              <w:spacing w:after="0" w:line="300" w:lineRule="auto"/>
            </w:pPr>
            <w:r>
              <w:rPr>
                <w:rFonts w:ascii="Arial" w:hAnsi="Arial" w:cs="Arial"/>
                <w:color w:val="D6E2F0"/>
                <w:sz w:val="30"/>
                <w:szCs w:val="30"/>
              </w:rPr>
              <w:t>Toyota Motor Corporation: management accounting and financial decision-making</w:t>
            </w:r>
          </w:p>
        </w:tc>
      </w:tr>
    </w:tbl>
    <w:p w14:paraId="610F8E75" w14:textId="77777777" w:rsidR="0079084F" w:rsidRDefault="0079084F">
      <w:pPr>
        <w:spacing w:after="320" w:line="240" w:lineRule="auto"/>
      </w:pPr>
    </w:p>
    <w:tbl>
      <w:tblPr>
        <w:tblW w:w="9648" w:type="dxa"/>
        <w:jc w:val="center"/>
        <w:tblBorders>
          <w:top w:val="nil"/>
          <w:left w:val="nil"/>
          <w:bottom w:val="nil"/>
          <w:right w:val="nil"/>
          <w:insideH w:val="nil"/>
          <w:insideV w:val="nil"/>
        </w:tblBorders>
        <w:tblLayout w:type="fixed"/>
        <w:tblLook w:val="0000" w:firstRow="0" w:lastRow="0" w:firstColumn="0" w:lastColumn="0" w:noHBand="0" w:noVBand="0"/>
      </w:tblPr>
      <w:tblGrid>
        <w:gridCol w:w="3200"/>
        <w:gridCol w:w="6448"/>
      </w:tblGrid>
      <w:tr w:rsidR="0079084F" w14:paraId="6DF3EAA2" w14:textId="77777777">
        <w:trPr>
          <w:cantSplit/>
          <w:jc w:val="center"/>
        </w:trPr>
        <w:tc>
          <w:tcPr>
            <w:tcW w:w="3200" w:type="dxa"/>
            <w:tcBorders>
              <w:top w:val="single" w:sz="12" w:space="0" w:color="1D3E5D"/>
              <w:left w:val="nil"/>
              <w:bottom w:val="single" w:sz="4" w:space="0" w:color="C9D3DE"/>
              <w:right w:val="nil"/>
            </w:tcBorders>
            <w:shd w:val="clear" w:color="auto" w:fill="E8EEF4"/>
            <w:tcMar>
              <w:top w:w="120" w:type="dxa"/>
              <w:left w:w="160" w:type="dxa"/>
              <w:bottom w:w="120" w:type="dxa"/>
              <w:right w:w="100" w:type="dxa"/>
            </w:tcMar>
            <w:vAlign w:val="center"/>
          </w:tcPr>
          <w:p w14:paraId="2CD90B14" w14:textId="77777777" w:rsidR="0079084F" w:rsidRDefault="00000000">
            <w:pPr>
              <w:spacing w:after="0" w:line="240" w:lineRule="auto"/>
            </w:pPr>
            <w:r>
              <w:rPr>
                <w:rFonts w:ascii="Arial" w:hAnsi="Arial" w:cs="Arial"/>
                <w:b/>
                <w:bCs/>
                <w:caps/>
                <w:color w:val="1D3E5D"/>
                <w:spacing w:val="10"/>
                <w:sz w:val="20"/>
                <w:szCs w:val="20"/>
              </w:rPr>
              <w:t>Programme</w:t>
            </w:r>
          </w:p>
        </w:tc>
        <w:tc>
          <w:tcPr>
            <w:tcW w:w="6448" w:type="dxa"/>
            <w:tcBorders>
              <w:top w:val="single" w:sz="12" w:space="0" w:color="1D3E5D"/>
              <w:left w:val="nil"/>
              <w:bottom w:val="single" w:sz="4" w:space="0" w:color="C9D3DE"/>
              <w:right w:val="nil"/>
            </w:tcBorders>
            <w:tcMar>
              <w:top w:w="120" w:type="dxa"/>
              <w:left w:w="160" w:type="dxa"/>
              <w:bottom w:w="120" w:type="dxa"/>
              <w:right w:w="100" w:type="dxa"/>
            </w:tcMar>
            <w:vAlign w:val="center"/>
          </w:tcPr>
          <w:p w14:paraId="1D8AB950" w14:textId="77777777" w:rsidR="0079084F" w:rsidRDefault="00000000">
            <w:pPr>
              <w:spacing w:after="0" w:line="240" w:lineRule="auto"/>
            </w:pPr>
            <w:r>
              <w:rPr>
                <w:rFonts w:ascii="Arial" w:hAnsi="Arial" w:cs="Arial"/>
                <w:color w:val="222B36"/>
                <w:sz w:val="24"/>
                <w:szCs w:val="24"/>
              </w:rPr>
              <w:t>BA (Hons) Business Management</w:t>
            </w:r>
          </w:p>
        </w:tc>
      </w:tr>
      <w:tr w:rsidR="0079084F" w14:paraId="104D94D4" w14:textId="77777777">
        <w:trPr>
          <w:cantSplit/>
          <w:jc w:val="center"/>
        </w:trPr>
        <w:tc>
          <w:tcPr>
            <w:tcW w:w="3200" w:type="dxa"/>
            <w:tcBorders>
              <w:top w:val="nil"/>
              <w:left w:val="nil"/>
              <w:bottom w:val="single" w:sz="4" w:space="0" w:color="C9D3DE"/>
              <w:right w:val="nil"/>
            </w:tcBorders>
            <w:shd w:val="clear" w:color="auto" w:fill="E8EEF4"/>
            <w:tcMar>
              <w:top w:w="120" w:type="dxa"/>
              <w:left w:w="160" w:type="dxa"/>
              <w:bottom w:w="120" w:type="dxa"/>
              <w:right w:w="100" w:type="dxa"/>
            </w:tcMar>
            <w:vAlign w:val="center"/>
          </w:tcPr>
          <w:p w14:paraId="417D2803" w14:textId="77777777" w:rsidR="0079084F" w:rsidRDefault="00000000">
            <w:pPr>
              <w:spacing w:after="0" w:line="240" w:lineRule="auto"/>
            </w:pPr>
            <w:r>
              <w:rPr>
                <w:rFonts w:ascii="Arial" w:hAnsi="Arial" w:cs="Arial"/>
                <w:b/>
                <w:bCs/>
                <w:caps/>
                <w:color w:val="1D3E5D"/>
                <w:spacing w:val="10"/>
                <w:sz w:val="20"/>
                <w:szCs w:val="20"/>
              </w:rPr>
              <w:t>Student</w:t>
            </w:r>
          </w:p>
        </w:tc>
        <w:tc>
          <w:tcPr>
            <w:tcW w:w="6448" w:type="dxa"/>
            <w:tcBorders>
              <w:top w:val="nil"/>
              <w:left w:val="nil"/>
              <w:bottom w:val="single" w:sz="4" w:space="0" w:color="C9D3DE"/>
              <w:right w:val="nil"/>
            </w:tcBorders>
            <w:tcMar>
              <w:top w:w="120" w:type="dxa"/>
              <w:left w:w="160" w:type="dxa"/>
              <w:bottom w:w="120" w:type="dxa"/>
              <w:right w:w="100" w:type="dxa"/>
            </w:tcMar>
            <w:vAlign w:val="center"/>
          </w:tcPr>
          <w:p w14:paraId="7974C8F0" w14:textId="77777777" w:rsidR="0079084F" w:rsidRDefault="00000000">
            <w:pPr>
              <w:spacing w:after="0" w:line="240" w:lineRule="auto"/>
            </w:pPr>
            <w:r>
              <w:rPr>
                <w:rFonts w:ascii="Arial" w:hAnsi="Arial" w:cs="Arial"/>
                <w:color w:val="222B36"/>
                <w:sz w:val="24"/>
                <w:szCs w:val="24"/>
              </w:rPr>
              <w:t>Ateeq Ur Rehman / 2322864</w:t>
            </w:r>
          </w:p>
        </w:tc>
      </w:tr>
      <w:tr w:rsidR="0079084F" w14:paraId="67281FBE" w14:textId="77777777">
        <w:trPr>
          <w:cantSplit/>
          <w:jc w:val="center"/>
        </w:trPr>
        <w:tc>
          <w:tcPr>
            <w:tcW w:w="3200" w:type="dxa"/>
            <w:tcBorders>
              <w:top w:val="nil"/>
              <w:left w:val="nil"/>
              <w:bottom w:val="single" w:sz="4" w:space="0" w:color="C9D3DE"/>
              <w:right w:val="nil"/>
            </w:tcBorders>
            <w:shd w:val="clear" w:color="auto" w:fill="E8EEF4"/>
            <w:tcMar>
              <w:top w:w="120" w:type="dxa"/>
              <w:left w:w="160" w:type="dxa"/>
              <w:bottom w:w="120" w:type="dxa"/>
              <w:right w:w="100" w:type="dxa"/>
            </w:tcMar>
            <w:vAlign w:val="center"/>
          </w:tcPr>
          <w:p w14:paraId="0B534363" w14:textId="77777777" w:rsidR="0079084F" w:rsidRDefault="00000000">
            <w:pPr>
              <w:spacing w:after="0" w:line="240" w:lineRule="auto"/>
            </w:pPr>
            <w:r>
              <w:rPr>
                <w:rFonts w:ascii="Arial" w:hAnsi="Arial" w:cs="Arial"/>
                <w:b/>
                <w:bCs/>
                <w:caps/>
                <w:color w:val="1D3E5D"/>
                <w:spacing w:val="10"/>
                <w:sz w:val="20"/>
                <w:szCs w:val="20"/>
              </w:rPr>
              <w:t>Lecturer</w:t>
            </w:r>
          </w:p>
        </w:tc>
        <w:tc>
          <w:tcPr>
            <w:tcW w:w="6448" w:type="dxa"/>
            <w:tcBorders>
              <w:top w:val="nil"/>
              <w:left w:val="nil"/>
              <w:bottom w:val="single" w:sz="4" w:space="0" w:color="C9D3DE"/>
              <w:right w:val="nil"/>
            </w:tcBorders>
            <w:tcMar>
              <w:top w:w="120" w:type="dxa"/>
              <w:left w:w="160" w:type="dxa"/>
              <w:bottom w:w="120" w:type="dxa"/>
              <w:right w:w="100" w:type="dxa"/>
            </w:tcMar>
            <w:vAlign w:val="center"/>
          </w:tcPr>
          <w:p w14:paraId="144CF38D" w14:textId="77777777" w:rsidR="0079084F" w:rsidRDefault="00000000">
            <w:pPr>
              <w:spacing w:after="0" w:line="240" w:lineRule="auto"/>
            </w:pPr>
            <w:r>
              <w:rPr>
                <w:rFonts w:ascii="Arial" w:hAnsi="Arial" w:cs="Arial"/>
                <w:color w:val="222B36"/>
                <w:sz w:val="24"/>
                <w:szCs w:val="24"/>
              </w:rPr>
              <w:t>Syed Babar Shah</w:t>
            </w:r>
          </w:p>
        </w:tc>
      </w:tr>
      <w:tr w:rsidR="0079084F" w14:paraId="1A3B890C" w14:textId="77777777">
        <w:trPr>
          <w:cantSplit/>
          <w:jc w:val="center"/>
        </w:trPr>
        <w:tc>
          <w:tcPr>
            <w:tcW w:w="3200" w:type="dxa"/>
            <w:tcBorders>
              <w:top w:val="nil"/>
              <w:left w:val="nil"/>
              <w:bottom w:val="single" w:sz="4" w:space="0" w:color="C9D3DE"/>
              <w:right w:val="nil"/>
            </w:tcBorders>
            <w:shd w:val="clear" w:color="auto" w:fill="E8EEF4"/>
            <w:tcMar>
              <w:top w:w="120" w:type="dxa"/>
              <w:left w:w="160" w:type="dxa"/>
              <w:bottom w:w="120" w:type="dxa"/>
              <w:right w:w="100" w:type="dxa"/>
            </w:tcMar>
            <w:vAlign w:val="center"/>
          </w:tcPr>
          <w:p w14:paraId="0956ACB8" w14:textId="77777777" w:rsidR="0079084F" w:rsidRDefault="00000000">
            <w:pPr>
              <w:spacing w:after="0" w:line="240" w:lineRule="auto"/>
            </w:pPr>
            <w:r>
              <w:rPr>
                <w:rFonts w:ascii="Arial" w:hAnsi="Arial" w:cs="Arial"/>
                <w:b/>
                <w:bCs/>
                <w:caps/>
                <w:color w:val="1D3E5D"/>
                <w:spacing w:val="10"/>
                <w:sz w:val="20"/>
                <w:szCs w:val="20"/>
              </w:rPr>
              <w:t>Submission deadline</w:t>
            </w:r>
          </w:p>
        </w:tc>
        <w:tc>
          <w:tcPr>
            <w:tcW w:w="6448" w:type="dxa"/>
            <w:tcBorders>
              <w:top w:val="nil"/>
              <w:left w:val="nil"/>
              <w:bottom w:val="single" w:sz="4" w:space="0" w:color="C9D3DE"/>
              <w:right w:val="nil"/>
            </w:tcBorders>
            <w:tcMar>
              <w:top w:w="120" w:type="dxa"/>
              <w:left w:w="160" w:type="dxa"/>
              <w:bottom w:w="120" w:type="dxa"/>
              <w:right w:w="100" w:type="dxa"/>
            </w:tcMar>
            <w:vAlign w:val="center"/>
          </w:tcPr>
          <w:p w14:paraId="5D2CC983" w14:textId="77777777" w:rsidR="0079084F" w:rsidRDefault="00000000">
            <w:pPr>
              <w:spacing w:after="0" w:line="240" w:lineRule="auto"/>
            </w:pPr>
            <w:r>
              <w:rPr>
                <w:rFonts w:ascii="Arial" w:hAnsi="Arial" w:cs="Arial"/>
                <w:color w:val="222B36"/>
                <w:sz w:val="24"/>
                <w:szCs w:val="24"/>
              </w:rPr>
              <w:t>31 October 2026, before 2 pm</w:t>
            </w:r>
          </w:p>
        </w:tc>
      </w:tr>
      <w:tr w:rsidR="0079084F" w14:paraId="539EB511" w14:textId="77777777">
        <w:trPr>
          <w:cantSplit/>
          <w:jc w:val="center"/>
        </w:trPr>
        <w:tc>
          <w:tcPr>
            <w:tcW w:w="3200" w:type="dxa"/>
            <w:tcBorders>
              <w:top w:val="nil"/>
              <w:left w:val="nil"/>
              <w:bottom w:val="single" w:sz="4" w:space="0" w:color="C9D3DE"/>
              <w:right w:val="nil"/>
            </w:tcBorders>
            <w:shd w:val="clear" w:color="auto" w:fill="E8EEF4"/>
            <w:tcMar>
              <w:top w:w="120" w:type="dxa"/>
              <w:left w:w="160" w:type="dxa"/>
              <w:bottom w:w="120" w:type="dxa"/>
              <w:right w:w="100" w:type="dxa"/>
            </w:tcMar>
            <w:vAlign w:val="center"/>
          </w:tcPr>
          <w:p w14:paraId="79055EC2" w14:textId="77777777" w:rsidR="0079084F" w:rsidRDefault="00000000">
            <w:pPr>
              <w:spacing w:after="0" w:line="240" w:lineRule="auto"/>
            </w:pPr>
            <w:r>
              <w:rPr>
                <w:rFonts w:ascii="Arial" w:hAnsi="Arial" w:cs="Arial"/>
                <w:b/>
                <w:bCs/>
                <w:caps/>
                <w:color w:val="1D3E5D"/>
                <w:spacing w:val="10"/>
                <w:sz w:val="20"/>
                <w:szCs w:val="20"/>
              </w:rPr>
              <w:t>Financial reporting basis</w:t>
            </w:r>
          </w:p>
        </w:tc>
        <w:tc>
          <w:tcPr>
            <w:tcW w:w="6448" w:type="dxa"/>
            <w:tcBorders>
              <w:top w:val="nil"/>
              <w:left w:val="nil"/>
              <w:bottom w:val="single" w:sz="4" w:space="0" w:color="C9D3DE"/>
              <w:right w:val="nil"/>
            </w:tcBorders>
            <w:tcMar>
              <w:top w:w="120" w:type="dxa"/>
              <w:left w:w="160" w:type="dxa"/>
              <w:bottom w:w="120" w:type="dxa"/>
              <w:right w:w="100" w:type="dxa"/>
            </w:tcMar>
            <w:vAlign w:val="center"/>
          </w:tcPr>
          <w:p w14:paraId="5E112AAA" w14:textId="77777777" w:rsidR="0079084F" w:rsidRDefault="00000000">
            <w:pPr>
              <w:spacing w:after="0" w:line="240" w:lineRule="auto"/>
            </w:pPr>
            <w:r>
              <w:rPr>
                <w:rFonts w:ascii="Arial" w:hAnsi="Arial" w:cs="Arial"/>
                <w:color w:val="222B36"/>
                <w:sz w:val="24"/>
                <w:szCs w:val="24"/>
              </w:rPr>
              <w:t>FY2025 and FY2026 (years ended 31 March)</w:t>
            </w:r>
          </w:p>
        </w:tc>
      </w:tr>
    </w:tbl>
    <w:p w14:paraId="0A9529F1" w14:textId="77777777" w:rsidR="0079084F" w:rsidRDefault="00000000">
      <w:pPr>
        <w:pageBreakBefore/>
        <w:pBdr>
          <w:bottom w:val="single" w:sz="12" w:space="6" w:color="C8102E"/>
        </w:pBdr>
        <w:spacing w:after="360" w:line="240" w:lineRule="auto"/>
      </w:pPr>
      <w:r>
        <w:rPr>
          <w:rFonts w:ascii="Arial" w:hAnsi="Arial" w:cs="Arial"/>
          <w:b/>
          <w:bCs/>
          <w:color w:val="1D3E5D"/>
          <w:sz w:val="40"/>
          <w:szCs w:val="40"/>
        </w:rPr>
        <w:lastRenderedPageBreak/>
        <w:t>Table of Contents</w:t>
      </w:r>
    </w:p>
    <w:p w14:paraId="1776B116" w14:textId="77777777" w:rsidR="0079084F" w:rsidRDefault="00000000">
      <w:pPr>
        <w:pStyle w:val="TOC1"/>
      </w:pPr>
      <w:r>
        <w:fldChar w:fldCharType="begin"/>
      </w:r>
      <w:r>
        <w:instrText xml:space="preserve"> TOC \o "1-1" \h \z \u </w:instrText>
      </w:r>
      <w:r>
        <w:fldChar w:fldCharType="separate"/>
      </w:r>
      <w:hyperlink w:anchor="_Toc20260001" w:history="1">
        <w:r>
          <w:t>1. Introduction</w:t>
        </w:r>
        <w:r>
          <w:tab/>
        </w:r>
        <w:r>
          <w:fldChar w:fldCharType="begin"/>
        </w:r>
        <w:r>
          <w:instrText xml:space="preserve"> PAGEREF _Toc20260001 \h </w:instrText>
        </w:r>
        <w:r>
          <w:fldChar w:fldCharType="separate"/>
        </w:r>
        <w:r>
          <w:t>3</w:t>
        </w:r>
        <w:r>
          <w:fldChar w:fldCharType="end"/>
        </w:r>
      </w:hyperlink>
    </w:p>
    <w:p w14:paraId="3F7444C0" w14:textId="77777777" w:rsidR="0079084F" w:rsidRDefault="00000000">
      <w:pPr>
        <w:pStyle w:val="TOC1"/>
      </w:pPr>
      <w:hyperlink w:anchor="_Toc20260002" w:history="1">
        <w:r>
          <w:t>2. Cost Analysis and Business Model</w:t>
        </w:r>
        <w:r>
          <w:tab/>
        </w:r>
        <w:r>
          <w:fldChar w:fldCharType="begin"/>
        </w:r>
        <w:r>
          <w:instrText xml:space="preserve"> PAGEREF _Toc20260002 \h </w:instrText>
        </w:r>
        <w:r>
          <w:fldChar w:fldCharType="separate"/>
        </w:r>
        <w:r>
          <w:t>3</w:t>
        </w:r>
        <w:r>
          <w:fldChar w:fldCharType="end"/>
        </w:r>
      </w:hyperlink>
    </w:p>
    <w:p w14:paraId="6A7E5695" w14:textId="77777777" w:rsidR="0079084F" w:rsidRDefault="00000000">
      <w:pPr>
        <w:pStyle w:val="TOC1"/>
      </w:pPr>
      <w:hyperlink w:anchor="_Toc20260003" w:history="1">
        <w:r>
          <w:t>3. Budgeting and Financial Planning</w:t>
        </w:r>
        <w:r>
          <w:tab/>
        </w:r>
        <w:r>
          <w:fldChar w:fldCharType="begin"/>
        </w:r>
        <w:r>
          <w:instrText xml:space="preserve"> PAGEREF _Toc20260003 \h </w:instrText>
        </w:r>
        <w:r>
          <w:fldChar w:fldCharType="separate"/>
        </w:r>
        <w:r>
          <w:t>7</w:t>
        </w:r>
        <w:r>
          <w:fldChar w:fldCharType="end"/>
        </w:r>
      </w:hyperlink>
    </w:p>
    <w:p w14:paraId="0BCC945C" w14:textId="77777777" w:rsidR="0079084F" w:rsidRDefault="00000000">
      <w:pPr>
        <w:pStyle w:val="TOC1"/>
      </w:pPr>
      <w:hyperlink w:anchor="_Toc20260004" w:history="1">
        <w:r>
          <w:t>4. Performance Measurement and Decision-Making</w:t>
        </w:r>
        <w:r>
          <w:tab/>
        </w:r>
        <w:r>
          <w:fldChar w:fldCharType="begin"/>
        </w:r>
        <w:r>
          <w:instrText xml:space="preserve"> PAGEREF _Toc20260004 \h </w:instrText>
        </w:r>
        <w:r>
          <w:fldChar w:fldCharType="separate"/>
        </w:r>
        <w:r>
          <w:t>10</w:t>
        </w:r>
        <w:r>
          <w:fldChar w:fldCharType="end"/>
        </w:r>
      </w:hyperlink>
    </w:p>
    <w:p w14:paraId="4264350F" w14:textId="77777777" w:rsidR="0079084F" w:rsidRDefault="00000000">
      <w:pPr>
        <w:pStyle w:val="TOC1"/>
      </w:pPr>
      <w:hyperlink w:anchor="_Toc20260005" w:history="1">
        <w:r>
          <w:t>5. Sustainability and Ethical Considerations</w:t>
        </w:r>
        <w:r>
          <w:tab/>
        </w:r>
        <w:r>
          <w:fldChar w:fldCharType="begin"/>
        </w:r>
        <w:r>
          <w:instrText xml:space="preserve"> PAGEREF _Toc20260005 \h </w:instrText>
        </w:r>
        <w:r>
          <w:fldChar w:fldCharType="separate"/>
        </w:r>
        <w:r>
          <w:t>13</w:t>
        </w:r>
        <w:r>
          <w:fldChar w:fldCharType="end"/>
        </w:r>
      </w:hyperlink>
    </w:p>
    <w:p w14:paraId="19545DAA" w14:textId="77777777" w:rsidR="0079084F" w:rsidRDefault="00000000">
      <w:pPr>
        <w:pStyle w:val="TOC1"/>
      </w:pPr>
      <w:hyperlink w:anchor="_Toc20260006" w:history="1">
        <w:r>
          <w:t>6. Conclusion and Recommendations</w:t>
        </w:r>
        <w:r>
          <w:tab/>
        </w:r>
        <w:r>
          <w:fldChar w:fldCharType="begin"/>
        </w:r>
        <w:r>
          <w:instrText xml:space="preserve"> PAGEREF _Toc20260006 \h </w:instrText>
        </w:r>
        <w:r>
          <w:fldChar w:fldCharType="separate"/>
        </w:r>
        <w:r>
          <w:t>15</w:t>
        </w:r>
        <w:r>
          <w:fldChar w:fldCharType="end"/>
        </w:r>
      </w:hyperlink>
    </w:p>
    <w:p w14:paraId="5499F4BC" w14:textId="77777777" w:rsidR="0079084F" w:rsidRDefault="00000000">
      <w:pPr>
        <w:pStyle w:val="TOC1"/>
      </w:pPr>
      <w:hyperlink w:anchor="_Toc20260007" w:history="1">
        <w:r>
          <w:t>References</w:t>
        </w:r>
        <w:r>
          <w:tab/>
        </w:r>
        <w:r>
          <w:fldChar w:fldCharType="begin"/>
        </w:r>
        <w:r>
          <w:instrText xml:space="preserve"> PAGEREF _Toc20260007 \h </w:instrText>
        </w:r>
        <w:r>
          <w:fldChar w:fldCharType="separate"/>
        </w:r>
        <w:r>
          <w:t>16</w:t>
        </w:r>
        <w:r>
          <w:fldChar w:fldCharType="end"/>
        </w:r>
      </w:hyperlink>
    </w:p>
    <w:p w14:paraId="314EB00E" w14:textId="77777777" w:rsidR="0079084F" w:rsidRDefault="00000000">
      <w:pPr>
        <w:spacing w:after="0"/>
      </w:pPr>
      <w:r>
        <w:fldChar w:fldCharType="end"/>
      </w:r>
    </w:p>
    <w:p w14:paraId="32C4E82C" w14:textId="77777777" w:rsidR="00E334B4" w:rsidRPr="00885154" w:rsidRDefault="00000000" w:rsidP="00885154">
      <w:pPr>
        <w:pStyle w:val="Heading1"/>
        <w:pageBreakBefore/>
        <w:spacing w:line="360" w:lineRule="auto"/>
        <w:jc w:val="both"/>
        <w:rPr>
          <w:rFonts w:ascii="Arial" w:hAnsi="Arial" w:cs="Arial"/>
          <w:sz w:val="24"/>
          <w:szCs w:val="24"/>
        </w:rPr>
      </w:pPr>
      <w:bookmarkStart w:id="0" w:name="_Toc20260001"/>
      <w:r w:rsidRPr="00885154">
        <w:rPr>
          <w:rFonts w:ascii="Arial" w:hAnsi="Arial" w:cs="Arial"/>
          <w:sz w:val="24"/>
          <w:szCs w:val="24"/>
        </w:rPr>
        <w:lastRenderedPageBreak/>
        <w:t>1. Introduction</w:t>
      </w:r>
      <w:bookmarkEnd w:id="0"/>
    </w:p>
    <w:p w14:paraId="470BA6B7" w14:textId="77777777" w:rsidR="00E334B4" w:rsidRPr="00885154" w:rsidRDefault="00000000" w:rsidP="00885154">
      <w:pPr>
        <w:spacing w:line="360" w:lineRule="auto"/>
        <w:jc w:val="both"/>
        <w:rPr>
          <w:rFonts w:ascii="Arial" w:hAnsi="Arial" w:cs="Arial"/>
          <w:sz w:val="24"/>
          <w:szCs w:val="24"/>
        </w:rPr>
      </w:pPr>
      <w:r>
        <w:t xml:space="preserve">Toyota Motor Corporation operates at a scale where relatively </w:t>
      </w:r>
      <w:proofErr w:type="gramStart"/>
      <w:r>
        <w:t>small changes</w:t>
      </w:r>
      <w:proofErr w:type="gramEnd"/>
      <w:r>
        <w:t xml:space="preserve"> in vehicle costs can have major effects on profit. The group manufactures Toyota and Lexus vehicles across petrol, hybrid, plug-in hybrid and battery-electric ranges, alongside parts and financial services. Consolidated vehicle sales reached 9.595 million in </w:t>
      </w:r>
      <w:proofErr w:type="gramStart"/>
      <w:r>
        <w:t>FY2026</w:t>
      </w:r>
      <w:proofErr w:type="gramEnd"/>
      <w:r>
        <w:t xml:space="preserve"> and revenue was ¥50.685 trillion (Toyota Motor Corporation, 2026, FY2026 Consolidated Financial Results). For managers, these figures raise a practical question: how can higher output </w:t>
      </w:r>
      <w:proofErr w:type="gramStart"/>
      <w:r>
        <w:t>be converted</w:t>
      </w:r>
      <w:proofErr w:type="gramEnd"/>
      <w:r>
        <w:t xml:space="preserve"> into stronger returns when materials, tariffs and investment demands are changing? Management accounting provides a way to examine that question through cost behaviour, contribution, budgeting and performance measures. This report uses Toyota's published information to evaluate those approaches, while recognising that its model-level cost data and internal budgets </w:t>
      </w:r>
      <w:proofErr w:type="gramStart"/>
      <w:r>
        <w:t>are not publicly disclosed</w:t>
      </w:r>
      <w:proofErr w:type="gramEnd"/>
      <w:r>
        <w:t xml:space="preserve"> (Atrill and McLaney, 2021; Toyota Motor Corporation, 2026, FY2026 Consolidated Financial Results).</w:t>
      </w:r>
    </w:p>
    <w:p w14:paraId="2507A64E" w14:textId="77777777" w:rsidR="00E334B4" w:rsidRPr="00885154" w:rsidRDefault="00000000" w:rsidP="00885154">
      <w:pPr>
        <w:pStyle w:val="Heading1"/>
        <w:spacing w:line="360" w:lineRule="auto"/>
        <w:jc w:val="both"/>
        <w:rPr>
          <w:rFonts w:ascii="Arial" w:hAnsi="Arial" w:cs="Arial"/>
          <w:sz w:val="24"/>
          <w:szCs w:val="24"/>
        </w:rPr>
      </w:pPr>
      <w:bookmarkStart w:id="1" w:name="_Toc20260002"/>
      <w:r w:rsidRPr="00885154">
        <w:rPr>
          <w:rFonts w:ascii="Arial" w:hAnsi="Arial" w:cs="Arial"/>
          <w:sz w:val="24"/>
          <w:szCs w:val="24"/>
        </w:rPr>
        <w:t>2. Cost Analysis and Business Model</w:t>
      </w:r>
      <w:bookmarkEnd w:id="1"/>
    </w:p>
    <w:p w14:paraId="3183C06D" w14:textId="77777777" w:rsidR="00E334B4" w:rsidRPr="00885154" w:rsidRDefault="00000000" w:rsidP="00885154">
      <w:pPr>
        <w:spacing w:line="360" w:lineRule="auto"/>
        <w:jc w:val="both"/>
        <w:rPr>
          <w:rFonts w:ascii="Arial" w:hAnsi="Arial" w:cs="Arial"/>
          <w:sz w:val="24"/>
          <w:szCs w:val="24"/>
        </w:rPr>
      </w:pPr>
      <w:r>
        <w:t>Toyota earns most revenue from selling vehicles, alongside components, after-sales activities and financial services. FY2026 consolidated sales were ¥50.685 trillion, of which product sales contributed ¥45.866 trillion and financial services ¥4.819 trillion (Toyota Motor Corporation, 2026, FY2026 Consolidated Financial Results). The combination spreads revenue beyond one-off car purchases: lending and leasing generate financing income, while servicing, parts and connected services can extend customer relationships. However, financial services also expose the group to interest-rate and credit risks, so they require separate performance and risk measures (Toyota Motor Corporation, 2026, FY2026 Consolidated Financial Results). Figure 1 shows this revenue mix.</w:t>
      </w:r>
    </w:p>
    <w:p w14:paraId="2679D105"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lastRenderedPageBreak/>
        <w:drawing>
          <wp:inline distT="0" distB="0" distL="0" distR="0" wp14:anchorId="7BA90CCE" wp14:editId="1F5D2A55">
            <wp:extent cx="5120640" cy="2201649"/>
            <wp:effectExtent l="0" t="0" r="0" b="0"/>
            <wp:docPr id="101" name="Figure 1" descr="Donut chart: product sales ¥45.866 trillion (90.5%) and financial services ¥4.819 trillion (9.5%) of FY2026 revenue of ¥50.685 tr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fig1.png"/>
                    <pic:cNvPicPr/>
                  </pic:nvPicPr>
                  <pic:blipFill>
                    <a:blip r:embed="rId8"/>
                    <a:stretch>
                      <a:fillRect/>
                    </a:stretch>
                  </pic:blipFill>
                  <pic:spPr>
                    <a:xfrm>
                      <a:off x="0" y="0"/>
                      <a:ext cx="5120640" cy="2201649"/>
                    </a:xfrm>
                    <a:prstGeom prst="rect">
                      <a:avLst/>
                    </a:prstGeom>
                  </pic:spPr>
                </pic:pic>
              </a:graphicData>
            </a:graphic>
          </wp:inline>
        </w:drawing>
      </w:r>
    </w:p>
    <w:p w14:paraId="2A5461DE"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Figure 1. Composition of Toyota’s FY2026 consolidated revenue (¥ trillion)</w:t>
      </w:r>
    </w:p>
    <w:p w14:paraId="023B4C35" w14:textId="77777777" w:rsidR="00A36D4E" w:rsidRPr="00885154" w:rsidRDefault="00000000" w:rsidP="00885154">
      <w:pPr>
        <w:pStyle w:val="Caption"/>
        <w:spacing w:after="200" w:line="360" w:lineRule="auto"/>
        <w:jc w:val="both"/>
        <w:rPr>
          <w:rFonts w:ascii="Arial" w:hAnsi="Arial" w:cs="Arial"/>
          <w:sz w:val="24"/>
          <w:szCs w:val="24"/>
        </w:rPr>
      </w:pPr>
      <w:r>
        <w:t>Source: Toyota Motor Corporation (2026, FY2026 Consolidated Financial Results); percentages calculated by the author.</w:t>
      </w:r>
    </w:p>
    <w:p w14:paraId="37E73677" w14:textId="77777777" w:rsidR="00E334B4" w:rsidRPr="00885154" w:rsidRDefault="00000000" w:rsidP="00885154">
      <w:pPr>
        <w:spacing w:line="360" w:lineRule="auto"/>
        <w:jc w:val="both"/>
        <w:rPr>
          <w:rFonts w:ascii="Arial" w:hAnsi="Arial" w:cs="Arial"/>
          <w:sz w:val="24"/>
          <w:szCs w:val="24"/>
        </w:rPr>
      </w:pPr>
      <w:r w:rsidRPr="00885154">
        <w:rPr>
          <w:rFonts w:ascii="Arial" w:hAnsi="Arial" w:cs="Arial"/>
          <w:sz w:val="24"/>
          <w:szCs w:val="24"/>
        </w:rPr>
        <w:t xml:space="preserve">Its cost structure contains variable, fixed and mixed elements. Steel, electronic components, batteries, tyres, transport and </w:t>
      </w:r>
      <w:proofErr w:type="gramStart"/>
      <w:r w:rsidRPr="00885154">
        <w:rPr>
          <w:rFonts w:ascii="Arial" w:hAnsi="Arial" w:cs="Arial"/>
          <w:sz w:val="24"/>
          <w:szCs w:val="24"/>
        </w:rPr>
        <w:t>some</w:t>
      </w:r>
      <w:proofErr w:type="gramEnd"/>
      <w:r w:rsidRPr="00885154">
        <w:rPr>
          <w:rFonts w:ascii="Arial" w:hAnsi="Arial" w:cs="Arial"/>
          <w:sz w:val="24"/>
          <w:szCs w:val="24"/>
        </w:rPr>
        <w:t xml:space="preserve"> direct labour tend to increase as vehicle output rises. Factory property, equipment depreciation, salaried engineering teams and substantial product-development programmes remain </w:t>
      </w:r>
      <w:proofErr w:type="gramStart"/>
      <w:r w:rsidRPr="00885154">
        <w:rPr>
          <w:rFonts w:ascii="Arial" w:hAnsi="Arial" w:cs="Arial"/>
          <w:sz w:val="24"/>
          <w:szCs w:val="24"/>
        </w:rPr>
        <w:t>relatively fixed</w:t>
      </w:r>
      <w:proofErr w:type="gramEnd"/>
      <w:r w:rsidRPr="00885154">
        <w:rPr>
          <w:rFonts w:ascii="Arial" w:hAnsi="Arial" w:cs="Arial"/>
          <w:sz w:val="24"/>
          <w:szCs w:val="24"/>
        </w:rPr>
        <w:t xml:space="preserve"> in the short term. Utilities and maintenance contain both elements. Consequently, a simple claim that all manufacturing costs are variable would be misleading. Toyota reports functional expense categories, not a public fixed-versus-variable breakdown; any contribution-margin calculation therefore needs management-level cost classifications (IFRS Foundation, 2022). Cost behaviour and product/period-cost distinctions underpin this classification (Atrill and McLaney, 2019; Drury, 2015). Figure 2 summarises this classification.</w:t>
      </w:r>
    </w:p>
    <w:p w14:paraId="3C214953"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lastRenderedPageBreak/>
        <w:drawing>
          <wp:inline distT="0" distB="0" distL="0" distR="0" wp14:anchorId="542DBD25" wp14:editId="79BE0C1B">
            <wp:extent cx="5669280" cy="3346623"/>
            <wp:effectExtent l="0" t="0" r="0" b="0"/>
            <wp:docPr id="102" name="Figure 2" descr="Diagram of variable, fixed and mixed costs with examples and the contribution-margin decision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fig2.png"/>
                    <pic:cNvPicPr/>
                  </pic:nvPicPr>
                  <pic:blipFill>
                    <a:blip r:embed="rId9"/>
                    <a:stretch>
                      <a:fillRect/>
                    </a:stretch>
                  </pic:blipFill>
                  <pic:spPr>
                    <a:xfrm>
                      <a:off x="0" y="0"/>
                      <a:ext cx="5669280" cy="3346623"/>
                    </a:xfrm>
                    <a:prstGeom prst="rect">
                      <a:avLst/>
                    </a:prstGeom>
                  </pic:spPr>
                </pic:pic>
              </a:graphicData>
            </a:graphic>
          </wp:inline>
        </w:drawing>
      </w:r>
    </w:p>
    <w:p w14:paraId="6406DAAE"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Figure 2. Classification of Toyota’s cost base by cost behaviour</w:t>
      </w:r>
    </w:p>
    <w:p w14:paraId="760023C4" w14:textId="77777777" w:rsidR="00A36D4E" w:rsidRPr="00885154" w:rsidRDefault="00000000" w:rsidP="00885154">
      <w:pPr>
        <w:pStyle w:val="Caption"/>
        <w:spacing w:after="200" w:line="360" w:lineRule="auto"/>
        <w:jc w:val="both"/>
        <w:rPr>
          <w:rFonts w:ascii="Arial" w:hAnsi="Arial" w:cs="Arial"/>
          <w:sz w:val="24"/>
          <w:szCs w:val="24"/>
        </w:rPr>
      </w:pPr>
      <w:r w:rsidRPr="00885154">
        <w:rPr>
          <w:rFonts w:ascii="Arial" w:hAnsi="Arial" w:cs="Arial"/>
          <w:b w:val="0"/>
          <w:bCs w:val="0"/>
          <w:i/>
          <w:iCs/>
          <w:color w:val="5B6672"/>
          <w:sz w:val="24"/>
          <w:szCs w:val="24"/>
        </w:rPr>
        <w:t>Source: Author’s own illustration, based on the cost-behaviour analysis above (Atrill and McLaney, 2019; Drury, 2015). Toyota does not publish a fixed-versus-variable split.</w:t>
      </w:r>
    </w:p>
    <w:p w14:paraId="7E691F3E" w14:textId="77777777" w:rsidR="00E334B4" w:rsidRPr="00885154" w:rsidRDefault="00000000" w:rsidP="00885154">
      <w:pPr>
        <w:spacing w:line="360" w:lineRule="auto"/>
        <w:jc w:val="both"/>
        <w:rPr>
          <w:rFonts w:ascii="Arial" w:hAnsi="Arial" w:cs="Arial"/>
          <w:sz w:val="24"/>
          <w:szCs w:val="24"/>
        </w:rPr>
      </w:pPr>
      <w:r>
        <w:t xml:space="preserve">In FY2026, product cost of sales rose from ¥35.510 trillion to ¥39.141 trillion, about 10.2%, faster than product sales growth of approximately 5.2%. Group operating income nevertheless remained positive at </w:t>
      </w:r>
      <w:proofErr w:type="gramStart"/>
      <w:r>
        <w:t>¥3.766 trillion, but</w:t>
      </w:r>
      <w:proofErr w:type="gramEnd"/>
      <w:r>
        <w:t xml:space="preserve"> fell from ¥4.796 trillion. This demonstrates that expanding sales alone does not ensure higher margins (Toyota Motor Corporation, 2026, FY2026 Consolidated Financial Results). A contribution approach would estimate selling price minus variable cost per model, then prioritise vehicles subject to production capacity, demand and emissions constraints. It would also avoid mistakenly eliminating profitable lower-margin vehicles that contribute towards unavoidable fixed costs. Figure 3 compares the growth of the main FY2026 measures.</w:t>
      </w:r>
    </w:p>
    <w:p w14:paraId="21E09645"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lastRenderedPageBreak/>
        <w:drawing>
          <wp:inline distT="0" distB="0" distL="0" distR="0" wp14:anchorId="0AE35595" wp14:editId="4E56ECA6">
            <wp:extent cx="5669280" cy="2626575"/>
            <wp:effectExtent l="0" t="0" r="0" b="0"/>
            <wp:docPr id="103" name="Figure 3" descr="Horizontal bar chart of growth rates: operating profit -21.5%, SG&amp;A -1.8%, vehicle sales +2.5%, product sales +5.2%, revenue +5.5%, total costs +8.5%, product cost of sales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fig3.png"/>
                    <pic:cNvPicPr/>
                  </pic:nvPicPr>
                  <pic:blipFill>
                    <a:blip r:embed="rId10"/>
                    <a:stretch>
                      <a:fillRect/>
                    </a:stretch>
                  </pic:blipFill>
                  <pic:spPr>
                    <a:xfrm>
                      <a:off x="0" y="0"/>
                      <a:ext cx="5669280" cy="2626575"/>
                    </a:xfrm>
                    <a:prstGeom prst="rect">
                      <a:avLst/>
                    </a:prstGeom>
                  </pic:spPr>
                </pic:pic>
              </a:graphicData>
            </a:graphic>
          </wp:inline>
        </w:drawing>
      </w:r>
    </w:p>
    <w:p w14:paraId="3FF19B93"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Figure 3. Percentage change in selected Toyota measures, FY2025 to FY2026</w:t>
      </w:r>
    </w:p>
    <w:p w14:paraId="32EA2D52" w14:textId="77777777" w:rsidR="00A36D4E" w:rsidRPr="00885154" w:rsidRDefault="00000000" w:rsidP="00885154">
      <w:pPr>
        <w:pStyle w:val="Caption"/>
        <w:spacing w:after="200" w:line="360" w:lineRule="auto"/>
        <w:jc w:val="both"/>
        <w:rPr>
          <w:rFonts w:ascii="Arial" w:hAnsi="Arial" w:cs="Arial"/>
          <w:sz w:val="24"/>
          <w:szCs w:val="24"/>
        </w:rPr>
      </w:pPr>
      <w:r>
        <w:t>Source: Toyota Motor Corporation (2026, FY2026 Consolidated Financial Results); changes calculated by the author. The product sales growth rate is the approximate figure given in the text.</w:t>
      </w:r>
    </w:p>
    <w:p w14:paraId="5CD9713D" w14:textId="77777777" w:rsidR="00E334B4" w:rsidRPr="00885154" w:rsidRDefault="00000000" w:rsidP="00885154">
      <w:pPr>
        <w:spacing w:line="360" w:lineRule="auto"/>
        <w:jc w:val="both"/>
        <w:rPr>
          <w:rFonts w:ascii="Arial" w:hAnsi="Arial" w:cs="Arial"/>
          <w:sz w:val="24"/>
          <w:szCs w:val="24"/>
        </w:rPr>
      </w:pPr>
      <w:r>
        <w:t xml:space="preserve">Toyota Production System (TPS) principles—Just-in-Time, jidoka and kaizen—seek to reduce waste and defects; Toyota also describes applying TPS and kaizen to improve governance and certification workflows (Toyota Motor Corporation, 2024; Toyota Motor Corporation, 2024, Measures to Prevent Recurrence). However, ultra-lean inventory may create disruption exposure when parts supplies fail. The best management-accounting decision is therefore not simply to minimise stock: it is to compare inventory carrying costs with expected shortage, lost-production and resilience costs. A relevant-cost approach makes that trade-off explicit. In practice, the key question is whether additional buffer inventory prevents a sufficiently costly shutdown to justify storage and capital tied up. This also highlights a limitation of published statements: reported cost of sales identifies historical </w:t>
      </w:r>
      <w:proofErr w:type="gramStart"/>
      <w:r>
        <w:t>expenditure, but</w:t>
      </w:r>
      <w:proofErr w:type="gramEnd"/>
      <w:r>
        <w:t xml:space="preserve"> does not reveal avoidable costs for a particular model or whether bottleneck capacity is scarce. Management should therefore treat publicly calculated averages as indicators, not as precise prices for individual orders.</w:t>
      </w:r>
    </w:p>
    <w:p w14:paraId="1CDA11D2" w14:textId="77777777" w:rsidR="00E334B4" w:rsidRPr="00885154" w:rsidRDefault="00000000" w:rsidP="00885154">
      <w:pPr>
        <w:pStyle w:val="Heading1"/>
        <w:spacing w:line="360" w:lineRule="auto"/>
        <w:jc w:val="both"/>
        <w:rPr>
          <w:rFonts w:ascii="Arial" w:hAnsi="Arial" w:cs="Arial"/>
          <w:sz w:val="24"/>
          <w:szCs w:val="24"/>
        </w:rPr>
      </w:pPr>
      <w:bookmarkStart w:id="2" w:name="_Toc20260003"/>
      <w:r w:rsidRPr="00885154">
        <w:rPr>
          <w:rFonts w:ascii="Arial" w:hAnsi="Arial" w:cs="Arial"/>
          <w:sz w:val="24"/>
          <w:szCs w:val="24"/>
        </w:rPr>
        <w:t>3. Budgeting and Financial Planning</w:t>
      </w:r>
      <w:bookmarkEnd w:id="2"/>
    </w:p>
    <w:p w14:paraId="74EA64E6" w14:textId="77777777" w:rsidR="00E334B4" w:rsidRPr="00885154" w:rsidRDefault="00000000" w:rsidP="00885154">
      <w:pPr>
        <w:spacing w:line="360" w:lineRule="auto"/>
        <w:jc w:val="both"/>
        <w:rPr>
          <w:rFonts w:ascii="Arial" w:hAnsi="Arial" w:cs="Arial"/>
          <w:sz w:val="24"/>
          <w:szCs w:val="24"/>
        </w:rPr>
      </w:pPr>
      <w:r>
        <w:t xml:space="preserve">Toyota's operating plan </w:t>
      </w:r>
      <w:proofErr w:type="gramStart"/>
      <w:r>
        <w:t>has to</w:t>
      </w:r>
      <w:proofErr w:type="gramEnd"/>
      <w:r>
        <w:t xml:space="preserve"> connect sales forecasts with factory capacity, component orders, labour requirements, investment and cash. A production budget based only on expected car sales would be incomplete: changes in model mix alter demand for batteries, engines and other components. Cash planning also matters because Toyota provides vehicle financing as well as manufacturing cars. In management-accounting terms, an original budget sets targets, while a flexible budget recalculates expected costs for the output </w:t>
      </w:r>
      <w:proofErr w:type="gramStart"/>
      <w:r>
        <w:t>actually achieved</w:t>
      </w:r>
      <w:proofErr w:type="gramEnd"/>
      <w:r>
        <w:t xml:space="preserve"> (Weetman, 2013). Toyota's internal budgets are not </w:t>
      </w:r>
      <w:r>
        <w:lastRenderedPageBreak/>
        <w:t xml:space="preserve">publicly available, so flexible budgeting and rolling forecasts </w:t>
      </w:r>
      <w:proofErr w:type="gramStart"/>
      <w:r>
        <w:t>are evaluated</w:t>
      </w:r>
      <w:proofErr w:type="gramEnd"/>
      <w:r>
        <w:t xml:space="preserve"> here as suitable controls rather than presented as confirmed internal practice. Both would help management reconsider assumptions when exchange rates, demand or trade costs move unexpectedly. Performance control should balance budgetary constraints with strategic learning (Simons, 1995).</w:t>
      </w:r>
    </w:p>
    <w:p w14:paraId="5F2DD3EC" w14:textId="77777777" w:rsidR="00E334B4" w:rsidRPr="00885154" w:rsidRDefault="00000000" w:rsidP="00885154">
      <w:pPr>
        <w:spacing w:line="360" w:lineRule="auto"/>
        <w:jc w:val="both"/>
        <w:rPr>
          <w:rFonts w:ascii="Arial" w:hAnsi="Arial" w:cs="Arial"/>
          <w:sz w:val="24"/>
          <w:szCs w:val="24"/>
        </w:rPr>
      </w:pPr>
      <w:r>
        <w:t xml:space="preserve">Google Finance shows an “operating expense” line, but terminology matters: its presentation should be reconciled to Toyota's </w:t>
      </w:r>
      <w:proofErr w:type="gramStart"/>
      <w:r>
        <w:t>audited-style</w:t>
      </w:r>
      <w:proofErr w:type="gramEnd"/>
      <w:r>
        <w:t xml:space="preserve"> reported categories before comparing years (Google Finance, 2026). Toyota's annual financial summary reports selling, general and administrative (SG&amp;A) expense declining from ¥4.782 trillion in FY2025 to ¥4.698 trillion in FY2026, a reduction of approximately ¥84.9 billion (1.8%). By contrast, the broader total “costs and expenses” increased from ¥43.241 trillion to ¥46.919 trillion, up ¥3.678 trillion (8.5%). These measures are not interchangeable: the wider total includes costs of products and financial services (Toyota Motor Corporation, 2026, FY2026 Consolidated Financial Results).</w:t>
      </w:r>
    </w:p>
    <w:p w14:paraId="7C27F50C" w14:textId="77777777" w:rsidR="00E334B4" w:rsidRPr="00885154" w:rsidRDefault="00000000" w:rsidP="00885154">
      <w:pPr>
        <w:spacing w:line="360" w:lineRule="auto"/>
        <w:jc w:val="both"/>
        <w:rPr>
          <w:rFonts w:ascii="Arial" w:hAnsi="Arial" w:cs="Arial"/>
          <w:sz w:val="24"/>
          <w:szCs w:val="24"/>
        </w:rPr>
      </w:pPr>
      <w:r>
        <w:t xml:space="preserve">The striking result is the gap between sales growth and profitability. Revenue increased 5.5%, but the operating margin fell from 10.0% to 7.4%. This is an actual year-on-year performance comparison, not a formal budget variance, because Toyota's original internal budget has not </w:t>
      </w:r>
      <w:proofErr w:type="gramStart"/>
      <w:r>
        <w:t>been disclosed</w:t>
      </w:r>
      <w:proofErr w:type="gramEnd"/>
      <w:r>
        <w:t xml:space="preserve">. In its FY2026 presentation, Toyota identified a ¥1.380 trillion negative impact from US tariffs and discussed exchange rates, higher wages and research spending, supplier support, pricing and vehicle volumes. Reported benefits from marketing and model mix did not cancel all these pressures (Toyota Motor Corporation, 2026, FY2026 Financial Results; Toyota Motor Corporation, 2026, FY2026 Financial Results). Figure 4 separates the disclosed tariff effect from the net change due to other factors; that remainder </w:t>
      </w:r>
      <w:proofErr w:type="gramStart"/>
      <w:r>
        <w:t>is calculated</w:t>
      </w:r>
      <w:proofErr w:type="gramEnd"/>
      <w:r>
        <w:t xml:space="preserve"> here, not reported by Toyota as a single category. Tariff-sensitive investments also benefit from analysing regulatory and market uncertainty (IEA, 2025).</w:t>
      </w:r>
    </w:p>
    <w:p w14:paraId="23F0D847"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lastRenderedPageBreak/>
        <w:drawing>
          <wp:inline distT="0" distB="0" distL="0" distR="0" wp14:anchorId="77C18CFE" wp14:editId="574AF3AB">
            <wp:extent cx="5943600" cy="3217025"/>
            <wp:effectExtent l="0" t="0" r="0" b="0"/>
            <wp:docPr id="104" name="Figure 4" descr="Two-panel chart: revenue and operating margin by year, and an operating profit bridge from ¥4.796 trillion to ¥3.766 trillion showing a ¥1.380 trillion tariff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fig4.png"/>
                    <pic:cNvPicPr/>
                  </pic:nvPicPr>
                  <pic:blipFill>
                    <a:blip r:embed="rId11"/>
                    <a:stretch>
                      <a:fillRect/>
                    </a:stretch>
                  </pic:blipFill>
                  <pic:spPr>
                    <a:xfrm>
                      <a:off x="0" y="0"/>
                      <a:ext cx="5943600" cy="3217025"/>
                    </a:xfrm>
                    <a:prstGeom prst="rect">
                      <a:avLst/>
                    </a:prstGeom>
                  </pic:spPr>
                </pic:pic>
              </a:graphicData>
            </a:graphic>
          </wp:inline>
        </w:drawing>
      </w:r>
    </w:p>
    <w:p w14:paraId="69A5ECA3"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Figure 4. Revenue, operating margin and the operating-profit bridge, FY2025 to FY2026</w:t>
      </w:r>
    </w:p>
    <w:p w14:paraId="1D74290C" w14:textId="77777777" w:rsidR="00A36D4E" w:rsidRPr="00885154" w:rsidRDefault="00000000" w:rsidP="00885154">
      <w:pPr>
        <w:pStyle w:val="Caption"/>
        <w:spacing w:after="200" w:line="360" w:lineRule="auto"/>
        <w:jc w:val="both"/>
        <w:rPr>
          <w:rFonts w:ascii="Arial" w:hAnsi="Arial" w:cs="Arial"/>
          <w:sz w:val="24"/>
          <w:szCs w:val="24"/>
        </w:rPr>
      </w:pPr>
      <w:r>
        <w:t xml:space="preserve">Source: Toyota Motor Corporation (2026, FY2026 Consolidated Financial Results; 2026, FY2026 Financial Results); author’s calculations. The tariff effect </w:t>
      </w:r>
      <w:proofErr w:type="gramStart"/>
      <w:r>
        <w:t>is reported</w:t>
      </w:r>
      <w:proofErr w:type="gramEnd"/>
      <w:r>
        <w:t xml:space="preserve"> by Toyota; the “other factors” bar is a derived balancing figure.</w:t>
      </w:r>
    </w:p>
    <w:p w14:paraId="0C576031" w14:textId="77777777" w:rsidR="00E334B4" w:rsidRPr="00885154" w:rsidRDefault="00000000" w:rsidP="00885154">
      <w:pPr>
        <w:spacing w:line="360" w:lineRule="auto"/>
        <w:jc w:val="both"/>
        <w:rPr>
          <w:rFonts w:ascii="Arial" w:hAnsi="Arial" w:cs="Arial"/>
          <w:sz w:val="24"/>
          <w:szCs w:val="24"/>
        </w:rPr>
      </w:pPr>
      <w:r w:rsidRPr="00885154">
        <w:rPr>
          <w:rFonts w:ascii="Arial" w:hAnsi="Arial" w:cs="Arial"/>
          <w:sz w:val="24"/>
          <w:szCs w:val="24"/>
        </w:rPr>
        <w:t xml:space="preserve">A useful flexible-budget review would separate (i) volume/mix variances, (ii) material purchase-price and usage variances, (iii) labour-rate/productivity variances and (iv) foreign-exchange/tariff effects. Tariffs are </w:t>
      </w:r>
      <w:proofErr w:type="gramStart"/>
      <w:r w:rsidRPr="00885154">
        <w:rPr>
          <w:rFonts w:ascii="Arial" w:hAnsi="Arial" w:cs="Arial"/>
          <w:sz w:val="24"/>
          <w:szCs w:val="24"/>
        </w:rPr>
        <w:t>largely external</w:t>
      </w:r>
      <w:proofErr w:type="gramEnd"/>
      <w:r w:rsidRPr="00885154">
        <w:rPr>
          <w:rFonts w:ascii="Arial" w:hAnsi="Arial" w:cs="Arial"/>
          <w:sz w:val="24"/>
          <w:szCs w:val="24"/>
        </w:rPr>
        <w:t xml:space="preserve"> and may not reflect plant-manager controllability. Comparing managers only against a rigid original budget would unfairly confuse external shocks with inefficiency. Instead, Toyota could run downside tariff and exchange-rate scenarios and approve investments against expected future cash flows, using sensitivity analysis to </w:t>
      </w:r>
      <w:proofErr w:type="gramStart"/>
      <w:r w:rsidRPr="00885154">
        <w:rPr>
          <w:rFonts w:ascii="Arial" w:hAnsi="Arial" w:cs="Arial"/>
          <w:sz w:val="24"/>
          <w:szCs w:val="24"/>
        </w:rPr>
        <w:t>test</w:t>
      </w:r>
      <w:proofErr w:type="gramEnd"/>
      <w:r w:rsidRPr="00885154">
        <w:rPr>
          <w:rFonts w:ascii="Arial" w:hAnsi="Arial" w:cs="Arial"/>
          <w:sz w:val="24"/>
          <w:szCs w:val="24"/>
        </w:rPr>
        <w:t xml:space="preserve"> whether electric-vehicle or hybrid projects still create value under weaker demand. The firm could also apply zero-based examination to discretionary spending such as advertising while maintaining committed factory safety and product-development budgets. This distinction is necessary because an across-the-board reduction may undermine future competitiveness. Post-investment reviews should compare approved expected cash flows with actual results, recording assumptions about exchange rates, volume, incentives and residual values. Net present value would be more suitable than a simple payback period when investment creates benefits over </w:t>
      </w:r>
      <w:proofErr w:type="gramStart"/>
      <w:r w:rsidRPr="00885154">
        <w:rPr>
          <w:rFonts w:ascii="Arial" w:hAnsi="Arial" w:cs="Arial"/>
          <w:sz w:val="24"/>
          <w:szCs w:val="24"/>
        </w:rPr>
        <w:t>many</w:t>
      </w:r>
      <w:proofErr w:type="gramEnd"/>
      <w:r w:rsidRPr="00885154">
        <w:rPr>
          <w:rFonts w:ascii="Arial" w:hAnsi="Arial" w:cs="Arial"/>
          <w:sz w:val="24"/>
          <w:szCs w:val="24"/>
        </w:rPr>
        <w:t xml:space="preserve"> years. Figure 5 summarises this framework.</w:t>
      </w:r>
    </w:p>
    <w:p w14:paraId="0F11FF6F"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lastRenderedPageBreak/>
        <w:drawing>
          <wp:inline distT="0" distB="0" distL="0" distR="0" wp14:anchorId="7172C9A6" wp14:editId="5BAEE009">
            <wp:extent cx="5669280" cy="3516452"/>
            <wp:effectExtent l="0" t="0" r="0" b="0"/>
            <wp:docPr id="105" name="Figure 5" descr="Diagram of original budget, flexible budget and actual results with four variance categories and their controll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fig5.png"/>
                    <pic:cNvPicPr/>
                  </pic:nvPicPr>
                  <pic:blipFill>
                    <a:blip r:embed="rId12"/>
                    <a:stretch>
                      <a:fillRect/>
                    </a:stretch>
                  </pic:blipFill>
                  <pic:spPr>
                    <a:xfrm>
                      <a:off x="0" y="0"/>
                      <a:ext cx="5669280" cy="3516452"/>
                    </a:xfrm>
                    <a:prstGeom prst="rect">
                      <a:avLst/>
                    </a:prstGeom>
                  </pic:spPr>
                </pic:pic>
              </a:graphicData>
            </a:graphic>
          </wp:inline>
        </w:drawing>
      </w:r>
    </w:p>
    <w:p w14:paraId="408111AD"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 xml:space="preserve">Figure 5. Flexible-budget variance framework for separating controllable and external </w:t>
      </w:r>
      <w:proofErr w:type="gramStart"/>
      <w:r w:rsidRPr="00885154">
        <w:rPr>
          <w:rFonts w:ascii="Arial" w:hAnsi="Arial" w:cs="Arial"/>
          <w:sz w:val="24"/>
          <w:szCs w:val="24"/>
        </w:rPr>
        <w:t>effects</w:t>
      </w:r>
      <w:proofErr w:type="gramEnd"/>
    </w:p>
    <w:p w14:paraId="328FF736" w14:textId="77777777" w:rsidR="00A36D4E" w:rsidRPr="00885154" w:rsidRDefault="00000000" w:rsidP="00885154">
      <w:pPr>
        <w:pStyle w:val="Caption"/>
        <w:spacing w:after="200" w:line="360" w:lineRule="auto"/>
        <w:jc w:val="both"/>
        <w:rPr>
          <w:rFonts w:ascii="Arial" w:hAnsi="Arial" w:cs="Arial"/>
          <w:sz w:val="24"/>
          <w:szCs w:val="24"/>
        </w:rPr>
      </w:pPr>
      <w:r>
        <w:t>Source: Author’s own illustration; tariff effect from Toyota Motor Corporation (2026, FY2026 Financial Results).</w:t>
      </w:r>
    </w:p>
    <w:p w14:paraId="580B9288" w14:textId="77777777" w:rsidR="00E334B4" w:rsidRPr="00885154" w:rsidRDefault="00000000" w:rsidP="00885154">
      <w:pPr>
        <w:pStyle w:val="Caption"/>
        <w:keepNext/>
        <w:spacing w:line="360" w:lineRule="auto"/>
        <w:jc w:val="both"/>
        <w:rPr>
          <w:rFonts w:ascii="Arial" w:hAnsi="Arial" w:cs="Arial"/>
          <w:sz w:val="24"/>
          <w:szCs w:val="24"/>
        </w:rPr>
      </w:pPr>
      <w:r w:rsidRPr="00885154">
        <w:rPr>
          <w:rFonts w:ascii="Arial" w:hAnsi="Arial" w:cs="Arial"/>
          <w:sz w:val="24"/>
          <w:szCs w:val="24"/>
        </w:rPr>
        <w:t xml:space="preserve">Table 1. Selected consolidated income-statement measures (¥ trillion; </w:t>
      </w:r>
      <w:proofErr w:type="gramStart"/>
      <w:r w:rsidRPr="00885154">
        <w:rPr>
          <w:rFonts w:ascii="Arial" w:hAnsi="Arial" w:cs="Arial"/>
          <w:sz w:val="24"/>
          <w:szCs w:val="24"/>
        </w:rPr>
        <w:t>financial years</w:t>
      </w:r>
      <w:proofErr w:type="gramEnd"/>
      <w:r w:rsidRPr="00885154">
        <w:rPr>
          <w:rFonts w:ascii="Arial" w:hAnsi="Arial" w:cs="Arial"/>
          <w:sz w:val="24"/>
          <w:szCs w:val="24"/>
        </w:rPr>
        <w:t xml:space="preserve"> ended 31 March)</w:t>
      </w:r>
    </w:p>
    <w:tbl>
      <w:tblPr>
        <w:tblStyle w:val="LightShading-Accent1"/>
        <w:tblW w:w="0" w:type="auto"/>
        <w:jc w:val="center"/>
        <w:tblLook w:val="04A0" w:firstRow="1" w:lastRow="0" w:firstColumn="1" w:lastColumn="0" w:noHBand="0" w:noVBand="1"/>
      </w:tblPr>
      <w:tblGrid>
        <w:gridCol w:w="2412"/>
        <w:gridCol w:w="2412"/>
        <w:gridCol w:w="2412"/>
        <w:gridCol w:w="2412"/>
      </w:tblGrid>
      <w:tr w:rsidR="00E334B4" w:rsidRPr="00885154" w14:paraId="0525DB70" w14:textId="77777777" w:rsidTr="00E334B4">
        <w:trPr>
          <w:cnfStyle w:val="100000000000" w:firstRow="1" w:lastRow="0" w:firstColumn="0" w:lastColumn="0" w:oddVBand="0" w:evenVBand="0" w:oddHBand="0"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412" w:type="dxa"/>
          </w:tcPr>
          <w:p w14:paraId="4F0142EC"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Measure</w:t>
            </w:r>
          </w:p>
        </w:tc>
        <w:tc>
          <w:tcPr>
            <w:tcW w:w="2412" w:type="dxa"/>
          </w:tcPr>
          <w:p w14:paraId="7E713790" w14:textId="77777777" w:rsidR="00E334B4" w:rsidRPr="00885154" w:rsidRDefault="00000000" w:rsidP="00885154">
            <w:pPr>
              <w:keepNext/>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FY2025</w:t>
            </w:r>
          </w:p>
        </w:tc>
        <w:tc>
          <w:tcPr>
            <w:tcW w:w="2412" w:type="dxa"/>
          </w:tcPr>
          <w:p w14:paraId="586D9BBA" w14:textId="77777777" w:rsidR="00E334B4" w:rsidRPr="00885154" w:rsidRDefault="00000000" w:rsidP="00885154">
            <w:pPr>
              <w:keepNext/>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FY2026</w:t>
            </w:r>
          </w:p>
        </w:tc>
        <w:tc>
          <w:tcPr>
            <w:tcW w:w="2412" w:type="dxa"/>
          </w:tcPr>
          <w:p w14:paraId="7FFC17B1" w14:textId="77777777" w:rsidR="00E334B4" w:rsidRPr="00885154" w:rsidRDefault="00000000" w:rsidP="00885154">
            <w:pPr>
              <w:keepNext/>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Change</w:t>
            </w:r>
          </w:p>
        </w:tc>
      </w:tr>
      <w:tr w:rsidR="00E334B4" w:rsidRPr="00885154" w14:paraId="1E9CF8C0" w14:textId="77777777" w:rsidTr="00E334B4">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412" w:type="dxa"/>
          </w:tcPr>
          <w:p w14:paraId="18600E2A"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Revenue</w:t>
            </w:r>
          </w:p>
        </w:tc>
        <w:tc>
          <w:tcPr>
            <w:tcW w:w="2412" w:type="dxa"/>
          </w:tcPr>
          <w:p w14:paraId="380C16C2"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48.037</w:t>
            </w:r>
          </w:p>
        </w:tc>
        <w:tc>
          <w:tcPr>
            <w:tcW w:w="2412" w:type="dxa"/>
          </w:tcPr>
          <w:p w14:paraId="42D1DE7A"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50.685</w:t>
            </w:r>
          </w:p>
        </w:tc>
        <w:tc>
          <w:tcPr>
            <w:tcW w:w="2412" w:type="dxa"/>
          </w:tcPr>
          <w:p w14:paraId="0850CB89"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+5.5%</w:t>
            </w:r>
          </w:p>
        </w:tc>
      </w:tr>
      <w:tr w:rsidR="00E334B4" w:rsidRPr="00885154" w14:paraId="6A4AAB33" w14:textId="77777777" w:rsidTr="00E334B4">
        <w:trPr>
          <w:cantSplit/>
          <w:jc w:val="center"/>
        </w:trPr>
        <w:tc>
          <w:tcPr>
            <w:cnfStyle w:val="001000000000" w:firstRow="0" w:lastRow="0" w:firstColumn="1" w:lastColumn="0" w:oddVBand="0" w:evenVBand="0" w:oddHBand="0" w:evenHBand="0" w:firstRowFirstColumn="0" w:firstRowLastColumn="0" w:lastRowFirstColumn="0" w:lastRowLastColumn="0"/>
            <w:tcW w:w="2412" w:type="dxa"/>
          </w:tcPr>
          <w:p w14:paraId="06FF9726"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SG&amp;A / operating expense proxy</w:t>
            </w:r>
          </w:p>
        </w:tc>
        <w:tc>
          <w:tcPr>
            <w:tcW w:w="2412" w:type="dxa"/>
          </w:tcPr>
          <w:p w14:paraId="16564587"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4.782</w:t>
            </w:r>
          </w:p>
        </w:tc>
        <w:tc>
          <w:tcPr>
            <w:tcW w:w="2412" w:type="dxa"/>
          </w:tcPr>
          <w:p w14:paraId="06B612C7"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4.698</w:t>
            </w:r>
          </w:p>
        </w:tc>
        <w:tc>
          <w:tcPr>
            <w:tcW w:w="2412" w:type="dxa"/>
          </w:tcPr>
          <w:p w14:paraId="11FB21C1"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−1.8%</w:t>
            </w:r>
          </w:p>
        </w:tc>
      </w:tr>
      <w:tr w:rsidR="00E334B4" w:rsidRPr="00885154" w14:paraId="7AF4C78D" w14:textId="77777777" w:rsidTr="00E334B4">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2412" w:type="dxa"/>
          </w:tcPr>
          <w:p w14:paraId="4D96A54F"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Total costs and expenses</w:t>
            </w:r>
          </w:p>
        </w:tc>
        <w:tc>
          <w:tcPr>
            <w:tcW w:w="2412" w:type="dxa"/>
          </w:tcPr>
          <w:p w14:paraId="2750A31D"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43.241</w:t>
            </w:r>
          </w:p>
        </w:tc>
        <w:tc>
          <w:tcPr>
            <w:tcW w:w="2412" w:type="dxa"/>
          </w:tcPr>
          <w:p w14:paraId="5B8E5A16"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46.919</w:t>
            </w:r>
          </w:p>
        </w:tc>
        <w:tc>
          <w:tcPr>
            <w:tcW w:w="2412" w:type="dxa"/>
          </w:tcPr>
          <w:p w14:paraId="7F22F3ED"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+8.5%</w:t>
            </w:r>
          </w:p>
        </w:tc>
      </w:tr>
      <w:tr w:rsidR="00E334B4" w:rsidRPr="00885154" w14:paraId="1892CD9E" w14:textId="77777777" w:rsidTr="00E334B4">
        <w:trPr>
          <w:cantSplit/>
          <w:jc w:val="center"/>
        </w:trPr>
        <w:tc>
          <w:tcPr>
            <w:cnfStyle w:val="001000000000" w:firstRow="0" w:lastRow="0" w:firstColumn="1" w:lastColumn="0" w:oddVBand="0" w:evenVBand="0" w:oddHBand="0" w:evenHBand="0" w:firstRowFirstColumn="0" w:firstRowLastColumn="0" w:lastRowFirstColumn="0" w:lastRowLastColumn="0"/>
            <w:tcW w:w="2412" w:type="dxa"/>
          </w:tcPr>
          <w:p w14:paraId="1B986130"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Operating profit</w:t>
            </w:r>
          </w:p>
        </w:tc>
        <w:tc>
          <w:tcPr>
            <w:tcW w:w="2412" w:type="dxa"/>
          </w:tcPr>
          <w:p w14:paraId="3FD536BE"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4.796</w:t>
            </w:r>
          </w:p>
        </w:tc>
        <w:tc>
          <w:tcPr>
            <w:tcW w:w="2412" w:type="dxa"/>
          </w:tcPr>
          <w:p w14:paraId="71A1FBB9"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3.766</w:t>
            </w:r>
          </w:p>
        </w:tc>
        <w:tc>
          <w:tcPr>
            <w:tcW w:w="2412" w:type="dxa"/>
          </w:tcPr>
          <w:p w14:paraId="6E42ED34"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−21.5%</w:t>
            </w:r>
          </w:p>
        </w:tc>
      </w:tr>
    </w:tbl>
    <w:p w14:paraId="52E6E543" w14:textId="77777777" w:rsidR="00E334B4" w:rsidRPr="00885154" w:rsidRDefault="00000000" w:rsidP="00885154">
      <w:pPr>
        <w:pStyle w:val="Caption"/>
        <w:spacing w:line="360" w:lineRule="auto"/>
        <w:jc w:val="both"/>
        <w:rPr>
          <w:rFonts w:ascii="Arial" w:hAnsi="Arial" w:cs="Arial"/>
          <w:sz w:val="24"/>
          <w:szCs w:val="24"/>
        </w:rPr>
      </w:pPr>
      <w:r>
        <w:t xml:space="preserve">Source: </w:t>
      </w:r>
      <w:proofErr w:type="gramStart"/>
      <w:r>
        <w:t>Toyota Motor Corporation (2026, FY2026 Consolidated Financial Results),</w:t>
      </w:r>
      <w:proofErr w:type="gramEnd"/>
      <w:r>
        <w:t xml:space="preserve"> cross-checked against Google Finance (2026). FY2026 reflects 1 April 2025–31 March 2026. Values rounded; ratios calculated from unrounded amounts.</w:t>
      </w:r>
    </w:p>
    <w:p w14:paraId="7EF62463" w14:textId="77777777" w:rsidR="00E334B4" w:rsidRPr="00885154" w:rsidRDefault="00000000" w:rsidP="00885154">
      <w:pPr>
        <w:pStyle w:val="Heading1"/>
        <w:spacing w:line="360" w:lineRule="auto"/>
        <w:jc w:val="both"/>
        <w:rPr>
          <w:rFonts w:ascii="Arial" w:hAnsi="Arial" w:cs="Arial"/>
          <w:sz w:val="24"/>
          <w:szCs w:val="24"/>
        </w:rPr>
      </w:pPr>
      <w:bookmarkStart w:id="3" w:name="_Toc20260004"/>
      <w:r w:rsidRPr="00885154">
        <w:rPr>
          <w:rFonts w:ascii="Arial" w:hAnsi="Arial" w:cs="Arial"/>
          <w:sz w:val="24"/>
          <w:szCs w:val="24"/>
        </w:rPr>
        <w:lastRenderedPageBreak/>
        <w:t>4. Performance Measurement and Decision-Making</w:t>
      </w:r>
      <w:bookmarkEnd w:id="3"/>
    </w:p>
    <w:p w14:paraId="43DEDD21" w14:textId="77777777" w:rsidR="00E334B4" w:rsidRPr="00885154" w:rsidRDefault="00000000" w:rsidP="00885154">
      <w:pPr>
        <w:spacing w:line="360" w:lineRule="auto"/>
        <w:jc w:val="both"/>
        <w:rPr>
          <w:rFonts w:ascii="Arial" w:hAnsi="Arial" w:cs="Arial"/>
          <w:sz w:val="24"/>
          <w:szCs w:val="24"/>
        </w:rPr>
      </w:pPr>
      <w:r>
        <w:t xml:space="preserve">Toyota's performance cannot </w:t>
      </w:r>
      <w:proofErr w:type="gramStart"/>
      <w:r>
        <w:t>be judged</w:t>
      </w:r>
      <w:proofErr w:type="gramEnd"/>
      <w:r>
        <w:t xml:space="preserve"> by turnover alone. The five reported indicators in Table 2 combine revenue, operating margin, return on equity, consolidated vehicle sales and electrified Toyota/Lexus retail sales. Each answers a different management question: whether sales are growing, whether those sales are profitable, how shareholders' capital is </w:t>
      </w:r>
      <w:proofErr w:type="gramStart"/>
      <w:r>
        <w:t>being rewarded</w:t>
      </w:r>
      <w:proofErr w:type="gramEnd"/>
      <w:r>
        <w:t>, whether factory output is expanding and how customer demand is shifting towards electrification. The figures come from Toyota's FY2025 and FY2026 financial disclosures (Toyota Motor Corporation, 2025; Toyota Motor Corporation, 2026, FY2026 Consolidated Financial Results). Kaplan and Norton (1992) provide the rationale for combining financial outcomes with measures that may influence future performance, rather than treating one profit figure as sufficient.</w:t>
      </w:r>
    </w:p>
    <w:p w14:paraId="57D61BDF" w14:textId="77777777" w:rsidR="00E334B4" w:rsidRPr="00885154" w:rsidRDefault="00000000" w:rsidP="00885154">
      <w:pPr>
        <w:spacing w:line="360" w:lineRule="auto"/>
        <w:jc w:val="both"/>
        <w:rPr>
          <w:rFonts w:ascii="Arial" w:hAnsi="Arial" w:cs="Arial"/>
          <w:sz w:val="24"/>
          <w:szCs w:val="24"/>
        </w:rPr>
      </w:pPr>
      <w:r>
        <w:t xml:space="preserve">The pattern is strategically important. Despite consolidated vehicle sales increasing by 2.5%, operating profit declined 21.5%. Higher output </w:t>
      </w:r>
      <w:proofErr w:type="gramStart"/>
      <w:r>
        <w:t>evidently did</w:t>
      </w:r>
      <w:proofErr w:type="gramEnd"/>
      <w:r>
        <w:t xml:space="preserve"> not fully protect Toyota from cost and policy pressures. Vehicle mix matters: Toyota reported 5.040 million electrified Toyota/Lexus retail sales in FY2026, versus 4.732 million in FY2025; these figures use a different retail scope from consolidated vehicle sales and must not </w:t>
      </w:r>
      <w:proofErr w:type="gramStart"/>
      <w:r>
        <w:t>be mixed</w:t>
      </w:r>
      <w:proofErr w:type="gramEnd"/>
      <w:r>
        <w:t xml:space="preserve"> when calculating percentages (Toyota Motor Corporation, 2026, FY2026 Financial Results). Management's multi-pathway approach balances demand for hybrids with investments in battery-electric technologies rather than treating every market as identical (Toyota Motor Corporation, 2023). International electric-vehicle market forecasts reinforce the need to </w:t>
      </w:r>
      <w:proofErr w:type="gramStart"/>
      <w:r>
        <w:t>test</w:t>
      </w:r>
      <w:proofErr w:type="gramEnd"/>
      <w:r>
        <w:t xml:space="preserve"> future demand across regions (IEA, 2025).</w:t>
      </w:r>
    </w:p>
    <w:p w14:paraId="4BF80E88" w14:textId="77777777" w:rsidR="00E334B4" w:rsidRPr="00885154" w:rsidRDefault="00000000" w:rsidP="00885154">
      <w:pPr>
        <w:spacing w:line="360" w:lineRule="auto"/>
        <w:jc w:val="both"/>
        <w:rPr>
          <w:rFonts w:ascii="Arial" w:hAnsi="Arial" w:cs="Arial"/>
          <w:sz w:val="24"/>
          <w:szCs w:val="24"/>
        </w:rPr>
      </w:pPr>
      <w:r>
        <w:t>Pricing decisions appear in management's discussion of price revisions and product competitiveness. Management accountants could use customer-level contribution analysis to identify where higher prices offset input inflation without causing damaging losses in demand. Equally, strategic investment decisions should consider lifecycle profitability, not only first-year accounting returns: new models require tooling and R&amp;D long before sales arrive. Toyota's FY2027 guidance forecast revenue of ¥51 trillion but lower operating income of ¥3 trillion; this forecast illustrates why managers should prepare defensive cost scenarios rather than extrapolating sales growth into profit growth (Toyota Motor Corporation, 2026, FY2026 Consolidated Financial Results).</w:t>
      </w:r>
    </w:p>
    <w:p w14:paraId="06524D0E" w14:textId="77777777" w:rsidR="00E334B4" w:rsidRPr="00885154" w:rsidRDefault="00000000" w:rsidP="00885154">
      <w:pPr>
        <w:spacing w:line="360" w:lineRule="auto"/>
        <w:jc w:val="both"/>
        <w:rPr>
          <w:rFonts w:ascii="Arial" w:hAnsi="Arial" w:cs="Arial"/>
          <w:sz w:val="24"/>
          <w:szCs w:val="24"/>
        </w:rPr>
      </w:pPr>
      <w:r>
        <w:t xml:space="preserve">Two further KPIs would strengthen internal control: defects per thousand vehicles and on-time delivery. Both are proposed measures, not published figures used in the comparison below. They connect Toyota’s production philosophy with costs of rework, warranties and customer trust (Toyota Motor Corporation, 2024)). A dashboard combining margins, unit contribution, quality and sustainability would encourage decisions consistent with long-term performance rather than quarter-by-quarter cost cutting. For example, rising electrified-vehicle volume may be encouraging, but a manager still needs to </w:t>
      </w:r>
      <w:proofErr w:type="gramStart"/>
      <w:r>
        <w:t>test</w:t>
      </w:r>
      <w:proofErr w:type="gramEnd"/>
      <w:r>
        <w:t xml:space="preserve"> contribution after battery costs, warranties and capital charges. Similarly, a higher return on equity could result from </w:t>
      </w:r>
      <w:r>
        <w:lastRenderedPageBreak/>
        <w:t>financial leverage rather than operational excellence. A balanced assessment should therefore present KPI definitions, targets and comparisons consistently; changing definitions across business units can make improvements appear larger than they are. Managers could examine regional price elasticity and customer waiting times before pursuing price increases that might erode customer loyalty.</w:t>
      </w:r>
    </w:p>
    <w:p w14:paraId="1E62B6CE" w14:textId="77777777" w:rsidR="00E334B4" w:rsidRPr="00885154" w:rsidRDefault="00000000" w:rsidP="00885154">
      <w:pPr>
        <w:pStyle w:val="Caption"/>
        <w:keepNext/>
        <w:spacing w:line="360" w:lineRule="auto"/>
        <w:jc w:val="both"/>
        <w:rPr>
          <w:rFonts w:ascii="Arial" w:hAnsi="Arial" w:cs="Arial"/>
          <w:sz w:val="24"/>
          <w:szCs w:val="24"/>
        </w:rPr>
      </w:pPr>
      <w:r w:rsidRPr="00885154">
        <w:rPr>
          <w:rFonts w:ascii="Arial" w:hAnsi="Arial" w:cs="Arial"/>
          <w:sz w:val="24"/>
          <w:szCs w:val="24"/>
        </w:rPr>
        <w:t>Table 2. Five reported performance indicators</w:t>
      </w:r>
    </w:p>
    <w:tbl>
      <w:tblPr>
        <w:tblStyle w:val="LightShading-Accent1"/>
        <w:tblW w:w="0" w:type="auto"/>
        <w:tblLook w:val="04A0" w:firstRow="1" w:lastRow="0" w:firstColumn="1" w:lastColumn="0" w:noHBand="0" w:noVBand="1"/>
      </w:tblPr>
      <w:tblGrid>
        <w:gridCol w:w="2412"/>
        <w:gridCol w:w="2412"/>
        <w:gridCol w:w="2412"/>
        <w:gridCol w:w="2412"/>
      </w:tblGrid>
      <w:tr w:rsidR="00E334B4" w:rsidRPr="00885154" w14:paraId="2913FE9F" w14:textId="77777777" w:rsidTr="00E334B4">
        <w:trPr>
          <w:cnfStyle w:val="100000000000" w:firstRow="1" w:lastRow="0" w:firstColumn="0" w:lastColumn="0" w:oddVBand="0" w:evenVBand="0" w:oddHBand="0"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412" w:type="dxa"/>
          </w:tcPr>
          <w:p w14:paraId="4C0BB076"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KPI</w:t>
            </w:r>
          </w:p>
        </w:tc>
        <w:tc>
          <w:tcPr>
            <w:tcW w:w="2412" w:type="dxa"/>
          </w:tcPr>
          <w:p w14:paraId="777D7E79" w14:textId="77777777" w:rsidR="00E334B4" w:rsidRPr="00885154" w:rsidRDefault="00000000" w:rsidP="00885154">
            <w:pPr>
              <w:keepNext/>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FY2025</w:t>
            </w:r>
          </w:p>
        </w:tc>
        <w:tc>
          <w:tcPr>
            <w:tcW w:w="2412" w:type="dxa"/>
          </w:tcPr>
          <w:p w14:paraId="2469DF78" w14:textId="77777777" w:rsidR="00E334B4" w:rsidRPr="00885154" w:rsidRDefault="00000000" w:rsidP="00885154">
            <w:pPr>
              <w:keepNext/>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FY2026</w:t>
            </w:r>
          </w:p>
        </w:tc>
        <w:tc>
          <w:tcPr>
            <w:tcW w:w="2412" w:type="dxa"/>
          </w:tcPr>
          <w:p w14:paraId="0CAECDA6" w14:textId="77777777" w:rsidR="00E334B4" w:rsidRPr="00885154" w:rsidRDefault="00000000" w:rsidP="00885154">
            <w:pPr>
              <w:keepNext/>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Assessment</w:t>
            </w:r>
          </w:p>
        </w:tc>
      </w:tr>
      <w:tr w:rsidR="00E334B4" w:rsidRPr="00885154" w14:paraId="22C224B7" w14:textId="77777777" w:rsidTr="00E334B4">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412" w:type="dxa"/>
          </w:tcPr>
          <w:p w14:paraId="7F1BDEC4"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Revenue (¥tn)</w:t>
            </w:r>
          </w:p>
        </w:tc>
        <w:tc>
          <w:tcPr>
            <w:tcW w:w="2412" w:type="dxa"/>
          </w:tcPr>
          <w:p w14:paraId="6B3E1091"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48.037</w:t>
            </w:r>
          </w:p>
        </w:tc>
        <w:tc>
          <w:tcPr>
            <w:tcW w:w="2412" w:type="dxa"/>
          </w:tcPr>
          <w:p w14:paraId="470E852F"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50.685</w:t>
            </w:r>
          </w:p>
        </w:tc>
        <w:tc>
          <w:tcPr>
            <w:tcW w:w="2412" w:type="dxa"/>
          </w:tcPr>
          <w:p w14:paraId="13183551"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Growth</w:t>
            </w:r>
          </w:p>
        </w:tc>
      </w:tr>
      <w:tr w:rsidR="00E334B4" w:rsidRPr="00885154" w14:paraId="56ED4ABB" w14:textId="77777777" w:rsidTr="00E334B4">
        <w:trPr>
          <w:cantSplit/>
        </w:trPr>
        <w:tc>
          <w:tcPr>
            <w:cnfStyle w:val="001000000000" w:firstRow="0" w:lastRow="0" w:firstColumn="1" w:lastColumn="0" w:oddVBand="0" w:evenVBand="0" w:oddHBand="0" w:evenHBand="0" w:firstRowFirstColumn="0" w:firstRowLastColumn="0" w:lastRowFirstColumn="0" w:lastRowLastColumn="0"/>
            <w:tcW w:w="2412" w:type="dxa"/>
          </w:tcPr>
          <w:p w14:paraId="0D07547B"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Operating margin</w:t>
            </w:r>
          </w:p>
        </w:tc>
        <w:tc>
          <w:tcPr>
            <w:tcW w:w="2412" w:type="dxa"/>
          </w:tcPr>
          <w:p w14:paraId="6D40978C"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10.0%</w:t>
            </w:r>
          </w:p>
        </w:tc>
        <w:tc>
          <w:tcPr>
            <w:tcW w:w="2412" w:type="dxa"/>
          </w:tcPr>
          <w:p w14:paraId="6202BDC8"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7.4%</w:t>
            </w:r>
          </w:p>
        </w:tc>
        <w:tc>
          <w:tcPr>
            <w:tcW w:w="2412" w:type="dxa"/>
          </w:tcPr>
          <w:p w14:paraId="1E379F77"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Weaker</w:t>
            </w:r>
          </w:p>
        </w:tc>
      </w:tr>
      <w:tr w:rsidR="00E334B4" w:rsidRPr="00885154" w14:paraId="577891C9" w14:textId="77777777" w:rsidTr="00E334B4">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412" w:type="dxa"/>
          </w:tcPr>
          <w:p w14:paraId="6858D21B"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Return on equity</w:t>
            </w:r>
          </w:p>
        </w:tc>
        <w:tc>
          <w:tcPr>
            <w:tcW w:w="2412" w:type="dxa"/>
          </w:tcPr>
          <w:p w14:paraId="32813E69"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13.6%</w:t>
            </w:r>
          </w:p>
        </w:tc>
        <w:tc>
          <w:tcPr>
            <w:tcW w:w="2412" w:type="dxa"/>
          </w:tcPr>
          <w:p w14:paraId="23440B80"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10.1%</w:t>
            </w:r>
          </w:p>
        </w:tc>
        <w:tc>
          <w:tcPr>
            <w:tcW w:w="2412" w:type="dxa"/>
          </w:tcPr>
          <w:p w14:paraId="047A00AD"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Weaker</w:t>
            </w:r>
          </w:p>
        </w:tc>
      </w:tr>
      <w:tr w:rsidR="00E334B4" w:rsidRPr="00885154" w14:paraId="1BB0A1FF" w14:textId="77777777" w:rsidTr="00E334B4">
        <w:trPr>
          <w:cantSplit/>
        </w:trPr>
        <w:tc>
          <w:tcPr>
            <w:cnfStyle w:val="001000000000" w:firstRow="0" w:lastRow="0" w:firstColumn="1" w:lastColumn="0" w:oddVBand="0" w:evenVBand="0" w:oddHBand="0" w:evenHBand="0" w:firstRowFirstColumn="0" w:firstRowLastColumn="0" w:lastRowFirstColumn="0" w:lastRowLastColumn="0"/>
            <w:tcW w:w="2412" w:type="dxa"/>
          </w:tcPr>
          <w:p w14:paraId="477DBAEA"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Consolidated vehicle sales (m)</w:t>
            </w:r>
          </w:p>
        </w:tc>
        <w:tc>
          <w:tcPr>
            <w:tcW w:w="2412" w:type="dxa"/>
          </w:tcPr>
          <w:p w14:paraId="3D787641"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9.362</w:t>
            </w:r>
          </w:p>
        </w:tc>
        <w:tc>
          <w:tcPr>
            <w:tcW w:w="2412" w:type="dxa"/>
          </w:tcPr>
          <w:p w14:paraId="515D6DE2"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9.595</w:t>
            </w:r>
          </w:p>
        </w:tc>
        <w:tc>
          <w:tcPr>
            <w:tcW w:w="2412" w:type="dxa"/>
          </w:tcPr>
          <w:p w14:paraId="084D61E1" w14:textId="77777777" w:rsidR="00E334B4" w:rsidRPr="00885154" w:rsidRDefault="00000000" w:rsidP="00885154">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85154">
              <w:rPr>
                <w:rFonts w:ascii="Arial" w:hAnsi="Arial" w:cs="Arial"/>
                <w:sz w:val="24"/>
                <w:szCs w:val="24"/>
              </w:rPr>
              <w:t>Growth</w:t>
            </w:r>
          </w:p>
        </w:tc>
      </w:tr>
      <w:tr w:rsidR="00E334B4" w:rsidRPr="00885154" w14:paraId="0EAA62B1" w14:textId="77777777" w:rsidTr="00E334B4">
        <w:trPr>
          <w:cnfStyle w:val="000000100000" w:firstRow="0" w:lastRow="0" w:firstColumn="0" w:lastColumn="0" w:oddVBand="0" w:evenVBand="0" w:oddHBand="1"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2412" w:type="dxa"/>
          </w:tcPr>
          <w:p w14:paraId="62438262" w14:textId="77777777" w:rsidR="00E334B4" w:rsidRPr="00885154" w:rsidRDefault="00000000" w:rsidP="00885154">
            <w:pPr>
              <w:keepNext/>
              <w:spacing w:line="360" w:lineRule="auto"/>
              <w:jc w:val="both"/>
              <w:rPr>
                <w:rFonts w:ascii="Arial" w:hAnsi="Arial" w:cs="Arial"/>
                <w:sz w:val="24"/>
                <w:szCs w:val="24"/>
              </w:rPr>
            </w:pPr>
            <w:r w:rsidRPr="00885154">
              <w:rPr>
                <w:rFonts w:ascii="Arial" w:hAnsi="Arial" w:cs="Arial"/>
                <w:sz w:val="24"/>
                <w:szCs w:val="24"/>
              </w:rPr>
              <w:t>Electrified Toyota/Lexus retail sales (m)</w:t>
            </w:r>
          </w:p>
        </w:tc>
        <w:tc>
          <w:tcPr>
            <w:tcW w:w="2412" w:type="dxa"/>
          </w:tcPr>
          <w:p w14:paraId="52EDE622"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4.732</w:t>
            </w:r>
          </w:p>
        </w:tc>
        <w:tc>
          <w:tcPr>
            <w:tcW w:w="2412" w:type="dxa"/>
          </w:tcPr>
          <w:p w14:paraId="0BA27BD9"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5.040</w:t>
            </w:r>
          </w:p>
        </w:tc>
        <w:tc>
          <w:tcPr>
            <w:tcW w:w="2412" w:type="dxa"/>
          </w:tcPr>
          <w:p w14:paraId="7375F0F9" w14:textId="77777777" w:rsidR="00E334B4" w:rsidRPr="00885154" w:rsidRDefault="00000000" w:rsidP="00885154">
            <w:pPr>
              <w:keepN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5154">
              <w:rPr>
                <w:rFonts w:ascii="Arial" w:hAnsi="Arial" w:cs="Arial"/>
                <w:sz w:val="24"/>
                <w:szCs w:val="24"/>
              </w:rPr>
              <w:t>Growth</w:t>
            </w:r>
          </w:p>
        </w:tc>
      </w:tr>
    </w:tbl>
    <w:p w14:paraId="3998D8DF" w14:textId="77777777" w:rsidR="00E334B4" w:rsidRPr="00885154" w:rsidRDefault="00000000" w:rsidP="00885154">
      <w:pPr>
        <w:pStyle w:val="Caption"/>
        <w:spacing w:line="360" w:lineRule="auto"/>
        <w:jc w:val="both"/>
        <w:rPr>
          <w:rFonts w:ascii="Arial" w:hAnsi="Arial" w:cs="Arial"/>
          <w:sz w:val="24"/>
          <w:szCs w:val="24"/>
        </w:rPr>
      </w:pPr>
      <w:r>
        <w:t>Sources: Toyota Motor Corporation (2025; 2026, FY2026 Financial Results; 2026, FY2026 Consolidated Financial Results). Note: electrified retail units and consolidated sales have different reporting scopes.</w:t>
      </w:r>
    </w:p>
    <w:p w14:paraId="37C4C22C"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lastRenderedPageBreak/>
        <w:drawing>
          <wp:inline distT="0" distB="0" distL="0" distR="0" wp14:anchorId="5ED5A77D" wp14:editId="458747AB">
            <wp:extent cx="5943600" cy="3735026"/>
            <wp:effectExtent l="0" t="0" r="0" b="0"/>
            <wp:docPr id="106" name="Figure 6" descr="Five small bar charts comparing revenue, operating margin, return on equity, consolidated vehicle sales and electrified retail sales in FY2025 and FY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fig6.png"/>
                    <pic:cNvPicPr/>
                  </pic:nvPicPr>
                  <pic:blipFill>
                    <a:blip r:embed="rId13"/>
                    <a:stretch>
                      <a:fillRect/>
                    </a:stretch>
                  </pic:blipFill>
                  <pic:spPr>
                    <a:xfrm>
                      <a:off x="0" y="0"/>
                      <a:ext cx="5943600" cy="3735026"/>
                    </a:xfrm>
                    <a:prstGeom prst="rect">
                      <a:avLst/>
                    </a:prstGeom>
                  </pic:spPr>
                </pic:pic>
              </a:graphicData>
            </a:graphic>
          </wp:inline>
        </w:drawing>
      </w:r>
    </w:p>
    <w:p w14:paraId="1259DFB0"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Figure 6. Five reported performance indicators, FY2025 and FY2026</w:t>
      </w:r>
    </w:p>
    <w:p w14:paraId="1CE72447" w14:textId="77777777" w:rsidR="00A36D4E" w:rsidRPr="00885154" w:rsidRDefault="00000000" w:rsidP="00885154">
      <w:pPr>
        <w:pStyle w:val="Caption"/>
        <w:spacing w:after="200" w:line="360" w:lineRule="auto"/>
        <w:jc w:val="both"/>
        <w:rPr>
          <w:rFonts w:ascii="Arial" w:hAnsi="Arial" w:cs="Arial"/>
          <w:sz w:val="24"/>
          <w:szCs w:val="24"/>
        </w:rPr>
      </w:pPr>
      <w:r>
        <w:t>Source: Toyota Motor Corporation (2025; 2026, FY2026 Financial Results; 2026, FY2026 Consolidated Financial Results); changes calculated by the author.</w:t>
      </w:r>
    </w:p>
    <w:p w14:paraId="6A677A41" w14:textId="77777777" w:rsidR="00E334B4" w:rsidRPr="00885154" w:rsidRDefault="00000000" w:rsidP="00885154">
      <w:pPr>
        <w:pStyle w:val="Heading1"/>
        <w:spacing w:line="360" w:lineRule="auto"/>
        <w:jc w:val="both"/>
        <w:rPr>
          <w:rFonts w:ascii="Arial" w:hAnsi="Arial" w:cs="Arial"/>
          <w:sz w:val="24"/>
          <w:szCs w:val="24"/>
        </w:rPr>
      </w:pPr>
      <w:bookmarkStart w:id="4" w:name="_Toc20260005"/>
      <w:r w:rsidRPr="00885154">
        <w:rPr>
          <w:rFonts w:ascii="Arial" w:hAnsi="Arial" w:cs="Arial"/>
          <w:sz w:val="24"/>
          <w:szCs w:val="24"/>
        </w:rPr>
        <w:t>5. Sustainability and Ethical Considerations</w:t>
      </w:r>
      <w:bookmarkEnd w:id="4"/>
    </w:p>
    <w:p w14:paraId="1EC9EDE0" w14:textId="77777777" w:rsidR="00E334B4" w:rsidRPr="00885154" w:rsidRDefault="00000000" w:rsidP="00885154">
      <w:pPr>
        <w:spacing w:line="360" w:lineRule="auto"/>
        <w:jc w:val="both"/>
        <w:rPr>
          <w:rFonts w:ascii="Arial" w:hAnsi="Arial" w:cs="Arial"/>
          <w:sz w:val="24"/>
          <w:szCs w:val="24"/>
        </w:rPr>
      </w:pPr>
      <w:r>
        <w:t xml:space="preserve">Sustainability is a financial decision as well as an environmental commitment for Toyota. Choices about batteries, production energy and vehicle technologies involve expenditure now and effects extending well beyond the next reporting year. Toyota's Integrated Report 2025 discusses its Environmental Challenge 2050 and nearer-term climate objectives (GRI, 2021). A management-accounting appraisal should therefore consider </w:t>
      </w:r>
      <w:proofErr w:type="gramStart"/>
      <w:r>
        <w:t>likely energy</w:t>
      </w:r>
      <w:proofErr w:type="gramEnd"/>
      <w:r>
        <w:t xml:space="preserve"> savings, regulatory costs, battery reuse and end-of-life responsibilities alongside initial investment. The Sustainability Data Book offers information for tracking these wider commitments (GRI, 2021). Such information improves decisions only if the measurement boundary and assumptions are clear.</w:t>
      </w:r>
    </w:p>
    <w:p w14:paraId="43B7712F" w14:textId="77777777" w:rsidR="00E334B4" w:rsidRPr="00885154" w:rsidRDefault="00000000" w:rsidP="00885154">
      <w:pPr>
        <w:spacing w:line="360" w:lineRule="auto"/>
        <w:jc w:val="both"/>
        <w:rPr>
          <w:rFonts w:ascii="Arial" w:hAnsi="Arial" w:cs="Arial"/>
          <w:sz w:val="24"/>
          <w:szCs w:val="24"/>
        </w:rPr>
      </w:pPr>
      <w:r>
        <w:t>Toyota's electrification strategy also presents an allocation question: financing multiple technologies offers geographic flexibility but risks spreading research funds across competing platforms. Lifecycle costing could compare total production, electricity or fuel use, warranty, recycling and end-of-life liabilities. Toyota North America reported a 32% reduction in Scope 1 and 2 operational greenhouse-gas emissions relative to FY2019; this is regional progress, not evidence of an equivalent global vehicle-</w:t>
      </w:r>
      <w:r>
        <w:lastRenderedPageBreak/>
        <w:t>lifecycle reduction (Toyota Motor North America, 2025). The distinction matters when assessing corporate claims. The GRI standards emphasise transparent reporting of material sustainability impacts (GRI, 2021). Life-cycle assessment provides a defined method for comparing environmental impacts across a product’s stages (ISO, 2006).</w:t>
      </w:r>
    </w:p>
    <w:p w14:paraId="6F7DE480" w14:textId="77777777" w:rsidR="00E334B4" w:rsidRPr="00885154" w:rsidRDefault="00000000" w:rsidP="00885154">
      <w:pPr>
        <w:spacing w:line="360" w:lineRule="auto"/>
        <w:jc w:val="both"/>
        <w:rPr>
          <w:rFonts w:ascii="Arial" w:hAnsi="Arial" w:cs="Arial"/>
          <w:sz w:val="24"/>
          <w:szCs w:val="24"/>
        </w:rPr>
      </w:pPr>
      <w:r>
        <w:t xml:space="preserve">Ethical cost management requires more than low supplier prices. Toyota's human-rights reporting identifies supplier due diligence and expectations concerning labour rights (GRI, 2021); Toyota UK's 2026 modern-slavery statement similarly addresses supply-chain risk (Toyota (GB) PLC and Toyota Financial Services (UK) PLC, 2026). Purchasing managers should not receive incentives solely for reducing procurement prices if the savings depend on unsafe working conditions. Transparent transfer pricing, defensible dealer pricing and realistic warranty provisions are equally important. A balanced scorecard could combine cost-per-vehicle targets with supplier compliance, safety and emissions measures, limiting incentives to improve one KPI at society's expense (Kaplan and Norton, 1992). The financial case for ethical sourcing is also practical: labour violations may cause production delays, regulatory action and reputational damage. Scenario costing should attach probabilities and monetary effects to these risks without implying that every human-rights duty can </w:t>
      </w:r>
      <w:proofErr w:type="gramStart"/>
      <w:r>
        <w:t>be reduced</w:t>
      </w:r>
      <w:proofErr w:type="gramEnd"/>
      <w:r>
        <w:t xml:space="preserve"> to a financial number. At the same time, premium prices for greener vehicles should </w:t>
      </w:r>
      <w:proofErr w:type="gramStart"/>
      <w:r>
        <w:t>be supported</w:t>
      </w:r>
      <w:proofErr w:type="gramEnd"/>
      <w:r>
        <w:t xml:space="preserve"> by accurate claims about real lifecycle emissions rather than unqualified environmental marketing. Figure 7 shows how such measures could </w:t>
      </w:r>
      <w:proofErr w:type="gramStart"/>
      <w:r>
        <w:t>be combined</w:t>
      </w:r>
      <w:proofErr w:type="gramEnd"/>
      <w:r>
        <w:t xml:space="preserve"> in a single dashboard. The OECD (2018) recommends risk-based supply-chain due diligence.</w:t>
      </w:r>
    </w:p>
    <w:p w14:paraId="4BB3E6D4"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lastRenderedPageBreak/>
        <w:drawing>
          <wp:inline distT="0" distB="0" distL="0" distR="0" wp14:anchorId="71D53C1E" wp14:editId="1C70324D">
            <wp:extent cx="5303520" cy="3537237"/>
            <wp:effectExtent l="0" t="0" r="0" b="0"/>
            <wp:docPr id="107" name="Figure 7" descr="Diagram of a dashboard with four quadrants: financial, customer and market, process and quality, sustainability and et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fig7.png"/>
                    <pic:cNvPicPr/>
                  </pic:nvPicPr>
                  <pic:blipFill>
                    <a:blip r:embed="rId14"/>
                    <a:stretch>
                      <a:fillRect/>
                    </a:stretch>
                  </pic:blipFill>
                  <pic:spPr>
                    <a:xfrm>
                      <a:off x="0" y="0"/>
                      <a:ext cx="5303520" cy="3537237"/>
                    </a:xfrm>
                    <a:prstGeom prst="rect">
                      <a:avLst/>
                    </a:prstGeom>
                  </pic:spPr>
                </pic:pic>
              </a:graphicData>
            </a:graphic>
          </wp:inline>
        </w:drawing>
      </w:r>
    </w:p>
    <w:p w14:paraId="4FAB353F"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 xml:space="preserve">Figure 7. Proposed integrated management dashboard linking financial, customer, process and sustainability </w:t>
      </w:r>
      <w:proofErr w:type="gramStart"/>
      <w:r w:rsidRPr="00885154">
        <w:rPr>
          <w:rFonts w:ascii="Arial" w:hAnsi="Arial" w:cs="Arial"/>
          <w:sz w:val="24"/>
          <w:szCs w:val="24"/>
        </w:rPr>
        <w:t>measures</w:t>
      </w:r>
      <w:proofErr w:type="gramEnd"/>
    </w:p>
    <w:p w14:paraId="762690BE" w14:textId="77777777" w:rsidR="00A36D4E" w:rsidRPr="00885154" w:rsidRDefault="00000000" w:rsidP="00885154">
      <w:pPr>
        <w:pStyle w:val="Caption"/>
        <w:spacing w:after="200" w:line="360" w:lineRule="auto"/>
        <w:jc w:val="both"/>
        <w:rPr>
          <w:rFonts w:ascii="Arial" w:hAnsi="Arial" w:cs="Arial"/>
          <w:sz w:val="24"/>
          <w:szCs w:val="24"/>
        </w:rPr>
      </w:pPr>
      <w:r w:rsidRPr="00885154">
        <w:rPr>
          <w:rFonts w:ascii="Arial" w:hAnsi="Arial" w:cs="Arial"/>
          <w:b w:val="0"/>
          <w:bCs w:val="0"/>
          <w:i/>
          <w:iCs/>
          <w:color w:val="5B6672"/>
          <w:sz w:val="24"/>
          <w:szCs w:val="24"/>
        </w:rPr>
        <w:t>Source: Author’s own illustration, applying the balanced-scorecard logic of Kaplan and Norton (1992).</w:t>
      </w:r>
    </w:p>
    <w:p w14:paraId="408BC794" w14:textId="77777777" w:rsidR="00E334B4" w:rsidRPr="00885154" w:rsidRDefault="00000000" w:rsidP="00885154">
      <w:pPr>
        <w:pStyle w:val="Heading1"/>
        <w:spacing w:line="360" w:lineRule="auto"/>
        <w:jc w:val="both"/>
        <w:rPr>
          <w:rFonts w:ascii="Arial" w:hAnsi="Arial" w:cs="Arial"/>
          <w:sz w:val="24"/>
          <w:szCs w:val="24"/>
        </w:rPr>
      </w:pPr>
      <w:bookmarkStart w:id="5" w:name="_Toc20260006"/>
      <w:r w:rsidRPr="00885154">
        <w:rPr>
          <w:rFonts w:ascii="Arial" w:hAnsi="Arial" w:cs="Arial"/>
          <w:sz w:val="24"/>
          <w:szCs w:val="24"/>
        </w:rPr>
        <w:t>6. Conclusion and Recommendations</w:t>
      </w:r>
      <w:bookmarkEnd w:id="5"/>
    </w:p>
    <w:p w14:paraId="4D744AA9" w14:textId="77777777" w:rsidR="00E334B4" w:rsidRPr="00885154" w:rsidRDefault="00000000" w:rsidP="00885154">
      <w:pPr>
        <w:spacing w:line="360" w:lineRule="auto"/>
        <w:jc w:val="both"/>
        <w:rPr>
          <w:rFonts w:ascii="Arial" w:hAnsi="Arial" w:cs="Arial"/>
          <w:sz w:val="24"/>
          <w:szCs w:val="24"/>
        </w:rPr>
      </w:pPr>
      <w:r>
        <w:t xml:space="preserve">Toyota's FY2026 figures show the limitation of using sales growth as a stand-in for success: both revenue and vehicle volumes rose, while operating profit and margin declined. The published accounts establish the direction and size of those movements but cannot reveal which individual models or production decisions are responsible. That distinction makes contribution analysis, flexible budgets and operational indicators valuable internal tools. Cost savings also need to be </w:t>
      </w:r>
      <w:proofErr w:type="gramStart"/>
      <w:r>
        <w:t>tested</w:t>
      </w:r>
      <w:proofErr w:type="gramEnd"/>
      <w:r>
        <w:t xml:space="preserve"> against quality, supplier treatment and environmental commitments rather than evaluated in isolation. Climate risks can </w:t>
      </w:r>
      <w:proofErr w:type="gramStart"/>
      <w:r>
        <w:t>be incorporated</w:t>
      </w:r>
      <w:proofErr w:type="gramEnd"/>
      <w:r>
        <w:t xml:space="preserve"> in forward-looking financial assessments (IFRS Foundation, 2023).</w:t>
      </w:r>
    </w:p>
    <w:p w14:paraId="016123B1" w14:textId="77777777" w:rsidR="00E334B4" w:rsidRPr="00885154" w:rsidRDefault="00000000" w:rsidP="00885154">
      <w:pPr>
        <w:spacing w:line="360" w:lineRule="auto"/>
        <w:jc w:val="both"/>
        <w:rPr>
          <w:rFonts w:ascii="Arial" w:hAnsi="Arial" w:cs="Arial"/>
          <w:sz w:val="24"/>
          <w:szCs w:val="24"/>
        </w:rPr>
      </w:pPr>
      <w:r w:rsidRPr="00885154">
        <w:rPr>
          <w:rFonts w:ascii="Arial" w:hAnsi="Arial" w:cs="Arial"/>
          <w:sz w:val="24"/>
          <w:szCs w:val="24"/>
        </w:rPr>
        <w:t xml:space="preserve">Three recommendations follow. First, implement rolling, flexible budgets with separate tariff, exchange-rate, volume and controllable-cost variance reporting; this would improve accountability under volatility. Second, allocate scarce manufacturing capacity and R&amp;D through model-level contribution and lifecycle cash-flow analysis, testing hybrid and battery-electric investment under alternative demand scenarios. Third, integrate profit, </w:t>
      </w:r>
      <w:r w:rsidRPr="00885154">
        <w:rPr>
          <w:rFonts w:ascii="Arial" w:hAnsi="Arial" w:cs="Arial"/>
          <w:sz w:val="24"/>
          <w:szCs w:val="24"/>
        </w:rPr>
        <w:lastRenderedPageBreak/>
        <w:t>vehicle quality, supply-chain labour standards and lifecycle emissions into one management dashboard with clear targets and independent review. Together these measures could protect resilience without sacrificing product quality, stakeholder trust or long-term competitiveness. Figure 8 summarises how the three recommendations fit together.</w:t>
      </w:r>
    </w:p>
    <w:p w14:paraId="06A2FF2B" w14:textId="77777777" w:rsidR="00A36D4E" w:rsidRPr="00885154" w:rsidRDefault="00000000" w:rsidP="00885154">
      <w:pPr>
        <w:keepNext/>
        <w:spacing w:before="200" w:after="60" w:line="360" w:lineRule="auto"/>
        <w:jc w:val="both"/>
        <w:rPr>
          <w:rFonts w:ascii="Arial" w:hAnsi="Arial" w:cs="Arial"/>
          <w:sz w:val="24"/>
          <w:szCs w:val="24"/>
        </w:rPr>
      </w:pPr>
      <w:r w:rsidRPr="00885154">
        <w:rPr>
          <w:rFonts w:ascii="Arial" w:hAnsi="Arial" w:cs="Arial"/>
          <w:noProof/>
          <w:sz w:val="24"/>
          <w:szCs w:val="24"/>
        </w:rPr>
        <w:drawing>
          <wp:inline distT="0" distB="0" distL="0" distR="0" wp14:anchorId="174680ED" wp14:editId="06CCCC7B">
            <wp:extent cx="5669280" cy="3176794"/>
            <wp:effectExtent l="0" t="0" r="0" b="0"/>
            <wp:docPr id="108" name="Figure 8" descr="Diagram of three recommendations leading to the outcome of resilience without sacrificing quality, trust or competi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fig8.png"/>
                    <pic:cNvPicPr/>
                  </pic:nvPicPr>
                  <pic:blipFill>
                    <a:blip r:embed="rId15"/>
                    <a:stretch>
                      <a:fillRect/>
                    </a:stretch>
                  </pic:blipFill>
                  <pic:spPr>
                    <a:xfrm>
                      <a:off x="0" y="0"/>
                      <a:ext cx="5669280" cy="3176794"/>
                    </a:xfrm>
                    <a:prstGeom prst="rect">
                      <a:avLst/>
                    </a:prstGeom>
                  </pic:spPr>
                </pic:pic>
              </a:graphicData>
            </a:graphic>
          </wp:inline>
        </w:drawing>
      </w:r>
    </w:p>
    <w:p w14:paraId="3623BB23" w14:textId="77777777" w:rsidR="00A36D4E" w:rsidRPr="00885154" w:rsidRDefault="00000000" w:rsidP="00885154">
      <w:pPr>
        <w:pStyle w:val="Caption"/>
        <w:keepNext/>
        <w:spacing w:after="20" w:line="360" w:lineRule="auto"/>
        <w:jc w:val="both"/>
        <w:rPr>
          <w:rFonts w:ascii="Arial" w:hAnsi="Arial" w:cs="Arial"/>
          <w:sz w:val="24"/>
          <w:szCs w:val="24"/>
        </w:rPr>
      </w:pPr>
      <w:r w:rsidRPr="00885154">
        <w:rPr>
          <w:rFonts w:ascii="Arial" w:hAnsi="Arial" w:cs="Arial"/>
          <w:sz w:val="24"/>
          <w:szCs w:val="24"/>
        </w:rPr>
        <w:t>Figure 8. Summary of the three recommendations</w:t>
      </w:r>
    </w:p>
    <w:p w14:paraId="13CEFAA1" w14:textId="77777777" w:rsidR="00A36D4E" w:rsidRPr="00885154" w:rsidRDefault="00000000" w:rsidP="00885154">
      <w:pPr>
        <w:pStyle w:val="Caption"/>
        <w:spacing w:after="200" w:line="360" w:lineRule="auto"/>
        <w:jc w:val="both"/>
        <w:rPr>
          <w:rFonts w:ascii="Arial" w:hAnsi="Arial" w:cs="Arial"/>
          <w:sz w:val="24"/>
          <w:szCs w:val="24"/>
        </w:rPr>
      </w:pPr>
      <w:r w:rsidRPr="00885154">
        <w:rPr>
          <w:rFonts w:ascii="Arial" w:hAnsi="Arial" w:cs="Arial"/>
          <w:b w:val="0"/>
          <w:bCs w:val="0"/>
          <w:i/>
          <w:iCs/>
          <w:color w:val="5B6672"/>
          <w:sz w:val="24"/>
          <w:szCs w:val="24"/>
        </w:rPr>
        <w:t>Source: Author’s own illustration, based on the recommendations in this section.</w:t>
      </w:r>
    </w:p>
    <w:p w14:paraId="06719C9A" w14:textId="77777777" w:rsidR="00E334B4" w:rsidRPr="00885154" w:rsidRDefault="00000000" w:rsidP="00885154">
      <w:pPr>
        <w:pStyle w:val="Heading1"/>
        <w:spacing w:line="360" w:lineRule="auto"/>
        <w:jc w:val="both"/>
        <w:rPr>
          <w:rFonts w:ascii="Arial" w:hAnsi="Arial" w:cs="Arial"/>
          <w:sz w:val="24"/>
          <w:szCs w:val="24"/>
        </w:rPr>
      </w:pPr>
      <w:bookmarkStart w:id="6" w:name="_Toc20260007"/>
      <w:r w:rsidRPr="00885154">
        <w:rPr>
          <w:rFonts w:ascii="Arial" w:hAnsi="Arial" w:cs="Arial"/>
          <w:sz w:val="24"/>
          <w:szCs w:val="24"/>
        </w:rPr>
        <w:t>References</w:t>
      </w:r>
      <w:bookmarkEnd w:id="6"/>
    </w:p>
    <w:p w14:paraId="4F917691" w14:textId="77777777" w:rsidR="002F7719" w:rsidRPr="00424C85" w:rsidRDefault="00000000">
      <w:pPr>
        <w:spacing w:after="140"/>
        <w:rPr>
          <w:rFonts w:ascii="Arial" w:hAnsi="Arial" w:cs="Arial"/>
          <w:sz w:val="24"/>
          <w:szCs w:val="24"/>
        </w:rPr>
      </w:pPr>
      <w:r w:rsidRPr="00424C85">
        <w:rPr>
          <w:rFonts w:ascii="Arial" w:hAnsi="Arial" w:cs="Arial"/>
          <w:sz w:val="24"/>
          <w:szCs w:val="24"/>
        </w:rPr>
        <w:t>Atrill, P. and McLaney, E.J. (2019) Accounting and finance for non-specialists. 11th edn. Harlow: Pearson.</w:t>
      </w:r>
    </w:p>
    <w:p w14:paraId="1A7E827A" w14:textId="77777777" w:rsidR="002F7719" w:rsidRPr="00424C85" w:rsidRDefault="00000000">
      <w:pPr>
        <w:spacing w:after="140"/>
        <w:rPr>
          <w:rFonts w:ascii="Arial" w:hAnsi="Arial" w:cs="Arial"/>
          <w:sz w:val="24"/>
          <w:szCs w:val="24"/>
        </w:rPr>
      </w:pPr>
      <w:r w:rsidRPr="00424C85">
        <w:rPr>
          <w:rFonts w:ascii="Arial" w:hAnsi="Arial" w:cs="Arial"/>
          <w:sz w:val="24"/>
          <w:szCs w:val="24"/>
        </w:rPr>
        <w:t>Atrill, P. and McLaney, E.J. (2021) Management accounting for decision makers. 10th edn. Harlow: Pearson.</w:t>
      </w:r>
    </w:p>
    <w:p w14:paraId="02604815" w14:textId="77777777" w:rsidR="002F7719" w:rsidRPr="00424C85" w:rsidRDefault="00000000">
      <w:pPr>
        <w:spacing w:after="140"/>
        <w:rPr>
          <w:rFonts w:ascii="Arial" w:hAnsi="Arial" w:cs="Arial"/>
          <w:sz w:val="24"/>
          <w:szCs w:val="24"/>
        </w:rPr>
      </w:pPr>
      <w:r w:rsidRPr="00424C85">
        <w:rPr>
          <w:rFonts w:ascii="Arial" w:hAnsi="Arial" w:cs="Arial"/>
          <w:sz w:val="24"/>
          <w:szCs w:val="24"/>
        </w:rPr>
        <w:t>Drury, C. (2015) Management and cost accounting: student manual. 9th edn. Andover: Cengage Learning.</w:t>
      </w:r>
    </w:p>
    <w:p w14:paraId="42BA053A" w14:textId="77777777" w:rsidR="002F7719" w:rsidRPr="00424C85" w:rsidRDefault="00000000">
      <w:pPr>
        <w:spacing w:after="140"/>
        <w:rPr>
          <w:rFonts w:ascii="Arial" w:hAnsi="Arial" w:cs="Arial"/>
          <w:sz w:val="24"/>
          <w:szCs w:val="24"/>
        </w:rPr>
      </w:pPr>
      <w:r w:rsidRPr="00424C85">
        <w:rPr>
          <w:rFonts w:ascii="Arial" w:hAnsi="Arial" w:cs="Arial"/>
          <w:sz w:val="24"/>
          <w:szCs w:val="24"/>
        </w:rPr>
        <w:t>Global Reporting Initiative (GRI) (2021) GRI 1: Foundation 2021. Amsterdam: GRI. Available at: https://www.globalreporting.org/publications/documents/english/gri-1-foundation-2021/ (Accessed: 17 October 2026).</w:t>
      </w:r>
    </w:p>
    <w:p w14:paraId="7567535E" w14:textId="77777777" w:rsidR="002F7719" w:rsidRPr="00424C85" w:rsidRDefault="00000000">
      <w:pPr>
        <w:spacing w:after="140"/>
        <w:rPr>
          <w:rFonts w:ascii="Arial" w:hAnsi="Arial" w:cs="Arial"/>
          <w:sz w:val="24"/>
          <w:szCs w:val="24"/>
        </w:rPr>
      </w:pPr>
      <w:r w:rsidRPr="00424C85">
        <w:rPr>
          <w:rFonts w:ascii="Arial" w:hAnsi="Arial" w:cs="Arial"/>
          <w:sz w:val="24"/>
          <w:szCs w:val="24"/>
        </w:rPr>
        <w:lastRenderedPageBreak/>
        <w:t>Google Finance (2026) Toyota Motor Corp (TM): financials. Available at: https://www.google.com/finance/quote/TM:NYSE (Accessed: 17 October 2026).</w:t>
      </w:r>
    </w:p>
    <w:p w14:paraId="17F63111" w14:textId="77777777" w:rsidR="002F7719" w:rsidRPr="00424C85" w:rsidRDefault="00000000">
      <w:pPr>
        <w:spacing w:after="140"/>
        <w:rPr>
          <w:rFonts w:ascii="Arial" w:hAnsi="Arial" w:cs="Arial"/>
          <w:sz w:val="24"/>
          <w:szCs w:val="24"/>
        </w:rPr>
      </w:pPr>
      <w:r w:rsidRPr="00424C85">
        <w:rPr>
          <w:rFonts w:ascii="Arial" w:hAnsi="Arial" w:cs="Arial"/>
          <w:sz w:val="24"/>
          <w:szCs w:val="24"/>
        </w:rPr>
        <w:t>IFRS Foundation (2022) IAS 1: Presentation of Financial Statements. Available at: https://www.ifrs.org/content/dam/ifrs/publications/pdf-standards/english/2022/issued/part-a/ias-1-presentation-of-financial-statements.pdf (Accessed: 17 October 2026).</w:t>
      </w:r>
    </w:p>
    <w:p w14:paraId="5AC50CA6" w14:textId="77777777" w:rsidR="002F7719" w:rsidRPr="00424C85" w:rsidRDefault="00000000">
      <w:pPr>
        <w:spacing w:after="140"/>
        <w:rPr>
          <w:rFonts w:ascii="Arial" w:hAnsi="Arial" w:cs="Arial"/>
          <w:sz w:val="24"/>
          <w:szCs w:val="24"/>
        </w:rPr>
      </w:pPr>
      <w:r w:rsidRPr="00424C85">
        <w:rPr>
          <w:rFonts w:ascii="Arial" w:hAnsi="Arial" w:cs="Arial"/>
          <w:sz w:val="24"/>
          <w:szCs w:val="24"/>
        </w:rPr>
        <w:t>IFRS Foundation (2023) IFRS S2 Climate-related Disclosures. London: IFRS Foundation. Available at: https://www.ifrs.org/supporting-implementation/supporting-materials-for-ifrs-sustainability-disclosure-standards/ifrs-s2/ (Accessed: 17 October 2026).</w:t>
      </w:r>
    </w:p>
    <w:p w14:paraId="54833457" w14:textId="77777777" w:rsidR="002F7719" w:rsidRPr="00424C85" w:rsidRDefault="00000000">
      <w:pPr>
        <w:spacing w:after="140"/>
        <w:rPr>
          <w:rFonts w:ascii="Arial" w:hAnsi="Arial" w:cs="Arial"/>
          <w:sz w:val="24"/>
          <w:szCs w:val="24"/>
        </w:rPr>
      </w:pPr>
      <w:r w:rsidRPr="00424C85">
        <w:rPr>
          <w:rFonts w:ascii="Arial" w:hAnsi="Arial" w:cs="Arial"/>
          <w:sz w:val="24"/>
          <w:szCs w:val="24"/>
        </w:rPr>
        <w:t>International Energy Agency (IEA) (2025) Global EV Outlook 2025. Paris: IEA. Available at: https://www.iea.org/reports/global-ev-outlook-2025 (Accessed: 17 October 2026).</w:t>
      </w:r>
    </w:p>
    <w:p w14:paraId="487BC6FF" w14:textId="77777777" w:rsidR="002F7719" w:rsidRPr="00424C85" w:rsidRDefault="00000000">
      <w:pPr>
        <w:spacing w:after="140"/>
        <w:rPr>
          <w:rFonts w:ascii="Arial" w:hAnsi="Arial" w:cs="Arial"/>
          <w:sz w:val="24"/>
          <w:szCs w:val="24"/>
        </w:rPr>
      </w:pPr>
      <w:r w:rsidRPr="00424C85">
        <w:rPr>
          <w:rFonts w:ascii="Arial" w:hAnsi="Arial" w:cs="Arial"/>
          <w:sz w:val="24"/>
          <w:szCs w:val="24"/>
        </w:rPr>
        <w:t>International Organization for Standardization (ISO) (2006) ISO 14040:2006 Environmental management — Life cycle assessment — Principles and framework. Geneva: ISO. Available at: https://www.iso.org/standard/37456.html (Accessed: 17 October 2026).</w:t>
      </w:r>
    </w:p>
    <w:p w14:paraId="4F8DF2DC" w14:textId="77777777" w:rsidR="002F7719" w:rsidRPr="00424C85" w:rsidRDefault="00000000">
      <w:pPr>
        <w:spacing w:after="140"/>
        <w:rPr>
          <w:rFonts w:ascii="Arial" w:hAnsi="Arial" w:cs="Arial"/>
          <w:sz w:val="24"/>
          <w:szCs w:val="24"/>
        </w:rPr>
      </w:pPr>
      <w:r w:rsidRPr="00424C85">
        <w:rPr>
          <w:rFonts w:ascii="Arial" w:hAnsi="Arial" w:cs="Arial"/>
          <w:sz w:val="24"/>
          <w:szCs w:val="24"/>
        </w:rPr>
        <w:t>Kaplan, R.S. and Norton, D.P. (1992) ‘The balanced scorecard—measures that drive performance’, Harvard Business Review, 70(1), pp. 71–79. Available at: https://hbr.org/1992/01/the-balanced-scorecard-measures-that-drive-performance-2 (Accessed: 17 October 2026).</w:t>
      </w:r>
    </w:p>
    <w:p w14:paraId="13AAD40A" w14:textId="77777777" w:rsidR="002F7719" w:rsidRPr="00424C85" w:rsidRDefault="00000000">
      <w:pPr>
        <w:spacing w:after="140"/>
        <w:rPr>
          <w:rFonts w:ascii="Arial" w:hAnsi="Arial" w:cs="Arial"/>
          <w:sz w:val="24"/>
          <w:szCs w:val="24"/>
        </w:rPr>
      </w:pPr>
      <w:r w:rsidRPr="00424C85">
        <w:rPr>
          <w:rFonts w:ascii="Arial" w:hAnsi="Arial" w:cs="Arial"/>
          <w:sz w:val="24"/>
          <w:szCs w:val="24"/>
        </w:rPr>
        <w:t>Organisation for Economic Co-operation and Development (OECD) (2018) OECD Due Diligence Guidance for Responsible Business Conduct. Paris: OECD Publishing. Available at: https://doi.org/10.1787/15f5f4b3-en (Accessed: 17 October 2026).</w:t>
      </w:r>
    </w:p>
    <w:p w14:paraId="1B954F9D" w14:textId="77777777" w:rsidR="002F7719" w:rsidRPr="00424C85" w:rsidRDefault="00000000">
      <w:pPr>
        <w:spacing w:after="140"/>
        <w:rPr>
          <w:rFonts w:ascii="Arial" w:hAnsi="Arial" w:cs="Arial"/>
          <w:sz w:val="24"/>
          <w:szCs w:val="24"/>
        </w:rPr>
      </w:pPr>
      <w:r w:rsidRPr="00424C85">
        <w:rPr>
          <w:rFonts w:ascii="Arial" w:hAnsi="Arial" w:cs="Arial"/>
          <w:sz w:val="24"/>
          <w:szCs w:val="24"/>
        </w:rPr>
        <w:t>Simons, R. (1995) Levers of Control: How Managers Use Innovative Control Systems to Drive Strategic Renewal. Boston, MA: Harvard Business School Press.</w:t>
      </w:r>
    </w:p>
    <w:p w14:paraId="4A1BF48E" w14:textId="77777777" w:rsidR="002F7719" w:rsidRPr="00424C85" w:rsidRDefault="00000000">
      <w:pPr>
        <w:spacing w:after="140"/>
        <w:rPr>
          <w:rFonts w:ascii="Arial" w:hAnsi="Arial" w:cs="Arial"/>
          <w:sz w:val="24"/>
          <w:szCs w:val="24"/>
        </w:rPr>
      </w:pPr>
      <w:r w:rsidRPr="00424C85">
        <w:rPr>
          <w:rFonts w:ascii="Arial" w:hAnsi="Arial" w:cs="Arial"/>
          <w:sz w:val="24"/>
          <w:szCs w:val="24"/>
        </w:rPr>
        <w:t>Toyota (GB) PLC and Toyota Financial Services (UK) PLC (2026) Modern Slavery Statement 2026. Available at: https://www.toyota.co.uk/footer/legal (Accessed: 17 October 2026).</w:t>
      </w:r>
    </w:p>
    <w:p w14:paraId="2D81C01B" w14:textId="77777777" w:rsidR="002F7719" w:rsidRPr="00424C85" w:rsidRDefault="00000000">
      <w:pPr>
        <w:spacing w:after="140"/>
        <w:rPr>
          <w:rFonts w:ascii="Arial" w:hAnsi="Arial" w:cs="Arial"/>
          <w:sz w:val="24"/>
          <w:szCs w:val="24"/>
        </w:rPr>
      </w:pPr>
      <w:r w:rsidRPr="00424C85">
        <w:rPr>
          <w:rFonts w:ascii="Arial" w:hAnsi="Arial" w:cs="Arial"/>
          <w:sz w:val="24"/>
          <w:szCs w:val="24"/>
        </w:rPr>
        <w:t>Toyota Motor Corporation (2023) Electrified technologies: batteries, fundamental technologies to innovate BEV. Available at: https://global.toyota/en/newsroom/corporate/39330500.html (Accessed: 17 October 2026).</w:t>
      </w:r>
    </w:p>
    <w:p w14:paraId="65B3A173" w14:textId="77777777" w:rsidR="002F7719" w:rsidRPr="00424C85" w:rsidRDefault="00000000">
      <w:pPr>
        <w:spacing w:after="140"/>
        <w:rPr>
          <w:rFonts w:ascii="Arial" w:hAnsi="Arial" w:cs="Arial"/>
          <w:sz w:val="24"/>
          <w:szCs w:val="24"/>
        </w:rPr>
      </w:pPr>
      <w:r w:rsidRPr="00424C85">
        <w:rPr>
          <w:rFonts w:ascii="Arial" w:hAnsi="Arial" w:cs="Arial"/>
          <w:sz w:val="24"/>
          <w:szCs w:val="24"/>
        </w:rPr>
        <w:t>Toyota Motor Corporation (2024) Toyota Submits Report on Measures to Prevent Recurrence. Available at: https://global.toyota/en/newsroom/corporate/41363981.html (Accessed: 17 October 2026).</w:t>
      </w:r>
    </w:p>
    <w:p w14:paraId="3745AA38" w14:textId="77777777" w:rsidR="002F7719" w:rsidRPr="00424C85" w:rsidRDefault="00000000">
      <w:pPr>
        <w:spacing w:after="140"/>
        <w:rPr>
          <w:rFonts w:ascii="Arial" w:hAnsi="Arial" w:cs="Arial"/>
          <w:sz w:val="24"/>
          <w:szCs w:val="24"/>
        </w:rPr>
      </w:pPr>
      <w:r w:rsidRPr="00424C85">
        <w:rPr>
          <w:rFonts w:ascii="Arial" w:hAnsi="Arial" w:cs="Arial"/>
          <w:sz w:val="24"/>
          <w:szCs w:val="24"/>
        </w:rPr>
        <w:t>Toyota Motor Corporation (2025) TMC’s FY2025 Financial Results Press Briefing, 8 May. Available at: https://global.toyota/en/newsroom/corporate/42662292.html (Accessed: 17 October 2026).</w:t>
      </w:r>
    </w:p>
    <w:p w14:paraId="06A00056" w14:textId="77777777" w:rsidR="002F7719" w:rsidRPr="00424C85" w:rsidRDefault="00000000">
      <w:pPr>
        <w:spacing w:after="140"/>
        <w:rPr>
          <w:rFonts w:ascii="Arial" w:hAnsi="Arial" w:cs="Arial"/>
          <w:sz w:val="24"/>
          <w:szCs w:val="24"/>
        </w:rPr>
      </w:pPr>
      <w:r w:rsidRPr="00424C85">
        <w:rPr>
          <w:rFonts w:ascii="Arial" w:hAnsi="Arial" w:cs="Arial"/>
          <w:sz w:val="24"/>
          <w:szCs w:val="24"/>
        </w:rPr>
        <w:lastRenderedPageBreak/>
        <w:t>Toyota Motor Corporation (2026) FY2026 Consolidated Financial Results. Available at: https://www2.jpx.co.jp/disc/72030/140120260506517375.pdf (Accessed: 17 October 2026).</w:t>
      </w:r>
    </w:p>
    <w:p w14:paraId="43399C7D" w14:textId="77777777" w:rsidR="002F7719" w:rsidRPr="00424C85" w:rsidRDefault="00000000">
      <w:pPr>
        <w:spacing w:after="140"/>
        <w:rPr>
          <w:rFonts w:ascii="Arial" w:hAnsi="Arial" w:cs="Arial"/>
          <w:sz w:val="24"/>
          <w:szCs w:val="24"/>
        </w:rPr>
      </w:pPr>
      <w:r w:rsidRPr="00424C85">
        <w:rPr>
          <w:rFonts w:ascii="Arial" w:hAnsi="Arial" w:cs="Arial"/>
          <w:sz w:val="24"/>
          <w:szCs w:val="24"/>
        </w:rPr>
        <w:t>Toyota Motor Corporation (2026) FY2026 Financial Results. Available at: https://global.toyota/pages/global_toyota/ir/financial-results/2026_4q_presentation_2_en.pdf (Accessed: 17 October 2026).</w:t>
      </w:r>
    </w:p>
    <w:p w14:paraId="1435388F" w14:textId="77777777" w:rsidR="002F7719" w:rsidRPr="00424C85" w:rsidRDefault="00000000">
      <w:pPr>
        <w:spacing w:after="140"/>
        <w:rPr>
          <w:rFonts w:ascii="Arial" w:hAnsi="Arial" w:cs="Arial"/>
          <w:sz w:val="24"/>
          <w:szCs w:val="24"/>
        </w:rPr>
      </w:pPr>
      <w:r w:rsidRPr="00424C85">
        <w:rPr>
          <w:rFonts w:ascii="Arial" w:hAnsi="Arial" w:cs="Arial"/>
          <w:sz w:val="24"/>
          <w:szCs w:val="24"/>
        </w:rPr>
        <w:t>Toyota Motor North America (2025) Toyota releases 2025 North American Environmental Sustainability Report, 3 December. Available at: https://pressroom.toyota.com/toyota-releases-2025-north-american-environmental-sustainability-report/ (Accessed: 17 October 2026).</w:t>
      </w:r>
    </w:p>
    <w:p w14:paraId="58C794EC" w14:textId="77777777" w:rsidR="002F7719" w:rsidRPr="00424C85" w:rsidRDefault="00000000">
      <w:pPr>
        <w:spacing w:after="140"/>
        <w:rPr>
          <w:rFonts w:ascii="Arial" w:hAnsi="Arial" w:cs="Arial"/>
          <w:sz w:val="24"/>
          <w:szCs w:val="24"/>
        </w:rPr>
      </w:pPr>
      <w:r w:rsidRPr="00424C85">
        <w:rPr>
          <w:rFonts w:ascii="Arial" w:hAnsi="Arial" w:cs="Arial"/>
          <w:sz w:val="24"/>
          <w:szCs w:val="24"/>
        </w:rPr>
        <w:t>Weetman, P. (2013) Financial and management accounting: an introduction. 6th edn. Harlow: Pearson Education.</w:t>
      </w:r>
    </w:p>
    <w:sectPr w:rsidR="002F7719" w:rsidRPr="00424C85" w:rsidSect="00034616">
      <w:headerReference w:type="default" r:id="rId16"/>
      <w:pgSz w:w="12240" w:h="15840"/>
      <w:pgMar w:top="1152" w:right="1296" w:bottom="1080" w:left="1296"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F66C25" w14:textId="77777777" w:rsidR="007C7F11" w:rsidRDefault="007C7F11">
      <w:pPr>
        <w:spacing w:after="0" w:line="240" w:lineRule="auto"/>
      </w:pPr>
      <w:r>
        <w:separator/>
      </w:r>
    </w:p>
  </w:endnote>
  <w:endnote w:type="continuationSeparator" w:id="0">
    <w:p w14:paraId="6465F692" w14:textId="77777777" w:rsidR="007C7F11" w:rsidRDefault="007C7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50CF43" w14:textId="77777777" w:rsidR="007C7F11" w:rsidRDefault="007C7F11">
      <w:pPr>
        <w:spacing w:after="0" w:line="240" w:lineRule="auto"/>
      </w:pPr>
      <w:r>
        <w:separator/>
      </w:r>
    </w:p>
  </w:footnote>
  <w:footnote w:type="continuationSeparator" w:id="0">
    <w:p w14:paraId="3FADB1F9" w14:textId="77777777" w:rsidR="007C7F11" w:rsidRDefault="007C7F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4"/>
        <w:szCs w:val="24"/>
      </w:rPr>
      <w:id w:val="-332071792"/>
      <w:docPartObj>
        <w:docPartGallery w:val="Page Numbers (Top of Page)"/>
        <w:docPartUnique/>
      </w:docPartObj>
    </w:sdtPr>
    <w:sdtEndPr>
      <w:rPr>
        <w:color w:val="7F7F7F" w:themeColor="background1" w:themeShade="7F"/>
        <w:spacing w:val="60"/>
        <w:lang w:val="en-GB"/>
      </w:rPr>
    </w:sdtEndPr>
    <w:sdtContent>
      <w:p w14:paraId="2C2867F2" w14:textId="77777777" w:rsidR="00885154" w:rsidRPr="00424C85" w:rsidRDefault="00885154" w:rsidP="00424C85">
        <w:pPr>
          <w:pStyle w:val="Header"/>
          <w:pBdr>
            <w:bottom w:val="single" w:sz="4" w:space="1" w:color="D9D9D9" w:themeColor="background1" w:themeShade="D9"/>
          </w:pBdr>
          <w:spacing w:line="360" w:lineRule="auto"/>
          <w:jc w:val="both"/>
          <w:rPr>
            <w:rFonts w:ascii="Arial" w:hAnsi="Arial" w:cs="Arial"/>
            <w:b/>
            <w:bCs/>
            <w:sz w:val="24"/>
            <w:szCs w:val="24"/>
          </w:rPr>
        </w:pPr>
        <w:r w:rsidRPr="00424C85">
          <w:rPr>
            <w:rFonts w:ascii="Arial" w:hAnsi="Arial" w:cs="Arial"/>
            <w:sz w:val="24"/>
            <w:szCs w:val="24"/>
          </w:rPr>
          <w:fldChar w:fldCharType="begin"/>
        </w:r>
        <w:r w:rsidRPr="00424C85">
          <w:rPr>
            <w:rFonts w:ascii="Arial" w:hAnsi="Arial" w:cs="Arial"/>
            <w:sz w:val="24"/>
            <w:szCs w:val="24"/>
          </w:rPr>
          <w:instrText>PAGE   \* MERGEFORMAT</w:instrText>
        </w:r>
        <w:r w:rsidRPr="00424C85">
          <w:rPr>
            <w:rFonts w:ascii="Arial" w:hAnsi="Arial" w:cs="Arial"/>
            <w:sz w:val="24"/>
            <w:szCs w:val="24"/>
          </w:rPr>
          <w:fldChar w:fldCharType="separate"/>
        </w:r>
        <w:r w:rsidRPr="00424C85">
          <w:rPr>
            <w:rFonts w:ascii="Arial" w:hAnsi="Arial" w:cs="Arial"/>
            <w:b/>
            <w:bCs/>
            <w:sz w:val="24"/>
            <w:szCs w:val="24"/>
            <w:lang w:val="en-GB"/>
          </w:rPr>
          <w:t>2</w:t>
        </w:r>
        <w:r w:rsidRPr="00424C85">
          <w:rPr>
            <w:rFonts w:ascii="Arial" w:hAnsi="Arial" w:cs="Arial"/>
            <w:b/>
            <w:bCs/>
            <w:sz w:val="24"/>
            <w:szCs w:val="24"/>
          </w:rPr>
          <w:fldChar w:fldCharType="end"/>
        </w:r>
        <w:r w:rsidRPr="00424C85">
          <w:rPr>
            <w:rFonts w:ascii="Arial" w:hAnsi="Arial" w:cs="Arial"/>
            <w:b/>
            <w:bCs/>
            <w:sz w:val="24"/>
            <w:szCs w:val="24"/>
            <w:lang w:val="en-GB"/>
          </w:rPr>
          <w:t xml:space="preserve"> | </w:t>
        </w:r>
        <w:r w:rsidRPr="00424C85">
          <w:rPr>
            <w:rFonts w:ascii="Arial" w:hAnsi="Arial" w:cs="Arial"/>
            <w:color w:val="7F7F7F" w:themeColor="background1" w:themeShade="7F"/>
            <w:spacing w:val="60"/>
            <w:sz w:val="24"/>
            <w:szCs w:val="24"/>
            <w:lang w:val="en-GB"/>
          </w:rPr>
          <w:t>Page</w:t>
        </w:r>
      </w:p>
    </w:sdtContent>
  </w:sdt>
  <w:p w14:paraId="2528792C" w14:textId="77777777" w:rsidR="00885154" w:rsidRPr="00424C85" w:rsidRDefault="00885154" w:rsidP="00424C85">
    <w:pPr>
      <w:pStyle w:val="Header"/>
      <w:spacing w:line="360" w:lineRule="auto"/>
      <w:jc w:val="both"/>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3A0EAC"/>
    <w:multiLevelType w:val="hybridMultilevel"/>
    <w:tmpl w:val="36081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4192469">
    <w:abstractNumId w:val="8"/>
  </w:num>
  <w:num w:numId="2" w16cid:durableId="391736117">
    <w:abstractNumId w:val="6"/>
  </w:num>
  <w:num w:numId="3" w16cid:durableId="1696542015">
    <w:abstractNumId w:val="5"/>
  </w:num>
  <w:num w:numId="4" w16cid:durableId="2111394141">
    <w:abstractNumId w:val="4"/>
  </w:num>
  <w:num w:numId="5" w16cid:durableId="688264518">
    <w:abstractNumId w:val="7"/>
  </w:num>
  <w:num w:numId="6" w16cid:durableId="1375734000">
    <w:abstractNumId w:val="3"/>
  </w:num>
  <w:num w:numId="7" w16cid:durableId="1136794352">
    <w:abstractNumId w:val="2"/>
  </w:num>
  <w:num w:numId="8" w16cid:durableId="72777343">
    <w:abstractNumId w:val="1"/>
  </w:num>
  <w:num w:numId="9" w16cid:durableId="1598908900">
    <w:abstractNumId w:val="0"/>
  </w:num>
  <w:num w:numId="10" w16cid:durableId="6919537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7C07"/>
    <w:rsid w:val="0015074B"/>
    <w:rsid w:val="00246977"/>
    <w:rsid w:val="0029639D"/>
    <w:rsid w:val="002F7719"/>
    <w:rsid w:val="00326F90"/>
    <w:rsid w:val="00424C85"/>
    <w:rsid w:val="00643F94"/>
    <w:rsid w:val="006A7710"/>
    <w:rsid w:val="0079084F"/>
    <w:rsid w:val="007C7F11"/>
    <w:rsid w:val="00885154"/>
    <w:rsid w:val="009E5242"/>
    <w:rsid w:val="00A36D4E"/>
    <w:rsid w:val="00AA1D8D"/>
    <w:rsid w:val="00B47730"/>
    <w:rsid w:val="00CB0664"/>
    <w:rsid w:val="00E334B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629E83"/>
  <w14:defaultImageDpi w14:val="300"/>
  <w15:docId w15:val="{DF9810C3-2656-4073-9A0F-F8DA12FF1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D3E5D"/>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D3E5D"/>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D3E5D"/>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pPr>
      <w:tabs>
        <w:tab w:val="right" w:leader="dot" w:pos="9638"/>
      </w:tabs>
      <w:spacing w:after="140" w:line="360" w:lineRule="auto"/>
    </w:pPr>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3636</Words>
  <Characters>20727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Ateeq Rehman</cp:lastModifiedBy>
  <cp:revision>2</cp:revision>
  <dcterms:created xsi:type="dcterms:W3CDTF">2026-10-17T19:19:00Z</dcterms:created>
  <dcterms:modified xsi:type="dcterms:W3CDTF">2026-10-17T19:19:00Z</dcterms:modified>
  <cp:category/>
</cp:coreProperties>
</file>