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491" w:rsidRDefault="00985698">
      <w:r>
        <w:t xml:space="preserve">This reflection is a critical evaluation based on </w:t>
      </w:r>
      <w:r w:rsidR="008D57DA">
        <w:t>my</w:t>
      </w:r>
      <w:r>
        <w:t xml:space="preserve"> micro- teaching lesson which I have p</w:t>
      </w:r>
      <w:r w:rsidR="005A7AA1">
        <w:t>l</w:t>
      </w:r>
      <w:r>
        <w:t xml:space="preserve">anned, designed and delivered. </w:t>
      </w:r>
      <w:r w:rsidR="00453F65">
        <w:t>This micro- teaching session was Welsh in the workplace, aimed to give the learner an understanding of the importance of bilingualism in the workplace (Welsh), with the following learning objectives:</w:t>
      </w:r>
    </w:p>
    <w:p w:rsidR="00985698" w:rsidRDefault="00985698" w:rsidP="00985698">
      <w:pPr>
        <w:pStyle w:val="ListParagraph"/>
        <w:numPr>
          <w:ilvl w:val="0"/>
          <w:numId w:val="1"/>
        </w:numPr>
      </w:pPr>
      <w:r>
        <w:t xml:space="preserve">Describe the importance of the </w:t>
      </w:r>
      <w:r w:rsidR="008D57DA">
        <w:t>Welsh</w:t>
      </w:r>
      <w:r>
        <w:t xml:space="preserve"> language in the workplace</w:t>
      </w:r>
    </w:p>
    <w:p w:rsidR="00985698" w:rsidRDefault="00985698" w:rsidP="00985698">
      <w:pPr>
        <w:pStyle w:val="ListParagraph"/>
        <w:numPr>
          <w:ilvl w:val="0"/>
          <w:numId w:val="1"/>
        </w:numPr>
      </w:pPr>
      <w:r>
        <w:t xml:space="preserve">Show </w:t>
      </w:r>
      <w:r w:rsidR="008D57DA">
        <w:t>an understanding</w:t>
      </w:r>
      <w:r>
        <w:t xml:space="preserve"> of </w:t>
      </w:r>
      <w:r w:rsidR="008D57DA">
        <w:t>legislation</w:t>
      </w:r>
      <w:r>
        <w:t xml:space="preserve"> implemented by Welsh Assembly Government (WAG) to support the Welsh language</w:t>
      </w:r>
    </w:p>
    <w:p w:rsidR="00985698" w:rsidRDefault="00985698" w:rsidP="00985698">
      <w:pPr>
        <w:pStyle w:val="ListParagraph"/>
        <w:numPr>
          <w:ilvl w:val="0"/>
          <w:numId w:val="1"/>
        </w:numPr>
      </w:pPr>
      <w:r>
        <w:t>Say 5 Welsh words</w:t>
      </w:r>
    </w:p>
    <w:p w:rsidR="00985698" w:rsidRDefault="00985698" w:rsidP="00985698">
      <w:pPr>
        <w:pStyle w:val="ListParagraph"/>
        <w:numPr>
          <w:ilvl w:val="0"/>
          <w:numId w:val="1"/>
        </w:numPr>
      </w:pPr>
      <w:r>
        <w:t>Repeat 2 sentences in Welsh</w:t>
      </w:r>
    </w:p>
    <w:p w:rsidR="00DC184E" w:rsidRDefault="00DC184E" w:rsidP="00985698">
      <w:r>
        <w:t>A</w:t>
      </w:r>
      <w:r w:rsidR="00985698">
        <w:t xml:space="preserve">s part of my planning and designing, I was required to include a variety of contemporary pedagogies and an appropriate cross cutting theme. </w:t>
      </w:r>
      <w:bookmarkStart w:id="0" w:name="_Hlk498858431"/>
      <w:r w:rsidR="00D6785A">
        <w:t xml:space="preserve">(A1) </w:t>
      </w:r>
      <w:r w:rsidR="00061810">
        <w:t xml:space="preserve"> (A4) (K1) </w:t>
      </w:r>
      <w:r>
        <w:t xml:space="preserve"> </w:t>
      </w:r>
    </w:p>
    <w:p w:rsidR="00F91B71" w:rsidRDefault="008D57DA" w:rsidP="00985698">
      <w:r>
        <w:t>Contemporary</w:t>
      </w:r>
      <w:r w:rsidR="00FE7967">
        <w:t xml:space="preserve"> pedagogies </w:t>
      </w:r>
      <w:r w:rsidR="00DC184E">
        <w:t>are</w:t>
      </w:r>
      <w:r w:rsidR="00FE7967">
        <w:t xml:space="preserve"> activities which draw upon </w:t>
      </w:r>
      <w:r>
        <w:t>student’s</w:t>
      </w:r>
      <w:r w:rsidR="00FE7967">
        <w:t xml:space="preserve"> experiences, both in and out of the classroom</w:t>
      </w:r>
      <w:r w:rsidR="00F91B71">
        <w:t xml:space="preserve"> to provide meaningful learning experiences</w:t>
      </w:r>
      <w:r w:rsidR="00FE7967">
        <w:t>.</w:t>
      </w:r>
      <w:r w:rsidR="00F91B71">
        <w:t xml:space="preserve"> This method of teaching is essential for those who are </w:t>
      </w:r>
      <w:r w:rsidR="00E07B45">
        <w:t>experiential</w:t>
      </w:r>
      <w:r w:rsidR="00F91B71">
        <w:t xml:space="preserve"> learners, this is significant for </w:t>
      </w:r>
      <w:r w:rsidR="00A16070">
        <w:t>me</w:t>
      </w:r>
      <w:r w:rsidR="00F91B71">
        <w:t xml:space="preserve"> as feedback and reflection has led me to identify as an experiential </w:t>
      </w:r>
      <w:r w:rsidR="00B50C2D">
        <w:t>learner.</w:t>
      </w:r>
      <w:r w:rsidR="00FE7967">
        <w:t xml:space="preserve"> </w:t>
      </w:r>
      <w:r w:rsidR="00F91B71">
        <w:t xml:space="preserve">In a classroom activity for this element of </w:t>
      </w:r>
      <w:r w:rsidR="004D6801">
        <w:t>the</w:t>
      </w:r>
      <w:r w:rsidR="00F91B71">
        <w:t xml:space="preserve"> course, we identified everyone to their </w:t>
      </w:r>
      <w:r w:rsidR="00E07B45">
        <w:t>different</w:t>
      </w:r>
      <w:r w:rsidR="00F91B71">
        <w:t xml:space="preserve"> learning styles through the use of Honey and </w:t>
      </w:r>
      <w:r w:rsidR="00E07B45">
        <w:t>Mumford’s</w:t>
      </w:r>
      <w:r w:rsidR="00F91B71">
        <w:t xml:space="preserve"> questionnaire (see app</w:t>
      </w:r>
      <w:r w:rsidR="005622A4">
        <w:t xml:space="preserve">endix </w:t>
      </w:r>
      <w:r w:rsidR="00F91B71">
        <w:t>1), the information from this was that the majority of the</w:t>
      </w:r>
      <w:r w:rsidR="004D6801">
        <w:t xml:space="preserve"> group were activists, with this information in mind, I was able to combine this with the use of Bloom`s revised taxonomy and start to design my session to meet the lower order of thinking and the learners own preferred learning style. </w:t>
      </w:r>
      <w:r w:rsidR="00A36BF1">
        <w:t xml:space="preserve"> As</w:t>
      </w:r>
      <w:r w:rsidR="00F91B71">
        <w:t xml:space="preserve"> I planned and designed my micro- teaching session this information was vital when considering how to deliver and what activities I would use, to maximise the learners experience.</w:t>
      </w:r>
      <w:r w:rsidR="00061810">
        <w:t xml:space="preserve"> (K1) (A2) (A5) (V3)</w:t>
      </w:r>
    </w:p>
    <w:p w:rsidR="00A36BF1" w:rsidRDefault="00EA3E94" w:rsidP="00A36BF1">
      <w:r>
        <w:t>Contemporary pedagogies are</w:t>
      </w:r>
      <w:r w:rsidR="00FE7967">
        <w:t xml:space="preserve"> aimed at helping learners recognise that they are developing specific skills which they </w:t>
      </w:r>
      <w:r>
        <w:t>consider significant</w:t>
      </w:r>
      <w:r w:rsidR="00FE7967">
        <w:t xml:space="preserve"> for their own personal development and lives</w:t>
      </w:r>
      <w:r w:rsidR="00166604">
        <w:t>.</w:t>
      </w:r>
      <w:r w:rsidR="00166604" w:rsidRPr="00166604">
        <w:t xml:space="preserve"> </w:t>
      </w:r>
      <w:r w:rsidR="00166604">
        <w:t>Contemporary learning is used to represent a wide variety of teaching elements, intended to bring the modern world into the classroom</w:t>
      </w:r>
      <w:r w:rsidR="00FE7967">
        <w:t xml:space="preserve"> </w:t>
      </w:r>
      <w:bookmarkEnd w:id="0"/>
      <w:sdt>
        <w:sdtPr>
          <w:id w:val="1395620163"/>
          <w:citation/>
        </w:sdtPr>
        <w:sdtContent>
          <w:r w:rsidR="00E20F94">
            <w:fldChar w:fldCharType="begin"/>
          </w:r>
          <w:r w:rsidR="004B111E">
            <w:instrText xml:space="preserve">CITATION Web06 \l 2057 </w:instrText>
          </w:r>
          <w:r w:rsidR="00E20F94">
            <w:fldChar w:fldCharType="separate"/>
          </w:r>
          <w:r w:rsidR="00033BD3">
            <w:rPr>
              <w:noProof/>
            </w:rPr>
            <w:t>(Weber, 2006)</w:t>
          </w:r>
          <w:r w:rsidR="00E20F94">
            <w:fldChar w:fldCharType="end"/>
          </w:r>
        </w:sdtContent>
      </w:sdt>
      <w:r w:rsidR="00166604">
        <w:t>.</w:t>
      </w:r>
      <w:r>
        <w:t xml:space="preserve"> </w:t>
      </w:r>
      <w:r w:rsidR="00FE7967">
        <w:t xml:space="preserve"> </w:t>
      </w:r>
      <w:r w:rsidR="00166604">
        <w:t>W</w:t>
      </w:r>
      <w:r w:rsidR="00FE7967">
        <w:t xml:space="preserve">hat should be learned in education as well as in </w:t>
      </w:r>
      <w:r w:rsidR="00DC184E">
        <w:t>work life and within society,</w:t>
      </w:r>
      <w:r w:rsidR="00FE7967">
        <w:t xml:space="preserve"> should be a </w:t>
      </w:r>
      <w:r>
        <w:t xml:space="preserve">variety </w:t>
      </w:r>
      <w:r w:rsidR="00FE7967">
        <w:t xml:space="preserve"> of traditional and up to date knowledge, combined with professional and </w:t>
      </w:r>
      <w:r w:rsidR="008D57DA">
        <w:t>everyday</w:t>
      </w:r>
      <w:r w:rsidR="00FE7967">
        <w:t xml:space="preserve"> </w:t>
      </w:r>
      <w:r w:rsidR="008D57DA">
        <w:t>life skills</w:t>
      </w:r>
      <w:r w:rsidR="00FE7967">
        <w:t xml:space="preserve">, </w:t>
      </w:r>
      <w:r w:rsidR="00DC184E">
        <w:t xml:space="preserve">with the addition of </w:t>
      </w:r>
      <w:r w:rsidR="00FE7967">
        <w:t xml:space="preserve"> a broad range of personal qualities</w:t>
      </w:r>
      <w:r w:rsidR="00DC184E">
        <w:t xml:space="preserve"> learned</w:t>
      </w:r>
      <w:r w:rsidR="00FE7967">
        <w:t xml:space="preserve"> </w:t>
      </w:r>
      <w:sdt>
        <w:sdtPr>
          <w:id w:val="-42524254"/>
          <w:citation/>
        </w:sdtPr>
        <w:sdtContent>
          <w:r w:rsidR="00E20F94">
            <w:fldChar w:fldCharType="begin"/>
          </w:r>
          <w:r w:rsidR="00166604">
            <w:instrText xml:space="preserve"> CITATION Ill03 \l 2057 </w:instrText>
          </w:r>
          <w:r w:rsidR="00E20F94">
            <w:fldChar w:fldCharType="separate"/>
          </w:r>
          <w:r w:rsidR="00033BD3">
            <w:rPr>
              <w:noProof/>
            </w:rPr>
            <w:t>(Illeris, 2003)</w:t>
          </w:r>
          <w:r w:rsidR="00E20F94">
            <w:fldChar w:fldCharType="end"/>
          </w:r>
        </w:sdtContent>
      </w:sdt>
      <w:r w:rsidR="00FE7967">
        <w:t>.</w:t>
      </w:r>
      <w:r>
        <w:t xml:space="preserve"> </w:t>
      </w:r>
      <w:r w:rsidR="00DC184E">
        <w:t>Illeris (2003) defined l</w:t>
      </w:r>
      <w:r w:rsidR="00FE7967">
        <w:t xml:space="preserve">earning </w:t>
      </w:r>
      <w:r w:rsidR="00DC184E">
        <w:t>as</w:t>
      </w:r>
      <w:r w:rsidR="00FE7967">
        <w:t xml:space="preserve"> </w:t>
      </w:r>
      <w:r w:rsidR="008D57DA">
        <w:t>a very complex process</w:t>
      </w:r>
      <w:r w:rsidR="00FE7967">
        <w:t>, involving both biologically</w:t>
      </w:r>
      <w:r w:rsidR="001F453F">
        <w:t xml:space="preserve"> </w:t>
      </w:r>
      <w:r w:rsidR="008D57DA">
        <w:t>founded,</w:t>
      </w:r>
      <w:r w:rsidR="001F453F">
        <w:t xml:space="preserve"> psychological and societally founded social elements which follow </w:t>
      </w:r>
      <w:r w:rsidR="008D57DA">
        <w:t>different</w:t>
      </w:r>
      <w:r w:rsidR="001F453F">
        <w:t xml:space="preserve"> sets of logic and work together in a complex interaction </w:t>
      </w:r>
      <w:sdt>
        <w:sdtPr>
          <w:id w:val="-872142281"/>
          <w:citation/>
        </w:sdtPr>
        <w:sdtContent>
          <w:r w:rsidR="00E20F94">
            <w:fldChar w:fldCharType="begin"/>
          </w:r>
          <w:r w:rsidR="00166604">
            <w:instrText xml:space="preserve"> CITATION Ill03 \l 2057 </w:instrText>
          </w:r>
          <w:r w:rsidR="00E20F94">
            <w:fldChar w:fldCharType="separate"/>
          </w:r>
          <w:r w:rsidR="00033BD3">
            <w:rPr>
              <w:noProof/>
            </w:rPr>
            <w:t>(Illeris, 2003)</w:t>
          </w:r>
          <w:r w:rsidR="00E20F94">
            <w:fldChar w:fldCharType="end"/>
          </w:r>
        </w:sdtContent>
      </w:sdt>
      <w:r w:rsidR="001F453F">
        <w:t xml:space="preserve">. </w:t>
      </w:r>
      <w:r w:rsidR="00A36BF1">
        <w:t xml:space="preserve">Illeris (2003) developed the three </w:t>
      </w:r>
      <w:r w:rsidR="00E07B45">
        <w:t>dimensions</w:t>
      </w:r>
      <w:r w:rsidR="00A36BF1">
        <w:t xml:space="preserve"> of learning theory, and described learning as being in need of change. </w:t>
      </w:r>
      <w:r w:rsidR="00E17371">
        <w:t>Illeris</w:t>
      </w:r>
      <w:r w:rsidR="00A36BF1">
        <w:t xml:space="preserve"> viewed learning as not only the acquisition of a syllabus or </w:t>
      </w:r>
      <w:r w:rsidR="00E07B45">
        <w:t>curriculum</w:t>
      </w:r>
      <w:r w:rsidR="00A36BF1">
        <w:t>, but as experiences that also incorporate the importance of skills and personal qualities, and these should be considered equally important to professional qualifications</w:t>
      </w:r>
      <w:sdt>
        <w:sdtPr>
          <w:id w:val="699166940"/>
          <w:citation/>
        </w:sdtPr>
        <w:sdtContent>
          <w:fldSimple w:instr=" CITATION Sci17 \l 2057 ">
            <w:r w:rsidR="00033BD3">
              <w:rPr>
                <w:noProof/>
              </w:rPr>
              <w:t xml:space="preserve"> (Scittl, 2017)</w:t>
            </w:r>
          </w:fldSimple>
        </w:sdtContent>
      </w:sdt>
      <w:r w:rsidR="00A36BF1">
        <w:t xml:space="preserve">. </w:t>
      </w:r>
      <w:r w:rsidR="00061810">
        <w:t>(A2) (V1) (K2) (K3) (V2) (V3)</w:t>
      </w:r>
    </w:p>
    <w:p w:rsidR="00FE7967" w:rsidRDefault="001F453F" w:rsidP="00985698">
      <w:r>
        <w:t>According to Ill</w:t>
      </w:r>
      <w:r w:rsidR="00E17371">
        <w:t>e</w:t>
      </w:r>
      <w:r>
        <w:t>ris (200</w:t>
      </w:r>
      <w:r w:rsidR="00166604">
        <w:t>3</w:t>
      </w:r>
      <w:r>
        <w:t>) all learning is based on 2 main assumptions;</w:t>
      </w:r>
    </w:p>
    <w:p w:rsidR="001F453F" w:rsidRDefault="001F453F" w:rsidP="001F453F">
      <w:pPr>
        <w:pStyle w:val="ListParagraph"/>
        <w:numPr>
          <w:ilvl w:val="0"/>
          <w:numId w:val="2"/>
        </w:numPr>
      </w:pPr>
      <w:r>
        <w:t xml:space="preserve">All </w:t>
      </w:r>
      <w:r w:rsidR="008D57DA">
        <w:t>learning</w:t>
      </w:r>
      <w:r>
        <w:t xml:space="preserve"> includes 2 types of processes, external interaction and internal interaction.</w:t>
      </w:r>
    </w:p>
    <w:p w:rsidR="00A36BF1" w:rsidRDefault="001F453F" w:rsidP="00A36BF1">
      <w:pPr>
        <w:pStyle w:val="ListParagraph"/>
        <w:numPr>
          <w:ilvl w:val="0"/>
          <w:numId w:val="2"/>
        </w:numPr>
      </w:pPr>
      <w:r>
        <w:t>All learning includes 3 dimensions, cognitive, emotional and social</w:t>
      </w:r>
      <w:r w:rsidR="00A36BF1">
        <w:t xml:space="preserve">, all of which </w:t>
      </w:r>
      <w:r w:rsidR="00DC184E">
        <w:t>work together to make sense of learning</w:t>
      </w:r>
      <w:sdt>
        <w:sdtPr>
          <w:id w:val="699166941"/>
          <w:citation/>
        </w:sdtPr>
        <w:sdtContent>
          <w:fldSimple w:instr=" CITATION Sci17 \l 2057 ">
            <w:r w:rsidR="00033BD3">
              <w:rPr>
                <w:noProof/>
              </w:rPr>
              <w:t xml:space="preserve"> (Scittl, 2017)</w:t>
            </w:r>
          </w:fldSimple>
        </w:sdtContent>
      </w:sdt>
      <w:r w:rsidR="00DC184E">
        <w:t>.</w:t>
      </w:r>
      <w:r w:rsidR="00B33B28">
        <w:t xml:space="preserve"> </w:t>
      </w:r>
    </w:p>
    <w:p w:rsidR="00A36BF1" w:rsidRDefault="00E17371" w:rsidP="00AE3E66">
      <w:r>
        <w:t>Illeris</w:t>
      </w:r>
      <w:r w:rsidR="001F453F">
        <w:t xml:space="preserve"> (2002) highlighted that individuals are all part of and live in an external world, </w:t>
      </w:r>
      <w:r w:rsidR="008D57DA">
        <w:t>therefore</w:t>
      </w:r>
      <w:r w:rsidR="001F453F">
        <w:t xml:space="preserve"> the </w:t>
      </w:r>
      <w:r w:rsidR="008D57DA">
        <w:t xml:space="preserve">social dimension is significant to understanding learning, this element of </w:t>
      </w:r>
      <w:r>
        <w:t>Illeris</w:t>
      </w:r>
      <w:r w:rsidR="008D57DA">
        <w:t xml:space="preserve"> theory of learning is viewed as the direction of interaction brought through participation, communication, and cooperation of </w:t>
      </w:r>
      <w:r w:rsidR="00453F65">
        <w:t>leaner’s</w:t>
      </w:r>
      <w:r w:rsidR="008D57DA">
        <w:t>, through a variety of teaching methods</w:t>
      </w:r>
      <w:r w:rsidR="00B33B28">
        <w:t xml:space="preserve"> </w:t>
      </w:r>
      <w:sdt>
        <w:sdtPr>
          <w:id w:val="1274517943"/>
          <w:citation/>
        </w:sdtPr>
        <w:sdtContent>
          <w:r w:rsidR="00E20F94">
            <w:fldChar w:fldCharType="begin"/>
          </w:r>
          <w:r w:rsidR="00B33B28">
            <w:instrText xml:space="preserve"> CITATION Ill03 \l 2057 </w:instrText>
          </w:r>
          <w:r w:rsidR="00E20F94">
            <w:fldChar w:fldCharType="separate"/>
          </w:r>
          <w:r w:rsidR="00033BD3">
            <w:rPr>
              <w:noProof/>
            </w:rPr>
            <w:t>(Illeris, 2003)</w:t>
          </w:r>
          <w:r w:rsidR="00E20F94">
            <w:fldChar w:fldCharType="end"/>
          </w:r>
        </w:sdtContent>
      </w:sdt>
      <w:r w:rsidR="008D57DA">
        <w:t xml:space="preserve">. </w:t>
      </w:r>
      <w:r w:rsidR="00E07B45">
        <w:t xml:space="preserve">This was a significant </w:t>
      </w:r>
      <w:r w:rsidR="00E07B45">
        <w:lastRenderedPageBreak/>
        <w:t xml:space="preserve">driving force in the planning of my micro- teaching </w:t>
      </w:r>
      <w:r w:rsidR="006E00C1">
        <w:t>session;</w:t>
      </w:r>
      <w:r w:rsidR="00E07B45">
        <w:t xml:space="preserve"> by preparing my session with this in mind I feel I was able to offer meaningful activities to support learning.</w:t>
      </w:r>
      <w:r w:rsidR="00061810">
        <w:t xml:space="preserve"> (A1) (A2) (V2) (K3) (K4)</w:t>
      </w:r>
    </w:p>
    <w:p w:rsidR="00A36BF1" w:rsidRDefault="00E17371" w:rsidP="00A36BF1">
      <w:r>
        <w:t>Illeris</w:t>
      </w:r>
      <w:r w:rsidR="00A36BF1">
        <w:t>`s theory is strongly based</w:t>
      </w:r>
      <w:r w:rsidR="00AE3E66">
        <w:t xml:space="preserve"> on Piaget</w:t>
      </w:r>
      <w:r w:rsidR="006E00C1">
        <w:t>`</w:t>
      </w:r>
      <w:r w:rsidR="00AE3E66">
        <w:t xml:space="preserve">s </w:t>
      </w:r>
      <w:r w:rsidR="00CB75F9">
        <w:t>cognitive</w:t>
      </w:r>
      <w:r w:rsidR="00AE3E66">
        <w:t xml:space="preserve"> theory, which </w:t>
      </w:r>
      <w:r w:rsidR="00CB75F9">
        <w:t>describes</w:t>
      </w:r>
      <w:r w:rsidR="00AE3E66">
        <w:t xml:space="preserve"> learning as a progressive reorganisation of mental processes </w:t>
      </w:r>
      <w:r w:rsidR="00CB75F9">
        <w:t>because of</w:t>
      </w:r>
      <w:r w:rsidR="00AE3E66">
        <w:t xml:space="preserve"> biological maturation and environmental </w:t>
      </w:r>
      <w:r w:rsidR="00CB75F9">
        <w:t>experiences</w:t>
      </w:r>
      <w:r w:rsidR="00AE3E66">
        <w:t xml:space="preserve"> </w:t>
      </w:r>
      <w:sdt>
        <w:sdtPr>
          <w:id w:val="-1690912793"/>
          <w:citation/>
        </w:sdtPr>
        <w:sdtContent>
          <w:r w:rsidR="00E20F94">
            <w:fldChar w:fldCharType="begin"/>
          </w:r>
          <w:r w:rsidR="00B33B28">
            <w:instrText xml:space="preserve"> CITATION Ill03 \l 2057 </w:instrText>
          </w:r>
          <w:r w:rsidR="00E20F94">
            <w:fldChar w:fldCharType="separate"/>
          </w:r>
          <w:r w:rsidR="00033BD3">
            <w:rPr>
              <w:noProof/>
            </w:rPr>
            <w:t>(Illeris, 2003)</w:t>
          </w:r>
          <w:r w:rsidR="00E20F94">
            <w:fldChar w:fldCharType="end"/>
          </w:r>
        </w:sdtContent>
      </w:sdt>
      <w:r w:rsidR="00B33B28">
        <w:t>.</w:t>
      </w:r>
      <w:r w:rsidR="00A36BF1">
        <w:t xml:space="preserve"> One crucial element of </w:t>
      </w:r>
      <w:r>
        <w:t>Illeris</w:t>
      </w:r>
      <w:r w:rsidR="00A36BF1">
        <w:t>`s theory is that the results of learning must be structured before they are retained, the structuring being based on 1 of 4 levels;</w:t>
      </w:r>
    </w:p>
    <w:p w:rsidR="00A36BF1" w:rsidRDefault="00A36BF1" w:rsidP="00A36BF1">
      <w:pPr>
        <w:pStyle w:val="ListParagraph"/>
        <w:numPr>
          <w:ilvl w:val="0"/>
          <w:numId w:val="3"/>
        </w:numPr>
      </w:pPr>
      <w:r>
        <w:t xml:space="preserve">Cumulative </w:t>
      </w:r>
    </w:p>
    <w:p w:rsidR="00A36BF1" w:rsidRDefault="00A36BF1" w:rsidP="00C9483F">
      <w:pPr>
        <w:pStyle w:val="ListParagraph"/>
        <w:numPr>
          <w:ilvl w:val="0"/>
          <w:numId w:val="3"/>
        </w:numPr>
      </w:pPr>
      <w:r>
        <w:t>Assimilative</w:t>
      </w:r>
    </w:p>
    <w:p w:rsidR="00A36BF1" w:rsidRDefault="00A36BF1" w:rsidP="00C9483F">
      <w:pPr>
        <w:pStyle w:val="ListParagraph"/>
        <w:numPr>
          <w:ilvl w:val="0"/>
          <w:numId w:val="3"/>
        </w:numPr>
      </w:pPr>
      <w:r>
        <w:t>Accommodative</w:t>
      </w:r>
    </w:p>
    <w:p w:rsidR="00A36BF1" w:rsidRDefault="00A36BF1" w:rsidP="00A36BF1">
      <w:pPr>
        <w:pStyle w:val="ListParagraph"/>
        <w:numPr>
          <w:ilvl w:val="0"/>
          <w:numId w:val="3"/>
        </w:numPr>
      </w:pPr>
      <w:r>
        <w:t>Transformative</w:t>
      </w:r>
      <w:r w:rsidR="005622A4">
        <w:t xml:space="preserve"> (see appendix 2)</w:t>
      </w:r>
      <w:sdt>
        <w:sdtPr>
          <w:id w:val="699166938"/>
          <w:citation/>
        </w:sdtPr>
        <w:sdtContent>
          <w:fldSimple w:instr=" CITATION Sci17 \l 2057 ">
            <w:r w:rsidR="00033BD3">
              <w:rPr>
                <w:noProof/>
              </w:rPr>
              <w:t xml:space="preserve"> (Scittl, 2017)</w:t>
            </w:r>
          </w:fldSimple>
        </w:sdtContent>
      </w:sdt>
    </w:p>
    <w:p w:rsidR="00AE3E66" w:rsidRDefault="00AE3E66" w:rsidP="00AE3E66">
      <w:r>
        <w:t>Ill</w:t>
      </w:r>
      <w:r w:rsidR="00B33B28">
        <w:t>eri</w:t>
      </w:r>
      <w:r>
        <w:t xml:space="preserve">s </w:t>
      </w:r>
      <w:r w:rsidR="00B33B28">
        <w:t>(2003</w:t>
      </w:r>
      <w:r>
        <w:t>) explains that each level can be initiated in different ways and can have different results.</w:t>
      </w:r>
    </w:p>
    <w:p w:rsidR="00AE3E66" w:rsidRDefault="00AE3E66" w:rsidP="00AE3E66">
      <w:r>
        <w:t>“</w:t>
      </w:r>
      <w:r w:rsidR="00CB75F9">
        <w:t>What</w:t>
      </w:r>
      <w:r>
        <w:t xml:space="preserve"> is fundamental to </w:t>
      </w:r>
      <w:r w:rsidR="00177F13">
        <w:t xml:space="preserve">adult learning, is that being an adult essentially means one is capable of and wishes to take responsibility for oneself and </w:t>
      </w:r>
      <w:r w:rsidR="00CB75F9">
        <w:t>one’s</w:t>
      </w:r>
      <w:r w:rsidR="00177F13">
        <w:t xml:space="preserve"> actions” </w:t>
      </w:r>
      <w:sdt>
        <w:sdtPr>
          <w:id w:val="91057603"/>
          <w:citation/>
        </w:sdtPr>
        <w:sdtContent>
          <w:r w:rsidR="00E20F94">
            <w:fldChar w:fldCharType="begin"/>
          </w:r>
          <w:r w:rsidR="00B33B28">
            <w:instrText xml:space="preserve"> CITATION Nat12 \l 2057 </w:instrText>
          </w:r>
          <w:r w:rsidR="00E20F94">
            <w:fldChar w:fldCharType="separate"/>
          </w:r>
          <w:r w:rsidR="00033BD3">
            <w:rPr>
              <w:noProof/>
            </w:rPr>
            <w:t>(Leadership, 2012)</w:t>
          </w:r>
          <w:r w:rsidR="00E20F94">
            <w:fldChar w:fldCharType="end"/>
          </w:r>
        </w:sdtContent>
      </w:sdt>
      <w:r w:rsidR="00B33B28">
        <w:t>.</w:t>
      </w:r>
    </w:p>
    <w:p w:rsidR="009C51C2" w:rsidRDefault="00177F13" w:rsidP="00AE3E66">
      <w:bookmarkStart w:id="1" w:name="_Hlk498861014"/>
      <w:r>
        <w:t>Contemporary methods of teaching must</w:t>
      </w:r>
      <w:r w:rsidR="008B7F92">
        <w:t xml:space="preserve"> be designed to support the development of </w:t>
      </w:r>
      <w:r w:rsidR="00453F65">
        <w:t>lifelong</w:t>
      </w:r>
      <w:r w:rsidR="008B7F92">
        <w:t xml:space="preserve"> learners, and ensure that they can survive and thrive within society, and specifically within employment. Methods should support learners to be competent, and enable them to apply skills and competencies to different situations in an ever changing, </w:t>
      </w:r>
      <w:r w:rsidR="00CB75F9">
        <w:t>complex</w:t>
      </w:r>
      <w:r w:rsidR="008B7F92">
        <w:t xml:space="preserve"> world </w:t>
      </w:r>
      <w:bookmarkEnd w:id="1"/>
      <w:sdt>
        <w:sdtPr>
          <w:id w:val="-570509776"/>
          <w:citation/>
        </w:sdtPr>
        <w:sdtContent>
          <w:r w:rsidR="00E20F94">
            <w:fldChar w:fldCharType="begin"/>
          </w:r>
          <w:r w:rsidR="009C51C2">
            <w:instrText xml:space="preserve"> CITATION Cam07 \l 2057 </w:instrText>
          </w:r>
          <w:r w:rsidR="00E20F94">
            <w:fldChar w:fldCharType="separate"/>
          </w:r>
          <w:r w:rsidR="00033BD3">
            <w:rPr>
              <w:noProof/>
            </w:rPr>
            <w:t>(Campbell &amp; Norton, 2007)</w:t>
          </w:r>
          <w:r w:rsidR="00E20F94">
            <w:fldChar w:fldCharType="end"/>
          </w:r>
        </w:sdtContent>
      </w:sdt>
      <w:r w:rsidR="00E07B45">
        <w:t xml:space="preserve">. </w:t>
      </w:r>
      <w:r w:rsidR="008B7F92">
        <w:t xml:space="preserve">Teaching in this way should prepare learners to become more </w:t>
      </w:r>
      <w:r w:rsidR="00CB75F9">
        <w:t>self-directed</w:t>
      </w:r>
      <w:r w:rsidR="008B7F92">
        <w:t xml:space="preserve"> and </w:t>
      </w:r>
      <w:r w:rsidR="00CB75F9">
        <w:t>self-determined</w:t>
      </w:r>
      <w:r w:rsidR="008B7F92">
        <w:t xml:space="preserve">, an </w:t>
      </w:r>
      <w:r w:rsidR="00E07B45">
        <w:t>approach that</w:t>
      </w:r>
      <w:r w:rsidR="008B7F92">
        <w:t xml:space="preserve"> supports learner</w:t>
      </w:r>
      <w:r w:rsidR="00645B8C">
        <w:t>s</w:t>
      </w:r>
      <w:r w:rsidR="008B7F92">
        <w:t xml:space="preserve"> to reflect upon what they have learned</w:t>
      </w:r>
      <w:r w:rsidR="00012B17">
        <w:t xml:space="preserve"> and support them to </w:t>
      </w:r>
      <w:r w:rsidR="00CB75F9">
        <w:t>teach</w:t>
      </w:r>
      <w:r w:rsidR="00012B17">
        <w:t xml:space="preserve"> themselves </w:t>
      </w:r>
      <w:sdt>
        <w:sdtPr>
          <w:id w:val="-1665458810"/>
          <w:citation/>
        </w:sdtPr>
        <w:sdtContent>
          <w:r w:rsidR="00E20F94">
            <w:fldChar w:fldCharType="begin"/>
          </w:r>
          <w:r w:rsidR="009C51C2">
            <w:instrText xml:space="preserve"> CITATION Bla12 \l 2057 </w:instrText>
          </w:r>
          <w:r w:rsidR="00E20F94">
            <w:fldChar w:fldCharType="separate"/>
          </w:r>
          <w:r w:rsidR="00033BD3">
            <w:rPr>
              <w:noProof/>
            </w:rPr>
            <w:t>(Blaschke, 2012)</w:t>
          </w:r>
          <w:r w:rsidR="00E20F94">
            <w:fldChar w:fldCharType="end"/>
          </w:r>
        </w:sdtContent>
      </w:sdt>
      <w:r w:rsidR="00061810">
        <w:t xml:space="preserve"> (A1) (A2) (V2) (K3) (K4)</w:t>
      </w:r>
    </w:p>
    <w:p w:rsidR="00012B17" w:rsidRDefault="00240F48" w:rsidP="00AE3E66">
      <w:r>
        <w:t>During the planning of my session my research led me to the discovery of the theory of andragogy.</w:t>
      </w:r>
      <w:r w:rsidR="009C51C2">
        <w:t xml:space="preserve"> </w:t>
      </w:r>
      <w:r w:rsidR="00012B17">
        <w:t xml:space="preserve">Andragogy, also </w:t>
      </w:r>
      <w:r w:rsidR="00CB75F9">
        <w:t>described</w:t>
      </w:r>
      <w:r w:rsidR="00012B17">
        <w:t xml:space="preserve"> as </w:t>
      </w:r>
      <w:r w:rsidR="00CB75F9">
        <w:t>self-directed</w:t>
      </w:r>
      <w:r w:rsidR="00012B17">
        <w:t xml:space="preserve"> learning, is considered specific to adult learners and their education. Knowles (1978) defined </w:t>
      </w:r>
      <w:r w:rsidR="00CB75F9">
        <w:t>andragogy</w:t>
      </w:r>
      <w:r w:rsidR="00012B17">
        <w:t xml:space="preserve"> as adult learning and consisted of the </w:t>
      </w:r>
      <w:r w:rsidR="00CB75F9">
        <w:t>characteristics</w:t>
      </w:r>
      <w:r w:rsidR="00E07B45">
        <w:t xml:space="preserve">, </w:t>
      </w:r>
      <w:r w:rsidR="00CB75F9">
        <w:t>self-control</w:t>
      </w:r>
      <w:r w:rsidR="00012B17">
        <w:t xml:space="preserve"> and </w:t>
      </w:r>
      <w:r w:rsidR="00CB75F9">
        <w:t>self-responsibility</w:t>
      </w:r>
      <w:r w:rsidR="00E07B45">
        <w:t xml:space="preserve"> in learning, learner defined. W</w:t>
      </w:r>
      <w:r w:rsidR="00012B17">
        <w:t>here learners created their ow</w:t>
      </w:r>
      <w:r w:rsidR="00DC184E">
        <w:t>n</w:t>
      </w:r>
      <w:r w:rsidR="00E07B45">
        <w:t xml:space="preserve"> aims and objectives. A </w:t>
      </w:r>
      <w:r w:rsidR="00CB75F9">
        <w:t>problem-solving</w:t>
      </w:r>
      <w:r w:rsidR="00012B17">
        <w:t xml:space="preserve"> </w:t>
      </w:r>
      <w:r w:rsidR="00CB75F9">
        <w:t>approach</w:t>
      </w:r>
      <w:r w:rsidR="00012B17">
        <w:t xml:space="preserve">, </w:t>
      </w:r>
      <w:r w:rsidR="00CB75F9">
        <w:t>self-directed</w:t>
      </w:r>
      <w:r w:rsidR="00012B17">
        <w:t xml:space="preserve"> study, </w:t>
      </w:r>
      <w:r w:rsidR="00CB75F9">
        <w:t>intrinsic</w:t>
      </w:r>
      <w:r w:rsidR="00012B17">
        <w:t xml:space="preserve"> and the </w:t>
      </w:r>
      <w:r w:rsidR="00CB75F9">
        <w:t>incorporation</w:t>
      </w:r>
      <w:r w:rsidR="00012B17">
        <w:t xml:space="preserve"> of the </w:t>
      </w:r>
      <w:r w:rsidR="00CB75F9">
        <w:t>learner’s</w:t>
      </w:r>
      <w:r w:rsidR="00012B17">
        <w:t xml:space="preserve"> experiences to support </w:t>
      </w:r>
      <w:r w:rsidR="00CB75F9">
        <w:t>learning</w:t>
      </w:r>
      <w:r w:rsidR="009C51C2">
        <w:t xml:space="preserve"> </w:t>
      </w:r>
      <w:sdt>
        <w:sdtPr>
          <w:id w:val="1713533423"/>
          <w:citation/>
        </w:sdtPr>
        <w:sdtContent>
          <w:r w:rsidR="00E20F94">
            <w:fldChar w:fldCharType="begin"/>
          </w:r>
          <w:r w:rsidR="009C51C2">
            <w:instrText xml:space="preserve"> CITATION Bla12 \l 2057 </w:instrText>
          </w:r>
          <w:r w:rsidR="00E20F94">
            <w:fldChar w:fldCharType="separate"/>
          </w:r>
          <w:r w:rsidR="00033BD3">
            <w:rPr>
              <w:noProof/>
            </w:rPr>
            <w:t>(Blaschke, 2012)</w:t>
          </w:r>
          <w:r w:rsidR="00E20F94">
            <w:fldChar w:fldCharType="end"/>
          </w:r>
        </w:sdtContent>
      </w:sdt>
      <w:r w:rsidR="009C51C2">
        <w:t>.</w:t>
      </w:r>
    </w:p>
    <w:p w:rsidR="00012B17" w:rsidRDefault="00012B17" w:rsidP="00AE3E66">
      <w:r>
        <w:t xml:space="preserve">“A process in which individuals take the initiative, with </w:t>
      </w:r>
      <w:r w:rsidR="00A703FC">
        <w:t>o</w:t>
      </w:r>
      <w:r>
        <w:t xml:space="preserve">r without the help of others in diagnosing their learning needs, formulating </w:t>
      </w:r>
      <w:r w:rsidR="00CB75F9">
        <w:t>learning</w:t>
      </w:r>
      <w:r>
        <w:t xml:space="preserve"> goals, identifying human material resources for learning, choosing and implementing appropriate learning </w:t>
      </w:r>
      <w:r w:rsidR="00CB75F9">
        <w:t>strategies</w:t>
      </w:r>
      <w:r>
        <w:t xml:space="preserve"> and </w:t>
      </w:r>
      <w:r w:rsidR="00CB75F9">
        <w:t>evaluating</w:t>
      </w:r>
      <w:r>
        <w:t xml:space="preserve"> learning outcomes” </w:t>
      </w:r>
      <w:sdt>
        <w:sdtPr>
          <w:id w:val="-1406300495"/>
          <w:citation/>
        </w:sdtPr>
        <w:sdtContent>
          <w:r w:rsidR="00E20F94">
            <w:fldChar w:fldCharType="begin"/>
          </w:r>
          <w:r w:rsidR="00AD272E">
            <w:instrText xml:space="preserve"> CITATION Man07 \l 2057 </w:instrText>
          </w:r>
          <w:r w:rsidR="00E20F94">
            <w:fldChar w:fldCharType="separate"/>
          </w:r>
          <w:r w:rsidR="00033BD3">
            <w:rPr>
              <w:noProof/>
            </w:rPr>
            <w:t>(Manning, 2007)</w:t>
          </w:r>
          <w:r w:rsidR="00E20F94">
            <w:fldChar w:fldCharType="end"/>
          </w:r>
        </w:sdtContent>
      </w:sdt>
      <w:r>
        <w:t>.</w:t>
      </w:r>
    </w:p>
    <w:p w:rsidR="00012B17" w:rsidRDefault="00336B63" w:rsidP="00AE3E66">
      <w:r>
        <w:t xml:space="preserve">The goals of </w:t>
      </w:r>
      <w:r w:rsidR="00CB75F9">
        <w:t>self-directed</w:t>
      </w:r>
      <w:r>
        <w:t xml:space="preserve"> learning include helping learners </w:t>
      </w:r>
      <w:r w:rsidR="00CB75F9">
        <w:t>develop</w:t>
      </w:r>
      <w:r>
        <w:t xml:space="preserve"> their own capacity to direct their own learning process, this is achieved by supporting them through the transformational approach</w:t>
      </w:r>
      <w:r w:rsidR="00A703FC">
        <w:t xml:space="preserve"> (as described by </w:t>
      </w:r>
      <w:r w:rsidR="00E17371">
        <w:t>Illeris</w:t>
      </w:r>
      <w:r w:rsidR="00A703FC">
        <w:t>)</w:t>
      </w:r>
      <w:r>
        <w:t xml:space="preserve"> to learning and promoting </w:t>
      </w:r>
      <w:r w:rsidR="00CB75F9">
        <w:t>opportunities</w:t>
      </w:r>
      <w:r>
        <w:t xml:space="preserve"> for real life </w:t>
      </w:r>
      <w:r w:rsidR="00CB75F9">
        <w:t>situations,</w:t>
      </w:r>
      <w:r>
        <w:t xml:space="preserve"> experiential learning and learning through social action, this enables </w:t>
      </w:r>
      <w:r w:rsidR="00453F65">
        <w:t>leaner’s</w:t>
      </w:r>
      <w:r>
        <w:t xml:space="preserve"> to become more reflective and apply </w:t>
      </w:r>
      <w:r w:rsidR="00CB75F9">
        <w:t>reflection</w:t>
      </w:r>
      <w:r>
        <w:t xml:space="preserve"> t</w:t>
      </w:r>
      <w:r w:rsidR="00A703FC">
        <w:t>o</w:t>
      </w:r>
      <w:r>
        <w:t xml:space="preserve"> </w:t>
      </w:r>
      <w:r w:rsidR="00CB75F9">
        <w:t>life</w:t>
      </w:r>
      <w:r>
        <w:t xml:space="preserve"> experiences that relates to their perception, beliefs and lifestyle. This process allows </w:t>
      </w:r>
      <w:r w:rsidR="00CB75F9">
        <w:t>learning</w:t>
      </w:r>
      <w:r>
        <w:t xml:space="preserve"> to occur and as a result the learner adjusts their </w:t>
      </w:r>
      <w:r w:rsidR="00CB75F9">
        <w:t>perspective</w:t>
      </w:r>
      <w:r>
        <w:t xml:space="preserve"> and </w:t>
      </w:r>
      <w:r w:rsidR="00CB75F9">
        <w:t>transformational</w:t>
      </w:r>
      <w:r>
        <w:t xml:space="preserve"> learning occurs </w:t>
      </w:r>
      <w:sdt>
        <w:sdtPr>
          <w:id w:val="1367639932"/>
          <w:citation/>
        </w:sdtPr>
        <w:sdtContent>
          <w:r w:rsidR="00E20F94">
            <w:fldChar w:fldCharType="begin"/>
          </w:r>
          <w:r w:rsidR="00AD272E">
            <w:instrText xml:space="preserve"> CITATION Bla12 \l 2057 </w:instrText>
          </w:r>
          <w:r w:rsidR="00E20F94">
            <w:fldChar w:fldCharType="separate"/>
          </w:r>
          <w:r w:rsidR="00033BD3">
            <w:rPr>
              <w:noProof/>
            </w:rPr>
            <w:t>(Blaschke, 2012)</w:t>
          </w:r>
          <w:r w:rsidR="00E20F94">
            <w:fldChar w:fldCharType="end"/>
          </w:r>
        </w:sdtContent>
      </w:sdt>
      <w:r w:rsidR="00AD272E">
        <w:t>.</w:t>
      </w:r>
    </w:p>
    <w:p w:rsidR="00E07B45" w:rsidRDefault="00336B63" w:rsidP="00AA2098">
      <w:r>
        <w:t xml:space="preserve">The role of an </w:t>
      </w:r>
      <w:r w:rsidR="00CB75F9">
        <w:t>educator</w:t>
      </w:r>
      <w:r>
        <w:t xml:space="preserve"> in an </w:t>
      </w:r>
      <w:r w:rsidR="00CB75F9">
        <w:t>andrological</w:t>
      </w:r>
      <w:r>
        <w:t xml:space="preserve"> approach is one of a tutor and mentor, with and </w:t>
      </w:r>
      <w:r w:rsidR="00CB75F9">
        <w:t>instructional</w:t>
      </w:r>
      <w:r>
        <w:t xml:space="preserve"> approach that supports and guides learning in the right direction, showing learners how to find information, relate information to their experiences and places a focus on problem- solving with real </w:t>
      </w:r>
      <w:r w:rsidR="00CB75F9">
        <w:t>life</w:t>
      </w:r>
      <w:r>
        <w:t xml:space="preserve"> situations. Educators working in this way will establish </w:t>
      </w:r>
      <w:r w:rsidR="00B91DA7">
        <w:t xml:space="preserve">objectives and curriculum based on learner input and guide students along their learning path, while the learner is responsible for their own learning </w:t>
      </w:r>
      <w:sdt>
        <w:sdtPr>
          <w:id w:val="-39284689"/>
          <w:citation/>
        </w:sdtPr>
        <w:sdtContent>
          <w:r w:rsidR="00E20F94">
            <w:fldChar w:fldCharType="begin"/>
          </w:r>
          <w:r w:rsidR="00AD272E">
            <w:instrText xml:space="preserve"> CITATION Bla12 \l 2057 </w:instrText>
          </w:r>
          <w:r w:rsidR="00E20F94">
            <w:fldChar w:fldCharType="separate"/>
          </w:r>
          <w:r w:rsidR="00033BD3">
            <w:rPr>
              <w:noProof/>
            </w:rPr>
            <w:t>(Blaschke, 2012)</w:t>
          </w:r>
          <w:r w:rsidR="00E20F94">
            <w:fldChar w:fldCharType="end"/>
          </w:r>
        </w:sdtContent>
      </w:sdt>
    </w:p>
    <w:p w:rsidR="00AA2098" w:rsidRDefault="00240F48" w:rsidP="00AA2098">
      <w:r>
        <w:lastRenderedPageBreak/>
        <w:t xml:space="preserve">Considering this </w:t>
      </w:r>
      <w:r w:rsidR="00E07B45">
        <w:t xml:space="preserve">information </w:t>
      </w:r>
      <w:r>
        <w:t xml:space="preserve">I began to consider </w:t>
      </w:r>
      <w:r w:rsidR="004B111E">
        <w:t>appropriate</w:t>
      </w:r>
      <w:r>
        <w:t xml:space="preserve"> </w:t>
      </w:r>
      <w:r w:rsidR="004B111E">
        <w:t>tasks</w:t>
      </w:r>
      <w:r>
        <w:t xml:space="preserve"> and activities for the learners that would support this method of teaching.</w:t>
      </w:r>
      <w:r w:rsidR="00AA2098">
        <w:t xml:space="preserve"> To support teaching and learning, I designed my session incorporating a variety of traditional teaching methods to support active learning and self-directed study. Active learning has been described as a mixture of traditional activity methods which has been linked to those such as Dewey, and more recently that of constructivism such as Il</w:t>
      </w:r>
      <w:r w:rsidR="00C660FF">
        <w:t>l</w:t>
      </w:r>
      <w:r w:rsidR="00AD272E">
        <w:t>e</w:t>
      </w:r>
      <w:r w:rsidR="006E00C1">
        <w:t>ris (2003</w:t>
      </w:r>
      <w:r w:rsidR="00AA2098">
        <w:t xml:space="preserve">), it is used for the basis for effective learning </w:t>
      </w:r>
      <w:sdt>
        <w:sdtPr>
          <w:id w:val="-303927620"/>
          <w:citation/>
        </w:sdtPr>
        <w:sdtContent>
          <w:r w:rsidR="00E20F94">
            <w:fldChar w:fldCharType="begin"/>
          </w:r>
          <w:r w:rsidR="00AD272E">
            <w:instrText xml:space="preserve"> CITATION Cur13 \l 2057 </w:instrText>
          </w:r>
          <w:r w:rsidR="00E20F94">
            <w:fldChar w:fldCharType="separate"/>
          </w:r>
          <w:r w:rsidR="00033BD3">
            <w:rPr>
              <w:noProof/>
            </w:rPr>
            <w:t>(Curzon &amp; Tummons, 2013)</w:t>
          </w:r>
          <w:r w:rsidR="00E20F94">
            <w:fldChar w:fldCharType="end"/>
          </w:r>
        </w:sdtContent>
      </w:sdt>
      <w:r w:rsidR="00AD272E">
        <w:t>.</w:t>
      </w:r>
      <w:r w:rsidR="00061810">
        <w:t xml:space="preserve"> (A1) (A2) (A3) (A4) (A5) (K3) (K5) (V3) (V4)</w:t>
      </w:r>
    </w:p>
    <w:p w:rsidR="006E00C1" w:rsidRDefault="00AA2098" w:rsidP="00AA2098">
      <w:r>
        <w:t>My aim in delivering the session in this style was to encourage learning through action and experience</w:t>
      </w:r>
      <w:r w:rsidR="00A703FC">
        <w:t>, taking into consideration the previous knowledge of the groups learning styles</w:t>
      </w:r>
      <w:r>
        <w:t xml:space="preserve">. My intention was to bring together action learning (learning by doing) and experiential learning to form the basis of my session. To achieve this, I created activities based around small group work, demonstration and games. </w:t>
      </w:r>
      <w:r w:rsidR="006E00C1">
        <w:t xml:space="preserve"> Group work</w:t>
      </w:r>
      <w:r>
        <w:t xml:space="preserve"> is often considered collaborative learning, to collaborate is to work with another or others in practice, collaborative learning has come to mean learners working in pairs or small groups to achieve shared learning </w:t>
      </w:r>
      <w:sdt>
        <w:sdtPr>
          <w:id w:val="-1891557260"/>
          <w:citation/>
        </w:sdtPr>
        <w:sdtContent>
          <w:r w:rsidR="00E20F94">
            <w:fldChar w:fldCharType="begin"/>
          </w:r>
          <w:r w:rsidR="00A07C2B">
            <w:instrText xml:space="preserve"> CITATION Bar14 \l 2057 </w:instrText>
          </w:r>
          <w:r w:rsidR="00E20F94">
            <w:fldChar w:fldCharType="separate"/>
          </w:r>
          <w:r w:rsidR="00033BD3">
            <w:rPr>
              <w:noProof/>
            </w:rPr>
            <w:t>(Barkeley, Major, &amp; Cross, 2014)</w:t>
          </w:r>
          <w:r w:rsidR="00E20F94">
            <w:fldChar w:fldCharType="end"/>
          </w:r>
        </w:sdtContent>
      </w:sdt>
      <w:r>
        <w:t>. During group collaboration, learners can present their ideas, and thereby convey information to others (e.g. When solving a problem, completing a task or summarizing material) they can explain to others in their group to support with understanding material or le</w:t>
      </w:r>
      <w:r w:rsidR="006E00C1">
        <w:t>arn how to complete a task</w:t>
      </w:r>
      <w:r>
        <w:t xml:space="preserve">. </w:t>
      </w:r>
      <w:r w:rsidR="00A703FC">
        <w:t xml:space="preserve"> </w:t>
      </w:r>
      <w:r w:rsidR="00DC184E">
        <w:t>W</w:t>
      </w:r>
      <w:r>
        <w:t>orking in groups to learn words and phrases in Welsh</w:t>
      </w:r>
      <w:r w:rsidR="00DC184E">
        <w:t xml:space="preserve"> </w:t>
      </w:r>
      <w:r>
        <w:t>as a group the</w:t>
      </w:r>
      <w:r w:rsidR="00DC184E">
        <w:t xml:space="preserve"> learners were able to</w:t>
      </w:r>
      <w:r>
        <w:t xml:space="preserve"> </w:t>
      </w:r>
      <w:r w:rsidR="00DC184E">
        <w:t xml:space="preserve">demonstrate </w:t>
      </w:r>
      <w:r>
        <w:t>that they were able to support each other with understanding, pronunciation and the task was an opportunity for them to practice these. Group work offers both the speakers and listeners involved in the communication process to learn, by engaging in many cognitive processes</w:t>
      </w:r>
      <w:r w:rsidR="00A703FC">
        <w:t xml:space="preserve"> </w:t>
      </w:r>
      <w:sdt>
        <w:sdtPr>
          <w:id w:val="109289793"/>
          <w:citation/>
        </w:sdtPr>
        <w:sdtContent>
          <w:r w:rsidR="00E20F94">
            <w:fldChar w:fldCharType="begin"/>
          </w:r>
          <w:r w:rsidR="00825C58">
            <w:instrText xml:space="preserve"> CITATION Sil13 \l 2057 </w:instrText>
          </w:r>
          <w:r w:rsidR="00E20F94">
            <w:fldChar w:fldCharType="separate"/>
          </w:r>
          <w:r w:rsidR="00033BD3">
            <w:rPr>
              <w:noProof/>
            </w:rPr>
            <w:t>(Silver, Clarke, Carol, &amp; Angela, 2013)</w:t>
          </w:r>
          <w:r w:rsidR="00E20F94">
            <w:rPr>
              <w:noProof/>
            </w:rPr>
            <w:fldChar w:fldCharType="end"/>
          </w:r>
        </w:sdtContent>
      </w:sdt>
      <w:r w:rsidR="006E00C1">
        <w:t>.</w:t>
      </w:r>
      <w:r w:rsidR="00061810">
        <w:t xml:space="preserve"> (K3) (K5)</w:t>
      </w:r>
    </w:p>
    <w:p w:rsidR="00AA2098" w:rsidRDefault="00A703FC" w:rsidP="00AA2098">
      <w:r>
        <w:t xml:space="preserve">My Micro- teaching </w:t>
      </w:r>
      <w:r w:rsidR="00E07B45">
        <w:t>session</w:t>
      </w:r>
      <w:r>
        <w:t xml:space="preserve"> included elements of demonstration. </w:t>
      </w:r>
      <w:r w:rsidR="00AA2098">
        <w:t>Demonstration within a classroom is used to teach learners how to</w:t>
      </w:r>
      <w:r w:rsidR="00E92E0F">
        <w:t xml:space="preserve"> do a task. </w:t>
      </w:r>
      <w:r w:rsidR="00AA2098">
        <w:t xml:space="preserve">This usually achieved using chronological instructions, with the end goal being that the learners can perform the tasks themselves independently to demonstrate understanding </w:t>
      </w:r>
      <w:sdt>
        <w:sdtPr>
          <w:id w:val="109289794"/>
          <w:citation/>
        </w:sdtPr>
        <w:sdtContent>
          <w:r w:rsidR="00E20F94">
            <w:fldChar w:fldCharType="begin"/>
          </w:r>
          <w:r w:rsidR="00825C58">
            <w:instrText xml:space="preserve"> CITATION Hea13 \l 2057 </w:instrText>
          </w:r>
          <w:r w:rsidR="00E20F94">
            <w:fldChar w:fldCharType="separate"/>
          </w:r>
          <w:r w:rsidR="00033BD3">
            <w:rPr>
              <w:noProof/>
            </w:rPr>
            <w:t>(Coffey, 2013)</w:t>
          </w:r>
          <w:r w:rsidR="00E20F94">
            <w:rPr>
              <w:noProof/>
            </w:rPr>
            <w:fldChar w:fldCharType="end"/>
          </w:r>
        </w:sdtContent>
      </w:sdt>
      <w:r w:rsidR="00E92E0F">
        <w:t xml:space="preserve">. </w:t>
      </w:r>
      <w:r w:rsidR="00AA2098">
        <w:t xml:space="preserve">Demonstration can be used in classes of differing size, curriculum areas and ability levels. Demonstrations can be used to provide physical examples in relation to a </w:t>
      </w:r>
      <w:r w:rsidR="00453F65">
        <w:t>topic;</w:t>
      </w:r>
      <w:r w:rsidR="00AA2098">
        <w:t xml:space="preserve"> in this instance demonstration was used to demonstrate the Welsh language. This method of teaching offers a hands-on opportunity for learners in the classroom, whilst using the demonstration model in this way, I was able to perform the task step by step with the aim of the learners being able to eventually complete the same task, or in this instance rep</w:t>
      </w:r>
      <w:r w:rsidR="00C660FF">
        <w:t xml:space="preserve">eat the words and phrases. </w:t>
      </w:r>
      <w:r w:rsidR="00AA2098">
        <w:t>The advantages of using demonstrations are that learners can engage intrinsically in the task without realising they are learning. Learners can ask questions about the task at any time in the process, and I was able to answer these whilst performing the demonstration</w:t>
      </w:r>
      <w:r w:rsidR="00C660FF">
        <w:t xml:space="preserve"> </w:t>
      </w:r>
      <w:sdt>
        <w:sdtPr>
          <w:id w:val="109289799"/>
          <w:citation/>
        </w:sdtPr>
        <w:sdtContent>
          <w:r w:rsidR="00E20F94">
            <w:fldChar w:fldCharType="begin"/>
          </w:r>
          <w:r w:rsidR="00825C58">
            <w:instrText xml:space="preserve"> CITATION Ste10 \l 2057 </w:instrText>
          </w:r>
          <w:r w:rsidR="00E20F94">
            <w:fldChar w:fldCharType="separate"/>
          </w:r>
          <w:r w:rsidR="00033BD3">
            <w:rPr>
              <w:noProof/>
            </w:rPr>
            <w:t>(Mintz, 2010)</w:t>
          </w:r>
          <w:r w:rsidR="00E20F94">
            <w:rPr>
              <w:noProof/>
            </w:rPr>
            <w:fldChar w:fldCharType="end"/>
          </w:r>
        </w:sdtContent>
      </w:sdt>
      <w:r w:rsidR="00AA2098">
        <w:t xml:space="preserve">. A demonstration can benefit learners from a variety of learning styles, such as kinetic, linguistic and it provides a real-life experience, with a sound basis whereby learners can expand their own ideas </w:t>
      </w:r>
      <w:sdt>
        <w:sdtPr>
          <w:id w:val="109289800"/>
          <w:citation/>
        </w:sdtPr>
        <w:sdtContent>
          <w:r w:rsidR="00E20F94">
            <w:fldChar w:fldCharType="begin"/>
          </w:r>
          <w:r w:rsidR="00825C58">
            <w:instrText xml:space="preserve"> CITATION Tho09 \l 2057 </w:instrText>
          </w:r>
          <w:r w:rsidR="00E20F94">
            <w:fldChar w:fldCharType="separate"/>
          </w:r>
          <w:r w:rsidR="00033BD3">
            <w:rPr>
              <w:noProof/>
            </w:rPr>
            <w:t>(Armstrong, 2009)</w:t>
          </w:r>
          <w:r w:rsidR="00E20F94">
            <w:rPr>
              <w:noProof/>
            </w:rPr>
            <w:fldChar w:fldCharType="end"/>
          </w:r>
        </w:sdtContent>
      </w:sdt>
      <w:r w:rsidR="001A44DD">
        <w:t>.</w:t>
      </w:r>
      <w:r w:rsidR="00061810">
        <w:t xml:space="preserve"> (A1) (A2) (A4) (K1) (K2) (K3) (K4) (K5) (V3) (V4)</w:t>
      </w:r>
    </w:p>
    <w:p w:rsidR="00E07B45" w:rsidRDefault="00AA2098" w:rsidP="000863A8">
      <w:r>
        <w:t xml:space="preserve">The evaluation process within this session took part through another traditional method of teaching, a game. This game was designed to test the learner’s knowledge as well as provide the learners with another opportunity to </w:t>
      </w:r>
      <w:r w:rsidR="00453F65">
        <w:t>practice</w:t>
      </w:r>
      <w:r>
        <w:t xml:space="preserve"> demonstrate and work in groups to test each other’s knowledge. Games can be used to reinforce knowledge, learner generated games can be both fun to create and play </w:t>
      </w:r>
      <w:sdt>
        <w:sdtPr>
          <w:id w:val="109289795"/>
          <w:citation/>
        </w:sdtPr>
        <w:sdtContent>
          <w:r w:rsidR="00E20F94">
            <w:fldChar w:fldCharType="begin"/>
          </w:r>
          <w:r w:rsidR="00825C58">
            <w:instrText xml:space="preserve"> CITATION Jon10 \l 2057 </w:instrText>
          </w:r>
          <w:r w:rsidR="00E20F94">
            <w:fldChar w:fldCharType="separate"/>
          </w:r>
          <w:r w:rsidR="00033BD3">
            <w:rPr>
              <w:noProof/>
            </w:rPr>
            <w:t>(Jones &amp; Bartlett, 2010)</w:t>
          </w:r>
          <w:r w:rsidR="00E20F94">
            <w:rPr>
              <w:noProof/>
            </w:rPr>
            <w:fldChar w:fldCharType="end"/>
          </w:r>
        </w:sdtContent>
      </w:sdt>
      <w:r w:rsidR="00AD50F5">
        <w:t xml:space="preserve">. </w:t>
      </w:r>
      <w:r w:rsidR="00E07B45">
        <w:t>Games</w:t>
      </w:r>
      <w:r>
        <w:t xml:space="preserve"> give the educator the opportunity to change education for learners for the better, they offer immersive, authentic models of learning and allow players to practice, fail and reflect and work with others to solve problems. Games provide a sound basis for learners to increase from beginners to experts, and play a vital role in learner’s skills as well as providing a fun way to engage learners in the topic. Importantly games provide safe spaces to play, </w:t>
      </w:r>
      <w:r>
        <w:lastRenderedPageBreak/>
        <w:t>make believe, and</w:t>
      </w:r>
      <w:r w:rsidR="004C3607">
        <w:t xml:space="preserve"> provide </w:t>
      </w:r>
      <w:r w:rsidR="00E07B45">
        <w:t>experiences</w:t>
      </w:r>
      <w:r w:rsidR="004C3607">
        <w:t xml:space="preserve"> to</w:t>
      </w:r>
      <w:r>
        <w:t xml:space="preserve"> learn from mistakes </w:t>
      </w:r>
      <w:sdt>
        <w:sdtPr>
          <w:id w:val="109289796"/>
          <w:citation/>
        </w:sdtPr>
        <w:sdtContent>
          <w:r w:rsidR="00E20F94">
            <w:fldChar w:fldCharType="begin"/>
          </w:r>
          <w:r w:rsidR="00825C58">
            <w:instrText xml:space="preserve"> CITATION Whi16 \l 2057 </w:instrText>
          </w:r>
          <w:r w:rsidR="00E20F94">
            <w:fldChar w:fldCharType="separate"/>
          </w:r>
          <w:r w:rsidR="00033BD3">
            <w:rPr>
              <w:noProof/>
            </w:rPr>
            <w:t>(Whitton &amp; Roomey, 2016)</w:t>
          </w:r>
          <w:r w:rsidR="00E20F94">
            <w:rPr>
              <w:noProof/>
            </w:rPr>
            <w:fldChar w:fldCharType="end"/>
          </w:r>
        </w:sdtContent>
      </w:sdt>
      <w:r w:rsidR="00AD50F5">
        <w:t xml:space="preserve">. </w:t>
      </w:r>
      <w:r w:rsidR="00202654">
        <w:t xml:space="preserve">Games have the power to create exciting, engaging and deeply meaningful learning experiences across a range of contexts and </w:t>
      </w:r>
      <w:r w:rsidR="00AD50F5">
        <w:t xml:space="preserve">disciplines. </w:t>
      </w:r>
      <w:r w:rsidR="004C3607">
        <w:t>Games are considered an important process for learning, for all ages</w:t>
      </w:r>
      <w:r w:rsidR="00AD50F5">
        <w:t xml:space="preserve"> </w:t>
      </w:r>
      <w:sdt>
        <w:sdtPr>
          <w:id w:val="109289797"/>
          <w:citation/>
        </w:sdtPr>
        <w:sdtContent>
          <w:r w:rsidR="00E20F94">
            <w:fldChar w:fldCharType="begin"/>
          </w:r>
          <w:r w:rsidR="00825C58">
            <w:instrText xml:space="preserve"> CITATION Hol16 \l 2057 </w:instrText>
          </w:r>
          <w:r w:rsidR="00E20F94">
            <w:fldChar w:fldCharType="separate"/>
          </w:r>
          <w:r w:rsidR="00033BD3">
            <w:rPr>
              <w:noProof/>
            </w:rPr>
            <w:t>(Holmes &amp; Gee, 2016)</w:t>
          </w:r>
          <w:r w:rsidR="00E20F94">
            <w:rPr>
              <w:noProof/>
            </w:rPr>
            <w:fldChar w:fldCharType="end"/>
          </w:r>
        </w:sdtContent>
      </w:sdt>
      <w:r w:rsidR="00202654">
        <w:t xml:space="preserve">. </w:t>
      </w:r>
      <w:r w:rsidR="00645B8C">
        <w:t>G</w:t>
      </w:r>
      <w:r>
        <w:t>ames</w:t>
      </w:r>
      <w:r w:rsidR="00645B8C">
        <w:t xml:space="preserve"> are becoming more popular and more accepted</w:t>
      </w:r>
      <w:r>
        <w:t xml:space="preserve"> for learning</w:t>
      </w:r>
      <w:r w:rsidR="00645B8C">
        <w:t xml:space="preserve"> and their use</w:t>
      </w:r>
      <w:r>
        <w:t xml:space="preserve"> has increased in recent years, in formal education at all levels, from early years to higher education, it is also considered significant within work based learning programmes and </w:t>
      </w:r>
      <w:r w:rsidR="00453F65">
        <w:t>lifelong</w:t>
      </w:r>
      <w:r>
        <w:t xml:space="preserve"> learning</w:t>
      </w:r>
      <w:r w:rsidR="00202654">
        <w:t>, with the focus on employability and enhancing skills for the workforce</w:t>
      </w:r>
      <w:r w:rsidR="00645B8C">
        <w:t xml:space="preserve"> </w:t>
      </w:r>
      <w:sdt>
        <w:sdtPr>
          <w:id w:val="699166939"/>
          <w:citation/>
        </w:sdtPr>
        <w:sdtContent>
          <w:fldSimple w:instr=" CITATION Whi16 \l 2057 ">
            <w:r w:rsidR="00033BD3">
              <w:rPr>
                <w:noProof/>
              </w:rPr>
              <w:t>(Whitton &amp; Roomey, 2016)</w:t>
            </w:r>
          </w:fldSimple>
        </w:sdtContent>
      </w:sdt>
      <w:r w:rsidR="00202654">
        <w:t>.</w:t>
      </w:r>
      <w:r w:rsidR="004C3607">
        <w:t xml:space="preserve"> </w:t>
      </w:r>
      <w:r w:rsidR="00A76FE4">
        <w:t xml:space="preserve"> During my session the learners </w:t>
      </w:r>
      <w:r w:rsidR="00480AB4">
        <w:t>were asked to provide feedback and an element of the feedback they provided was that the session had increased their aspirations to learn Welsh because of the links I had made to WAG initiatives, job descrip</w:t>
      </w:r>
      <w:r w:rsidR="004D6801">
        <w:t>tions and roles that highlight W</w:t>
      </w:r>
      <w:r w:rsidR="00480AB4">
        <w:t>elsh language skills as desirable.</w:t>
      </w:r>
      <w:r w:rsidR="00061810">
        <w:t xml:space="preserve"> (K3) (K5) (V4) (V3)</w:t>
      </w:r>
    </w:p>
    <w:p w:rsidR="00AF22B6" w:rsidRDefault="004C3607" w:rsidP="000863A8">
      <w:r>
        <w:t xml:space="preserve">This links me in to the </w:t>
      </w:r>
      <w:r w:rsidR="00E07B45">
        <w:t>cross</w:t>
      </w:r>
      <w:r>
        <w:t>- cutting theme embedded in to my micro- teaching session, with a recent</w:t>
      </w:r>
      <w:r w:rsidR="00202654">
        <w:t xml:space="preserve"> focus be</w:t>
      </w:r>
      <w:r>
        <w:t>i</w:t>
      </w:r>
      <w:r w:rsidR="00202654">
        <w:t>n</w:t>
      </w:r>
      <w:r>
        <w:t>g</w:t>
      </w:r>
      <w:r w:rsidR="00202654">
        <w:t xml:space="preserve"> on </w:t>
      </w:r>
      <w:r w:rsidR="00453F65">
        <w:t>up skilling</w:t>
      </w:r>
      <w:r w:rsidR="00202654">
        <w:t xml:space="preserve"> people</w:t>
      </w:r>
      <w:r>
        <w:t>,</w:t>
      </w:r>
      <w:r w:rsidR="00202654">
        <w:t xml:space="preserve"> and </w:t>
      </w:r>
      <w:r>
        <w:t xml:space="preserve">through </w:t>
      </w:r>
      <w:r w:rsidR="00202654">
        <w:t>eviden</w:t>
      </w:r>
      <w:r>
        <w:t>ce</w:t>
      </w:r>
      <w:r w:rsidR="00202654">
        <w:t xml:space="preserve"> through a variety of legislatio</w:t>
      </w:r>
      <w:r w:rsidR="001A44DD">
        <w:t>n and initiatives in Wales</w:t>
      </w:r>
      <w:r>
        <w:t xml:space="preserve">. </w:t>
      </w:r>
      <w:r w:rsidR="00C91981">
        <w:t>Cross cutting themes</w:t>
      </w:r>
      <w:r>
        <w:t xml:space="preserve"> have become a significant focus within higher education faculties, and are described as </w:t>
      </w:r>
      <w:r w:rsidR="00C91981">
        <w:t xml:space="preserve">issues that touch on </w:t>
      </w:r>
      <w:r w:rsidR="00CB75F9">
        <w:t>general</w:t>
      </w:r>
      <w:r w:rsidR="00C91981">
        <w:t xml:space="preserve"> principles, such as democracy, equality, sustainability and good </w:t>
      </w:r>
      <w:r w:rsidR="00CB75F9">
        <w:t>governance</w:t>
      </w:r>
      <w:r w:rsidR="001A44DD">
        <w:t xml:space="preserve"> </w:t>
      </w:r>
      <w:sdt>
        <w:sdtPr>
          <w:id w:val="109289801"/>
          <w:citation/>
        </w:sdtPr>
        <w:sdtContent>
          <w:r w:rsidR="00E20F94">
            <w:fldChar w:fldCharType="begin"/>
          </w:r>
          <w:r w:rsidR="00825C58">
            <w:instrText xml:space="preserve"> CITATION Swa17 \l 2057 </w:instrText>
          </w:r>
          <w:r w:rsidR="00E20F94">
            <w:fldChar w:fldCharType="separate"/>
          </w:r>
          <w:r w:rsidR="00033BD3">
            <w:rPr>
              <w:noProof/>
            </w:rPr>
            <w:t>(University, 2017)</w:t>
          </w:r>
          <w:r w:rsidR="00E20F94">
            <w:rPr>
              <w:noProof/>
            </w:rPr>
            <w:fldChar w:fldCharType="end"/>
          </w:r>
        </w:sdtContent>
      </w:sdt>
      <w:r w:rsidR="00C91981">
        <w:t xml:space="preserve"> </w:t>
      </w:r>
    </w:p>
    <w:p w:rsidR="004C3607" w:rsidRDefault="001A44DD" w:rsidP="004C3607">
      <w:r>
        <w:t>“</w:t>
      </w:r>
      <w:r w:rsidR="004C3607">
        <w:t>Addressing cross cutting themes through post compulsory education aims at promoting the following;</w:t>
      </w:r>
    </w:p>
    <w:p w:rsidR="004C3607" w:rsidRDefault="004C3607" w:rsidP="004C3607">
      <w:pPr>
        <w:pStyle w:val="ListParagraph"/>
        <w:numPr>
          <w:ilvl w:val="0"/>
          <w:numId w:val="4"/>
        </w:numPr>
      </w:pPr>
      <w:r>
        <w:t xml:space="preserve"> Equal opportunities, gender mainstreaming and the welsh language; by reducing injustice and promoting social cohesion, while providing opportunities to increase prosperity and address imbalances in earnings in Wales</w:t>
      </w:r>
    </w:p>
    <w:p w:rsidR="004C3607" w:rsidRDefault="004C3607" w:rsidP="004C3607">
      <w:pPr>
        <w:pStyle w:val="ListParagraph"/>
        <w:numPr>
          <w:ilvl w:val="0"/>
          <w:numId w:val="4"/>
        </w:numPr>
      </w:pPr>
      <w:r>
        <w:t>Sustainable development; by ensuring that standards meet social, economic and environmental objectives simultaneously. Preserving protecting and improving the environment, providing a high quality, attractive place for people to live and work in Wales.</w:t>
      </w:r>
    </w:p>
    <w:p w:rsidR="004C3607" w:rsidRDefault="004C3607" w:rsidP="004C3607">
      <w:pPr>
        <w:pStyle w:val="ListParagraph"/>
        <w:numPr>
          <w:ilvl w:val="0"/>
          <w:numId w:val="4"/>
        </w:numPr>
      </w:pPr>
      <w:r>
        <w:t>Tackling poverty and social exclusion; by helping those most in need and preventing future generations from experiencing poverty. To focus actions on sustainable employment and progression opportunities and support people to access them</w:t>
      </w:r>
      <w:r w:rsidR="001A44DD">
        <w:t xml:space="preserve">” </w:t>
      </w:r>
      <w:sdt>
        <w:sdtPr>
          <w:id w:val="109289802"/>
          <w:citation/>
        </w:sdtPr>
        <w:sdtContent>
          <w:r w:rsidR="00E20F94">
            <w:fldChar w:fldCharType="begin"/>
          </w:r>
          <w:r w:rsidR="00825C58">
            <w:instrText xml:space="preserve"> CITATION Swa17 \l 2057 </w:instrText>
          </w:r>
          <w:r w:rsidR="00E20F94">
            <w:fldChar w:fldCharType="separate"/>
          </w:r>
          <w:r w:rsidR="00033BD3">
            <w:rPr>
              <w:noProof/>
            </w:rPr>
            <w:t>(University, 2017)</w:t>
          </w:r>
          <w:r w:rsidR="00E20F94">
            <w:rPr>
              <w:noProof/>
            </w:rPr>
            <w:fldChar w:fldCharType="end"/>
          </w:r>
        </w:sdtContent>
      </w:sdt>
      <w:r w:rsidR="001A44DD">
        <w:t>.</w:t>
      </w:r>
    </w:p>
    <w:p w:rsidR="00AF22B6" w:rsidRDefault="00202654" w:rsidP="00AF22B6">
      <w:r>
        <w:t>M</w:t>
      </w:r>
      <w:r w:rsidR="00AF22B6">
        <w:t>y session</w:t>
      </w:r>
      <w:r>
        <w:t xml:space="preserve"> was designed</w:t>
      </w:r>
      <w:r w:rsidR="00AF22B6">
        <w:t xml:space="preserve"> </w:t>
      </w:r>
      <w:r>
        <w:t>to support</w:t>
      </w:r>
      <w:r w:rsidR="00AF22B6">
        <w:t xml:space="preserve"> the cross cutting theme </w:t>
      </w:r>
      <w:r w:rsidR="00CB75F9">
        <w:t>related</w:t>
      </w:r>
      <w:r w:rsidR="00AF22B6">
        <w:t xml:space="preserve"> to Equal </w:t>
      </w:r>
      <w:r w:rsidR="00CB75F9">
        <w:t>opportunities</w:t>
      </w:r>
      <w:r>
        <w:t>,</w:t>
      </w:r>
      <w:r w:rsidR="00AF22B6">
        <w:t xml:space="preserve"> </w:t>
      </w:r>
      <w:r>
        <w:t>in particular</w:t>
      </w:r>
      <w:r w:rsidR="00AF22B6">
        <w:t xml:space="preserve"> the Welsh language and tackling poverty. </w:t>
      </w:r>
      <w:r w:rsidR="004205A2">
        <w:t xml:space="preserve">Whilst conducting research into my chosen cross- cutting themes, I was drawn to the Well- being of Future </w:t>
      </w:r>
      <w:r w:rsidR="004B111E">
        <w:t>Generations (</w:t>
      </w:r>
      <w:r w:rsidR="00CA4E94">
        <w:t xml:space="preserve">Wales) </w:t>
      </w:r>
      <w:r w:rsidR="004205A2">
        <w:t>Act (2015)</w:t>
      </w:r>
      <w:r w:rsidR="00CA4E94">
        <w:t xml:space="preserve">, an Act designed to improve the social, economic, environmental and cultural well- being of Wales. The Act highlights improvements and developments across public bodies, including education. The </w:t>
      </w:r>
      <w:r w:rsidR="004B111E">
        <w:t>Act</w:t>
      </w:r>
      <w:r w:rsidR="00CA4E94">
        <w:t xml:space="preserve"> aims to </w:t>
      </w:r>
      <w:r w:rsidR="004B111E">
        <w:t>enable</w:t>
      </w:r>
      <w:r w:rsidR="00CA4E94">
        <w:t xml:space="preserve"> public bodies to </w:t>
      </w:r>
      <w:r w:rsidR="004B111E">
        <w:t>develop</w:t>
      </w:r>
      <w:r w:rsidR="00CA4E94">
        <w:t xml:space="preserve"> lo</w:t>
      </w:r>
      <w:r w:rsidR="000863A8">
        <w:t>n</w:t>
      </w:r>
      <w:r w:rsidR="00CA4E94">
        <w:t xml:space="preserve">g term thinking, work better with </w:t>
      </w:r>
      <w:r w:rsidR="004B111E">
        <w:t>people</w:t>
      </w:r>
      <w:r w:rsidR="00CA4E94">
        <w:t xml:space="preserve">, </w:t>
      </w:r>
      <w:r w:rsidR="004B111E">
        <w:t>communities</w:t>
      </w:r>
      <w:r w:rsidR="00CA4E94">
        <w:t xml:space="preserve"> and build better partnerships with one another to prevent and improve the issues</w:t>
      </w:r>
      <w:r>
        <w:t xml:space="preserve"> identified as cross cutting themes in Wales</w:t>
      </w:r>
      <w:r w:rsidR="00CA4E94">
        <w:t xml:space="preserve"> </w:t>
      </w:r>
      <w:sdt>
        <w:sdtPr>
          <w:id w:val="109289803"/>
          <w:citation/>
        </w:sdtPr>
        <w:sdtContent>
          <w:r w:rsidR="00E20F94">
            <w:fldChar w:fldCharType="begin"/>
          </w:r>
          <w:r w:rsidR="00825C58">
            <w:instrText xml:space="preserve"> CITATION Wel15 \l 2057 </w:instrText>
          </w:r>
          <w:r w:rsidR="00E20F94">
            <w:fldChar w:fldCharType="separate"/>
          </w:r>
          <w:r w:rsidR="00033BD3">
            <w:rPr>
              <w:noProof/>
            </w:rPr>
            <w:t>(Government, Well-being of Futures Generations (Wales) Act 2015, 2015)</w:t>
          </w:r>
          <w:r w:rsidR="00E20F94">
            <w:rPr>
              <w:noProof/>
            </w:rPr>
            <w:fldChar w:fldCharType="end"/>
          </w:r>
        </w:sdtContent>
      </w:sdt>
      <w:r w:rsidR="001A44DD">
        <w:t>.</w:t>
      </w:r>
      <w:r w:rsidR="00061810">
        <w:t xml:space="preserve"> </w:t>
      </w:r>
      <w:bookmarkStart w:id="2" w:name="_Hlk499281194"/>
      <w:r w:rsidR="00061810">
        <w:t>(V1) (V2) (V3) (V4) (K6) (A5)</w:t>
      </w:r>
      <w:bookmarkEnd w:id="2"/>
    </w:p>
    <w:p w:rsidR="00CA4E94" w:rsidRDefault="005622A4" w:rsidP="00AF22B6">
      <w:r>
        <w:t>“</w:t>
      </w:r>
      <w:r w:rsidR="00CA4E94">
        <w:t xml:space="preserve">To improve the future of Wales </w:t>
      </w:r>
      <w:r w:rsidR="004B111E">
        <w:t>the</w:t>
      </w:r>
      <w:r w:rsidR="00CA4E94">
        <w:t xml:space="preserve"> </w:t>
      </w:r>
      <w:r w:rsidR="00480AB4">
        <w:t>Well-being</w:t>
      </w:r>
      <w:r w:rsidR="00CA4E94">
        <w:t xml:space="preserve"> of Future Generations Wales Act 2015 the vision is for everyone to </w:t>
      </w:r>
      <w:r w:rsidR="004B111E">
        <w:t>b</w:t>
      </w:r>
      <w:r w:rsidR="00CA4E94">
        <w:t>e working together in the same way and towards the same purpose, the vision for achieving this is</w:t>
      </w:r>
      <w:r w:rsidR="00EF6DD5">
        <w:t xml:space="preserve"> set out in 7 well- being goals </w:t>
      </w:r>
    </w:p>
    <w:p w:rsidR="00CA4E94" w:rsidRDefault="00CA4E94" w:rsidP="00CA4E94">
      <w:pPr>
        <w:pStyle w:val="ListParagraph"/>
        <w:numPr>
          <w:ilvl w:val="0"/>
          <w:numId w:val="5"/>
        </w:numPr>
      </w:pPr>
      <w:r>
        <w:t>A globally responsible Wales</w:t>
      </w:r>
    </w:p>
    <w:p w:rsidR="00CA4E94" w:rsidRDefault="00CA4E94" w:rsidP="00CA4E94">
      <w:pPr>
        <w:pStyle w:val="ListParagraph"/>
        <w:numPr>
          <w:ilvl w:val="0"/>
          <w:numId w:val="5"/>
        </w:numPr>
      </w:pPr>
      <w:r>
        <w:t>A prosperous Wales</w:t>
      </w:r>
    </w:p>
    <w:p w:rsidR="00CA4E94" w:rsidRDefault="00CA4E94" w:rsidP="00CA4E94">
      <w:pPr>
        <w:pStyle w:val="ListParagraph"/>
        <w:numPr>
          <w:ilvl w:val="0"/>
          <w:numId w:val="5"/>
        </w:numPr>
      </w:pPr>
      <w:r>
        <w:t>A resilient Wales</w:t>
      </w:r>
    </w:p>
    <w:p w:rsidR="00CA4E94" w:rsidRDefault="00CA4E94" w:rsidP="00CA4E94">
      <w:pPr>
        <w:pStyle w:val="ListParagraph"/>
        <w:numPr>
          <w:ilvl w:val="0"/>
          <w:numId w:val="5"/>
        </w:numPr>
      </w:pPr>
      <w:r>
        <w:t>A healthier Wales</w:t>
      </w:r>
    </w:p>
    <w:p w:rsidR="00CA4E94" w:rsidRDefault="00CA4E94" w:rsidP="00CA4E94">
      <w:pPr>
        <w:pStyle w:val="ListParagraph"/>
        <w:numPr>
          <w:ilvl w:val="0"/>
          <w:numId w:val="5"/>
        </w:numPr>
      </w:pPr>
      <w:r>
        <w:t>A more equal Wales</w:t>
      </w:r>
    </w:p>
    <w:p w:rsidR="00CA4E94" w:rsidRDefault="00CA4E94" w:rsidP="00CA4E94">
      <w:pPr>
        <w:pStyle w:val="ListParagraph"/>
        <w:numPr>
          <w:ilvl w:val="0"/>
          <w:numId w:val="5"/>
        </w:numPr>
      </w:pPr>
      <w:r>
        <w:lastRenderedPageBreak/>
        <w:t>A Wales of cohesive communities</w:t>
      </w:r>
    </w:p>
    <w:p w:rsidR="00480AB4" w:rsidRDefault="00CA4E94" w:rsidP="00480AB4">
      <w:pPr>
        <w:pStyle w:val="ListParagraph"/>
        <w:numPr>
          <w:ilvl w:val="0"/>
          <w:numId w:val="5"/>
        </w:numPr>
      </w:pPr>
      <w:r>
        <w:t xml:space="preserve">A Wales of </w:t>
      </w:r>
      <w:r w:rsidR="004B111E">
        <w:t>vibrant</w:t>
      </w:r>
      <w:r>
        <w:t xml:space="preserve"> culture and thriving Welsh language</w:t>
      </w:r>
      <w:r w:rsidR="005622A4">
        <w:t>”</w:t>
      </w:r>
      <w:r>
        <w:t xml:space="preserve"> </w:t>
      </w:r>
      <w:sdt>
        <w:sdtPr>
          <w:id w:val="109289804"/>
          <w:citation/>
        </w:sdtPr>
        <w:sdtContent>
          <w:r w:rsidR="00E20F94">
            <w:fldChar w:fldCharType="begin"/>
          </w:r>
          <w:r w:rsidR="00825C58">
            <w:instrText xml:space="preserve"> CITATION Wel16 \l 2057 </w:instrText>
          </w:r>
          <w:r w:rsidR="00E20F94">
            <w:fldChar w:fldCharType="separate"/>
          </w:r>
          <w:r w:rsidR="00033BD3">
            <w:rPr>
              <w:noProof/>
            </w:rPr>
            <w:t>(Government, A guide to the Well-being of Futures Act, 2016)</w:t>
          </w:r>
          <w:r w:rsidR="00E20F94">
            <w:rPr>
              <w:noProof/>
            </w:rPr>
            <w:fldChar w:fldCharType="end"/>
          </w:r>
        </w:sdtContent>
      </w:sdt>
      <w:r w:rsidR="001B3BC4">
        <w:t>.</w:t>
      </w:r>
    </w:p>
    <w:p w:rsidR="00CA4E94" w:rsidRDefault="00CA4E94" w:rsidP="00CA4E94">
      <w:r>
        <w:t xml:space="preserve">The Act highlights the importance of prosperity and stability within Welsh communities. This is significantly reliant on embedding the relevant skills and values into the people of Wales. Education has a fundamental role to play in creating personal fulfilment, community development and wealth creation. The focus is on creating opportunities for all and bridging the gap in equal </w:t>
      </w:r>
      <w:r w:rsidR="004B111E">
        <w:t>opportunities</w:t>
      </w:r>
      <w:r>
        <w:t xml:space="preserve">. Education has the potential to change lives and </w:t>
      </w:r>
      <w:r w:rsidR="004B111E">
        <w:t>can have</w:t>
      </w:r>
      <w:r>
        <w:t xml:space="preserve"> significant positive impacts on the growth of the economy </w:t>
      </w:r>
      <w:sdt>
        <w:sdtPr>
          <w:id w:val="109289798"/>
          <w:citation/>
        </w:sdtPr>
        <w:sdtContent>
          <w:r w:rsidR="00E20F94">
            <w:fldChar w:fldCharType="begin"/>
          </w:r>
          <w:r w:rsidR="00825C58">
            <w:instrText xml:space="preserve"> CITATION Pat11 \l 2057 </w:instrText>
          </w:r>
          <w:r w:rsidR="00E20F94">
            <w:fldChar w:fldCharType="separate"/>
          </w:r>
          <w:r w:rsidR="00033BD3">
            <w:rPr>
              <w:noProof/>
            </w:rPr>
            <w:t>(Felicia, 2011)</w:t>
          </w:r>
          <w:r w:rsidR="00E20F94">
            <w:rPr>
              <w:noProof/>
            </w:rPr>
            <w:fldChar w:fldCharType="end"/>
          </w:r>
        </w:sdtContent>
      </w:sdt>
      <w:r w:rsidR="0025521F">
        <w:t xml:space="preserve">. </w:t>
      </w:r>
      <w:r w:rsidR="00061810">
        <w:t>(V1) (V2) (V3) (V4) (K6) (A5)</w:t>
      </w:r>
      <w:r w:rsidR="006B34C5">
        <w:t xml:space="preserve">  </w:t>
      </w:r>
    </w:p>
    <w:p w:rsidR="001A575E" w:rsidRDefault="001A575E" w:rsidP="00CA4E94">
      <w:r>
        <w:t>In November 2016 the Welsh Assembly Government implemented the five-year plan, to support the delivery of the Well-bei</w:t>
      </w:r>
      <w:r w:rsidR="001B3BC4">
        <w:t>ng for Future Generations (Wales</w:t>
      </w:r>
      <w:r>
        <w:t xml:space="preserve">) Act 2015 and the achievement of the 7 well being goals within this. Taking Wales Forward 2016 aims to maximise the 7-national </w:t>
      </w:r>
      <w:r w:rsidR="00453F65">
        <w:t>well are</w:t>
      </w:r>
      <w:r>
        <w:t xml:space="preserve"> goals as well as creating a further 14 well being objectives, which reflect their aspirations for change over the long term. The key priorities for improvement focus on the society, t</w:t>
      </w:r>
      <w:r w:rsidR="001B3BC4">
        <w:t>he environment and culture.</w:t>
      </w:r>
      <w:r w:rsidR="002049AD">
        <w:t xml:space="preserve"> </w:t>
      </w:r>
      <w:r>
        <w:t>Taking Wales Forward 2016 highlights the need to continuously transform the education and skills sector, by supporting a vibrant further and higher education sector. Educating people and supporting business and Universities to prioritise support for enhanced links between education and industry, enabling innovation and entrepreneurship across public and private sectors and by promoting and enhancing both academic and vocational routes into and through further and higher education, and</w:t>
      </w:r>
      <w:r w:rsidR="002049AD">
        <w:t xml:space="preserve"> the national, international, </w:t>
      </w:r>
      <w:r>
        <w:t xml:space="preserve">and civic roles of the education institutions, to include both full and part time opportunities, that benefit learners of all ages, employers and communities </w:t>
      </w:r>
      <w:sdt>
        <w:sdtPr>
          <w:id w:val="109289805"/>
          <w:citation/>
        </w:sdtPr>
        <w:sdtContent>
          <w:r w:rsidR="00E20F94">
            <w:fldChar w:fldCharType="begin"/>
          </w:r>
          <w:r w:rsidR="00825C58">
            <w:instrText xml:space="preserve"> CITATION Wel161 \l 2057 </w:instrText>
          </w:r>
          <w:r w:rsidR="00E20F94">
            <w:fldChar w:fldCharType="separate"/>
          </w:r>
          <w:r w:rsidR="00033BD3">
            <w:rPr>
              <w:noProof/>
            </w:rPr>
            <w:t>(Government, Llywodraeth Cymru, 2016)</w:t>
          </w:r>
          <w:r w:rsidR="00E20F94">
            <w:rPr>
              <w:noProof/>
            </w:rPr>
            <w:fldChar w:fldCharType="end"/>
          </w:r>
        </w:sdtContent>
      </w:sdt>
      <w:r w:rsidR="001B3BC4">
        <w:t>.</w:t>
      </w:r>
      <w:r w:rsidR="00061810">
        <w:t xml:space="preserve"> (V1) (V2) (V3) (V4) (K6) (A5)</w:t>
      </w:r>
    </w:p>
    <w:p w:rsidR="002049AD" w:rsidRDefault="002049AD" w:rsidP="00CA4E94">
      <w:r>
        <w:t xml:space="preserve">WAG are committed to providing opportunities for Welsh communities and have recently delivered a new strategy that links to my cross cutting theme. Prosperity for All Wales 2021 is another strategy aimed at supporting people in Wales to become ambitious and develop through learning. This strategy aims to instil in everyone a passion to learn throughout their lives, inspiring them with the ambition to be the best they possibly can. </w:t>
      </w:r>
      <w:r w:rsidR="00617F9E">
        <w:t>Prosperous Wales needs</w:t>
      </w:r>
      <w:r>
        <w:t xml:space="preserve"> creative, highly skilled and adaptable people, therefore education from the earliest age will be the foundation for a lifetime of learning and achievement</w:t>
      </w:r>
      <w:r w:rsidR="001B3BC4">
        <w:t xml:space="preserve"> </w:t>
      </w:r>
      <w:sdt>
        <w:sdtPr>
          <w:id w:val="109289806"/>
          <w:citation/>
        </w:sdtPr>
        <w:sdtContent>
          <w:fldSimple w:instr=" CITATION Wel17 \l 2057  ">
            <w:r w:rsidR="00033BD3">
              <w:rPr>
                <w:noProof/>
              </w:rPr>
              <w:t>(Government, Prosperity for All: The National Strategy, 2017)</w:t>
            </w:r>
          </w:fldSimple>
        </w:sdtContent>
      </w:sdt>
      <w:r w:rsidR="001B3BC4">
        <w:t>.</w:t>
      </w:r>
      <w:r w:rsidR="00061810">
        <w:t xml:space="preserve"> (V1) (V2) (V3) (V4) (K6) (A5)</w:t>
      </w:r>
    </w:p>
    <w:p w:rsidR="0049106F" w:rsidRDefault="009633E9" w:rsidP="00617F9E">
      <w:r>
        <w:t xml:space="preserve">This micro- teaching session has provided me with an abundance of knowledge and confidence on my journey into teaching practice, and through my reflections I have expanded my understanding and research skills immensely. The main outcomes from the reflection I have conducted have drawn me to the UK </w:t>
      </w:r>
      <w:r w:rsidR="0049106F">
        <w:t>Professional</w:t>
      </w:r>
      <w:r>
        <w:t xml:space="preserve"> Standards Framework (see app</w:t>
      </w:r>
      <w:r w:rsidR="005622A4">
        <w:t>endix 3</w:t>
      </w:r>
      <w:r>
        <w:t xml:space="preserve">), and how I can improve and deliver education in the future. </w:t>
      </w:r>
      <w:r w:rsidR="0049106F">
        <w:t>My recommendations for my own personal</w:t>
      </w:r>
      <w:r w:rsidR="00615D61">
        <w:t xml:space="preserve"> development in this instance will be</w:t>
      </w:r>
      <w:r w:rsidR="00617F9E">
        <w:t xml:space="preserve"> to </w:t>
      </w:r>
      <w:r w:rsidR="001B3BC4">
        <w:t>engage</w:t>
      </w:r>
      <w:r w:rsidR="0049106F">
        <w:t xml:space="preserve"> in continuing </w:t>
      </w:r>
      <w:r w:rsidR="00615D61">
        <w:t>professional</w:t>
      </w:r>
      <w:r w:rsidR="0049106F">
        <w:t xml:space="preserve"> </w:t>
      </w:r>
      <w:r w:rsidR="001B3BC4">
        <w:t>development,</w:t>
      </w:r>
      <w:r w:rsidR="00617F9E">
        <w:t xml:space="preserve"> i</w:t>
      </w:r>
      <w:r w:rsidR="0049106F">
        <w:t xml:space="preserve">n particular this relates to my current research and the need to be aware of the </w:t>
      </w:r>
      <w:r w:rsidR="001B3BC4">
        <w:t>learner’s</w:t>
      </w:r>
      <w:r w:rsidR="0049106F">
        <w:t xml:space="preserve"> needs and </w:t>
      </w:r>
      <w:r w:rsidR="00617F9E">
        <w:t>personal goals,</w:t>
      </w:r>
      <w:r w:rsidR="0049106F">
        <w:t xml:space="preserve"> and delivering sessions that are beneficial for their learning styles and their own personal </w:t>
      </w:r>
      <w:r w:rsidR="00617F9E">
        <w:t>aspirations</w:t>
      </w:r>
      <w:r w:rsidR="0049106F">
        <w:t xml:space="preserve">. This is </w:t>
      </w:r>
      <w:r w:rsidR="00615D61">
        <w:t>also</w:t>
      </w:r>
      <w:r w:rsidR="0049106F">
        <w:t xml:space="preserve"> relates to the need to be up to date with current </w:t>
      </w:r>
      <w:r w:rsidR="00615D61">
        <w:t>legislation</w:t>
      </w:r>
      <w:r w:rsidR="0049106F">
        <w:t xml:space="preserve"> that may impact on the learning environment</w:t>
      </w:r>
      <w:r w:rsidR="00615D61">
        <w:t>. It will in future be of significant importance that I am continuously learning and developing my practices around the link between learning and building better communities and prosperous people.</w:t>
      </w:r>
      <w:r w:rsidR="00617F9E">
        <w:t xml:space="preserve"> The incorporation of action learning and constructivism will be a vital tool in my personal development, as I enhance my knowledge in this area I can as a result create meaningful </w:t>
      </w:r>
      <w:r w:rsidR="001B3BC4">
        <w:t>environments that</w:t>
      </w:r>
      <w:r w:rsidR="00617F9E">
        <w:t xml:space="preserve"> engage learners in experiences that reflect real life experiences, that they can in turn relate to personal attribution of skills required for their development and progression into </w:t>
      </w:r>
      <w:r w:rsidR="00617F9E">
        <w:lastRenderedPageBreak/>
        <w:t>employment and or within their own personal lives and society.</w:t>
      </w:r>
      <w:r w:rsidR="00EF6DD5">
        <w:t xml:space="preserve"> I have created my own personal development plan using </w:t>
      </w:r>
      <w:r w:rsidR="006D4465">
        <w:t>all</w:t>
      </w:r>
      <w:r w:rsidR="00936D77">
        <w:t xml:space="preserve">  </w:t>
      </w:r>
      <w:r w:rsidR="00EF6DD5">
        <w:t xml:space="preserve"> the information from this reflection and the HEA standards</w:t>
      </w:r>
      <w:r w:rsidR="00B50C2D">
        <w:t xml:space="preserve"> with recommendations for my own 0personal development</w:t>
      </w:r>
      <w:r w:rsidR="00EF6DD5">
        <w:t xml:space="preserve"> (see app</w:t>
      </w:r>
      <w:r w:rsidR="005622A4">
        <w:t>endix 4</w:t>
      </w:r>
      <w:r w:rsidR="00EF6DD5">
        <w:t>)</w:t>
      </w:r>
      <w:r w:rsidR="006D4465">
        <w:t xml:space="preserve"> (A1) (A2) (A3) (A4) (A5) (K1) (K2) (K3) (K4) (K5) (K6) (V1) (V2) (V3) (V4)</w:t>
      </w:r>
    </w:p>
    <w:p w:rsidR="00266328" w:rsidRDefault="00266328"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0002AC" w:rsidRDefault="000002AC" w:rsidP="00617F9E"/>
    <w:p w:rsidR="00266328" w:rsidRPr="003312BD" w:rsidRDefault="00266328" w:rsidP="00617F9E">
      <w:pPr>
        <w:rPr>
          <w:sz w:val="28"/>
          <w:szCs w:val="28"/>
          <w:u w:val="single"/>
        </w:rPr>
      </w:pPr>
      <w:r w:rsidRPr="003312BD">
        <w:rPr>
          <w:sz w:val="28"/>
          <w:szCs w:val="28"/>
          <w:u w:val="single"/>
        </w:rPr>
        <w:t>Appendices</w:t>
      </w:r>
    </w:p>
    <w:p w:rsidR="003312BD" w:rsidRDefault="00183C46" w:rsidP="003312BD">
      <w:r>
        <w:t xml:space="preserve">Appendix </w:t>
      </w:r>
      <w:r w:rsidR="003312BD">
        <w:t>1</w:t>
      </w:r>
    </w:p>
    <w:p w:rsidR="003312BD" w:rsidRPr="003312BD" w:rsidRDefault="003312BD" w:rsidP="003312BD">
      <w:r>
        <w:t xml:space="preserve">Honey and Mumford </w:t>
      </w:r>
      <w:r w:rsidR="00453F65" w:rsidRPr="003312BD">
        <w:rPr>
          <w:rFonts w:ascii="Arial" w:eastAsia="Times New Roman" w:hAnsi="Arial" w:cs="Arial"/>
          <w:color w:val="333333"/>
          <w:sz w:val="19"/>
          <w:szCs w:val="19"/>
          <w:lang w:eastAsia="en-GB"/>
        </w:rPr>
        <w:t>the</w:t>
      </w:r>
      <w:r w:rsidRPr="003312BD">
        <w:rPr>
          <w:rFonts w:ascii="Arial" w:eastAsia="Times New Roman" w:hAnsi="Arial" w:cs="Arial"/>
          <w:color w:val="333333"/>
          <w:sz w:val="19"/>
          <w:szCs w:val="19"/>
          <w:lang w:eastAsia="en-GB"/>
        </w:rPr>
        <w:t xml:space="preserve"> characteristics of the four learning styles are summarised in the following table.</w:t>
      </w:r>
    </w:p>
    <w:tbl>
      <w:tblPr>
        <w:tblW w:w="8145" w:type="dxa"/>
        <w:tblBorders>
          <w:left w:val="single" w:sz="6" w:space="0" w:color="DDDDDD"/>
          <w:bottom w:val="single" w:sz="6" w:space="0" w:color="DDDDDD"/>
        </w:tblBorders>
        <w:shd w:val="clear" w:color="auto" w:fill="FFFFFF"/>
        <w:tblCellMar>
          <w:left w:w="0" w:type="dxa"/>
          <w:right w:w="0" w:type="dxa"/>
        </w:tblCellMar>
        <w:tblLook w:val="04A0"/>
      </w:tblPr>
      <w:tblGrid>
        <w:gridCol w:w="1261"/>
        <w:gridCol w:w="4661"/>
        <w:gridCol w:w="2223"/>
      </w:tblGrid>
      <w:tr w:rsidR="003312BD" w:rsidRPr="003312BD" w:rsidTr="003312BD">
        <w:trPr>
          <w:tblHeader/>
        </w:trPr>
        <w:tc>
          <w:tcPr>
            <w:tcW w:w="0" w:type="auto"/>
            <w:tcBorders>
              <w:top w:val="nil"/>
              <w:left w:val="nil"/>
              <w:bottom w:val="nil"/>
              <w:right w:val="nil"/>
            </w:tcBorders>
            <w:shd w:val="clear" w:color="auto" w:fill="667375"/>
            <w:tcMar>
              <w:top w:w="120" w:type="dxa"/>
              <w:left w:w="132" w:type="dxa"/>
              <w:bottom w:w="84" w:type="dxa"/>
              <w:right w:w="132" w:type="dxa"/>
            </w:tcMar>
            <w:hideMark/>
          </w:tcPr>
          <w:p w:rsidR="003312BD" w:rsidRPr="003312BD" w:rsidRDefault="003312BD" w:rsidP="003312BD">
            <w:pPr>
              <w:spacing w:after="0" w:line="240" w:lineRule="auto"/>
              <w:rPr>
                <w:rFonts w:ascii="Arial" w:eastAsia="Times New Roman" w:hAnsi="Arial" w:cs="Arial"/>
                <w:b/>
                <w:bCs/>
                <w:color w:val="333333"/>
                <w:sz w:val="19"/>
                <w:szCs w:val="19"/>
                <w:lang w:eastAsia="en-GB"/>
              </w:rPr>
            </w:pPr>
            <w:r w:rsidRPr="003312BD">
              <w:rPr>
                <w:rFonts w:ascii="Arial" w:eastAsia="Times New Roman" w:hAnsi="Arial" w:cs="Arial"/>
                <w:b/>
                <w:bCs/>
                <w:color w:val="333333"/>
                <w:sz w:val="19"/>
                <w:szCs w:val="19"/>
                <w:lang w:eastAsia="en-GB"/>
              </w:rPr>
              <w:t>Learning style</w:t>
            </w:r>
            <w:r w:rsidRPr="003312BD">
              <w:rPr>
                <w:rFonts w:ascii="Arial" w:eastAsia="Times New Roman" w:hAnsi="Arial" w:cs="Arial"/>
                <w:b/>
                <w:bCs/>
                <w:color w:val="333333"/>
                <w:sz w:val="19"/>
                <w:szCs w:val="19"/>
                <w:lang w:eastAsia="en-GB"/>
              </w:rPr>
              <w:br/>
              <w:t>▲</w:t>
            </w:r>
          </w:p>
        </w:tc>
        <w:tc>
          <w:tcPr>
            <w:tcW w:w="0" w:type="auto"/>
            <w:tcBorders>
              <w:top w:val="nil"/>
              <w:left w:val="nil"/>
              <w:bottom w:val="nil"/>
              <w:right w:val="nil"/>
            </w:tcBorders>
            <w:shd w:val="clear" w:color="auto" w:fill="667375"/>
            <w:tcMar>
              <w:top w:w="120" w:type="dxa"/>
              <w:left w:w="132" w:type="dxa"/>
              <w:bottom w:w="84" w:type="dxa"/>
              <w:right w:w="132" w:type="dxa"/>
            </w:tcMar>
            <w:hideMark/>
          </w:tcPr>
          <w:p w:rsidR="003312BD" w:rsidRPr="003312BD" w:rsidRDefault="003312BD" w:rsidP="003312BD">
            <w:pPr>
              <w:spacing w:after="0" w:line="240" w:lineRule="auto"/>
              <w:rPr>
                <w:rFonts w:ascii="Arial" w:eastAsia="Times New Roman" w:hAnsi="Arial" w:cs="Arial"/>
                <w:b/>
                <w:bCs/>
                <w:color w:val="333333"/>
                <w:sz w:val="19"/>
                <w:szCs w:val="19"/>
                <w:lang w:eastAsia="en-GB"/>
              </w:rPr>
            </w:pPr>
            <w:r w:rsidRPr="003312BD">
              <w:rPr>
                <w:rFonts w:ascii="Arial" w:eastAsia="Times New Roman" w:hAnsi="Arial" w:cs="Arial"/>
                <w:b/>
                <w:bCs/>
                <w:color w:val="333333"/>
                <w:sz w:val="19"/>
                <w:szCs w:val="19"/>
                <w:lang w:eastAsia="en-GB"/>
              </w:rPr>
              <w:t>Attributes</w:t>
            </w:r>
            <w:r w:rsidRPr="003312BD">
              <w:rPr>
                <w:rFonts w:ascii="Arial" w:eastAsia="Times New Roman" w:hAnsi="Arial" w:cs="Arial"/>
                <w:b/>
                <w:bCs/>
                <w:color w:val="333333"/>
                <w:sz w:val="19"/>
                <w:szCs w:val="19"/>
                <w:lang w:eastAsia="en-GB"/>
              </w:rPr>
              <w:t> </w:t>
            </w:r>
          </w:p>
        </w:tc>
        <w:tc>
          <w:tcPr>
            <w:tcW w:w="0" w:type="auto"/>
            <w:tcBorders>
              <w:top w:val="nil"/>
              <w:left w:val="nil"/>
              <w:bottom w:val="nil"/>
              <w:right w:val="nil"/>
            </w:tcBorders>
            <w:shd w:val="clear" w:color="auto" w:fill="667375"/>
            <w:tcMar>
              <w:top w:w="120" w:type="dxa"/>
              <w:left w:w="132" w:type="dxa"/>
              <w:bottom w:w="84" w:type="dxa"/>
              <w:right w:w="132" w:type="dxa"/>
            </w:tcMar>
            <w:hideMark/>
          </w:tcPr>
          <w:p w:rsidR="003312BD" w:rsidRPr="003312BD" w:rsidRDefault="003312BD" w:rsidP="003312BD">
            <w:pPr>
              <w:spacing w:after="0" w:line="240" w:lineRule="auto"/>
              <w:rPr>
                <w:rFonts w:ascii="Arial" w:eastAsia="Times New Roman" w:hAnsi="Arial" w:cs="Arial"/>
                <w:b/>
                <w:bCs/>
                <w:color w:val="333333"/>
                <w:sz w:val="19"/>
                <w:szCs w:val="19"/>
                <w:lang w:eastAsia="en-GB"/>
              </w:rPr>
            </w:pPr>
            <w:r w:rsidRPr="003312BD">
              <w:rPr>
                <w:rFonts w:ascii="Arial" w:eastAsia="Times New Roman" w:hAnsi="Arial" w:cs="Arial"/>
                <w:b/>
                <w:bCs/>
                <w:color w:val="333333"/>
                <w:sz w:val="19"/>
                <w:szCs w:val="19"/>
                <w:lang w:eastAsia="en-GB"/>
              </w:rPr>
              <w:t>Activities</w:t>
            </w:r>
            <w:r w:rsidRPr="003312BD">
              <w:rPr>
                <w:rFonts w:ascii="Arial" w:eastAsia="Times New Roman" w:hAnsi="Arial" w:cs="Arial"/>
                <w:b/>
                <w:bCs/>
                <w:color w:val="333333"/>
                <w:sz w:val="19"/>
                <w:szCs w:val="19"/>
                <w:lang w:eastAsia="en-GB"/>
              </w:rPr>
              <w:t> </w:t>
            </w:r>
          </w:p>
        </w:tc>
      </w:tr>
      <w:tr w:rsidR="003312BD" w:rsidRPr="003312BD" w:rsidTr="003312BD">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Theorist</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These learners like to understand the theory behind the actions. They need models, concepts and facts in order to engage in the learning process. Prefer to analyse and synthesise, drawing new information into a systematic and logical 'theory'.</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rsidR="003312BD" w:rsidRPr="003312BD" w:rsidRDefault="003312BD" w:rsidP="003312BD">
            <w:pPr>
              <w:numPr>
                <w:ilvl w:val="0"/>
                <w:numId w:val="8"/>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models</w:t>
            </w:r>
          </w:p>
          <w:p w:rsidR="003312BD" w:rsidRPr="003312BD" w:rsidRDefault="003312BD" w:rsidP="003312BD">
            <w:pPr>
              <w:numPr>
                <w:ilvl w:val="0"/>
                <w:numId w:val="8"/>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statistics</w:t>
            </w:r>
          </w:p>
          <w:p w:rsidR="003312BD" w:rsidRPr="003312BD" w:rsidRDefault="003312BD" w:rsidP="003312BD">
            <w:pPr>
              <w:numPr>
                <w:ilvl w:val="0"/>
                <w:numId w:val="8"/>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stories</w:t>
            </w:r>
          </w:p>
          <w:p w:rsidR="003312BD" w:rsidRPr="003312BD" w:rsidRDefault="003312BD" w:rsidP="003312BD">
            <w:pPr>
              <w:numPr>
                <w:ilvl w:val="0"/>
                <w:numId w:val="8"/>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quotes</w:t>
            </w:r>
          </w:p>
          <w:p w:rsidR="003312BD" w:rsidRPr="003312BD" w:rsidRDefault="003312BD" w:rsidP="003312BD">
            <w:pPr>
              <w:numPr>
                <w:ilvl w:val="0"/>
                <w:numId w:val="8"/>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background information</w:t>
            </w:r>
          </w:p>
          <w:p w:rsidR="003312BD" w:rsidRPr="003312BD" w:rsidRDefault="003312BD" w:rsidP="003312BD">
            <w:pPr>
              <w:numPr>
                <w:ilvl w:val="0"/>
                <w:numId w:val="8"/>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applying theories</w:t>
            </w:r>
          </w:p>
        </w:tc>
      </w:tr>
      <w:tr w:rsidR="003312BD" w:rsidRPr="003312BD" w:rsidTr="003312BD">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Reflector</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These people learn by observing and thinking about what happened. They may avoid leaping in and prefer to watch from the sidelines.  Prefer to stand back and view experiences from a number of different perspectives, collecting data and taking the time to work towards an appropriate conclusion.</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paired discussions</w:t>
            </w:r>
          </w:p>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self analysis questionnaires</w:t>
            </w:r>
          </w:p>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personality questionnaires</w:t>
            </w:r>
          </w:p>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time out</w:t>
            </w:r>
          </w:p>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observing activities</w:t>
            </w:r>
          </w:p>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feedback from others</w:t>
            </w:r>
          </w:p>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coaching</w:t>
            </w:r>
          </w:p>
          <w:p w:rsidR="003312BD" w:rsidRPr="003312BD" w:rsidRDefault="003312BD" w:rsidP="003312BD">
            <w:pPr>
              <w:numPr>
                <w:ilvl w:val="0"/>
                <w:numId w:val="9"/>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interviews</w:t>
            </w:r>
          </w:p>
        </w:tc>
      </w:tr>
      <w:tr w:rsidR="003312BD" w:rsidRPr="003312BD" w:rsidTr="003312BD">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Pragmatist</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 xml:space="preserve">These people need to be able to see how to put the learning into practice in the real world. Abstract concepts and games are of limited use unless they can see a way to put the ideas into </w:t>
            </w:r>
            <w:r w:rsidRPr="003312BD">
              <w:rPr>
                <w:rFonts w:ascii="Arial" w:eastAsia="Times New Roman" w:hAnsi="Arial" w:cs="Arial"/>
                <w:color w:val="333333"/>
                <w:sz w:val="20"/>
                <w:szCs w:val="20"/>
                <w:lang w:eastAsia="en-GB"/>
              </w:rPr>
              <w:lastRenderedPageBreak/>
              <w:t>action in their lives. Experimenters, trying out new ideas, theories and techniques to see if they work.</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rsidR="003312BD" w:rsidRPr="003312BD" w:rsidRDefault="003312BD" w:rsidP="003312BD">
            <w:pPr>
              <w:numPr>
                <w:ilvl w:val="0"/>
                <w:numId w:val="10"/>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lastRenderedPageBreak/>
              <w:t>time to think about how to apply learning in reality</w:t>
            </w:r>
          </w:p>
          <w:p w:rsidR="003312BD" w:rsidRPr="003312BD" w:rsidRDefault="003312BD" w:rsidP="003312BD">
            <w:pPr>
              <w:numPr>
                <w:ilvl w:val="0"/>
                <w:numId w:val="10"/>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case studies</w:t>
            </w:r>
          </w:p>
          <w:p w:rsidR="003312BD" w:rsidRPr="003312BD" w:rsidRDefault="003312BD" w:rsidP="003312BD">
            <w:pPr>
              <w:numPr>
                <w:ilvl w:val="0"/>
                <w:numId w:val="10"/>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lastRenderedPageBreak/>
              <w:t>problem solving</w:t>
            </w:r>
          </w:p>
          <w:p w:rsidR="003312BD" w:rsidRPr="003312BD" w:rsidRDefault="003312BD" w:rsidP="003312BD">
            <w:pPr>
              <w:numPr>
                <w:ilvl w:val="0"/>
                <w:numId w:val="10"/>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discussion</w:t>
            </w:r>
          </w:p>
        </w:tc>
      </w:tr>
      <w:tr w:rsidR="003312BD" w:rsidRPr="003312BD" w:rsidTr="003312BD">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lastRenderedPageBreak/>
              <w:t>Activist</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rsidR="003312BD" w:rsidRPr="003312BD" w:rsidRDefault="003312BD" w:rsidP="003312BD">
            <w:pPr>
              <w:spacing w:after="0" w:line="480" w:lineRule="atLeast"/>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 xml:space="preserve">Activists are those people who learn by doing. Activists need to get their hands dirty, to dive in with both feet first. Have an open-minded approach to learning, involving </w:t>
            </w:r>
            <w:r w:rsidR="00453F65" w:rsidRPr="003312BD">
              <w:rPr>
                <w:rFonts w:ascii="Arial" w:eastAsia="Times New Roman" w:hAnsi="Arial" w:cs="Arial"/>
                <w:color w:val="333333"/>
                <w:sz w:val="20"/>
                <w:szCs w:val="20"/>
                <w:lang w:eastAsia="en-GB"/>
              </w:rPr>
              <w:t>them</w:t>
            </w:r>
            <w:r w:rsidRPr="003312BD">
              <w:rPr>
                <w:rFonts w:ascii="Arial" w:eastAsia="Times New Roman" w:hAnsi="Arial" w:cs="Arial"/>
                <w:color w:val="333333"/>
                <w:sz w:val="20"/>
                <w:szCs w:val="20"/>
                <w:lang w:eastAsia="en-GB"/>
              </w:rPr>
              <w:t xml:space="preserve"> fully and without bias in new experiences.</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rsidR="003312BD" w:rsidRPr="003312BD" w:rsidRDefault="003312BD" w:rsidP="003312BD">
            <w:pPr>
              <w:numPr>
                <w:ilvl w:val="0"/>
                <w:numId w:val="11"/>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brainstorming</w:t>
            </w:r>
          </w:p>
          <w:p w:rsidR="003312BD" w:rsidRPr="003312BD" w:rsidRDefault="003312BD" w:rsidP="003312BD">
            <w:pPr>
              <w:numPr>
                <w:ilvl w:val="0"/>
                <w:numId w:val="11"/>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problem solving</w:t>
            </w:r>
          </w:p>
          <w:p w:rsidR="003312BD" w:rsidRPr="003312BD" w:rsidRDefault="003312BD" w:rsidP="003312BD">
            <w:pPr>
              <w:numPr>
                <w:ilvl w:val="0"/>
                <w:numId w:val="11"/>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group discussion</w:t>
            </w:r>
          </w:p>
          <w:p w:rsidR="003312BD" w:rsidRPr="003312BD" w:rsidRDefault="003312BD" w:rsidP="003312BD">
            <w:pPr>
              <w:numPr>
                <w:ilvl w:val="0"/>
                <w:numId w:val="11"/>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puzzles</w:t>
            </w:r>
          </w:p>
          <w:p w:rsidR="003312BD" w:rsidRPr="003312BD" w:rsidRDefault="003312BD" w:rsidP="003312BD">
            <w:pPr>
              <w:numPr>
                <w:ilvl w:val="0"/>
                <w:numId w:val="11"/>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competitions</w:t>
            </w:r>
          </w:p>
          <w:p w:rsidR="003312BD" w:rsidRPr="003312BD" w:rsidRDefault="003312BD" w:rsidP="003312BD">
            <w:pPr>
              <w:numPr>
                <w:ilvl w:val="0"/>
                <w:numId w:val="11"/>
              </w:numPr>
              <w:spacing w:after="180" w:line="360" w:lineRule="atLeast"/>
              <w:ind w:left="0"/>
              <w:rPr>
                <w:rFonts w:ascii="Arial" w:eastAsia="Times New Roman" w:hAnsi="Arial" w:cs="Arial"/>
                <w:color w:val="333333"/>
                <w:sz w:val="20"/>
                <w:szCs w:val="20"/>
                <w:lang w:eastAsia="en-GB"/>
              </w:rPr>
            </w:pPr>
            <w:r w:rsidRPr="003312BD">
              <w:rPr>
                <w:rFonts w:ascii="Arial" w:eastAsia="Times New Roman" w:hAnsi="Arial" w:cs="Arial"/>
                <w:color w:val="333333"/>
                <w:sz w:val="20"/>
                <w:szCs w:val="20"/>
                <w:lang w:eastAsia="en-GB"/>
              </w:rPr>
              <w:t>role-play</w:t>
            </w:r>
          </w:p>
        </w:tc>
      </w:tr>
    </w:tbl>
    <w:p w:rsidR="003312BD" w:rsidRDefault="003312BD" w:rsidP="00617F9E"/>
    <w:p w:rsidR="003312BD" w:rsidRDefault="00E20F94" w:rsidP="00617F9E">
      <w:sdt>
        <w:sdtPr>
          <w:id w:val="2073699907"/>
          <w:citation/>
        </w:sdtPr>
        <w:sdtContent>
          <w:r>
            <w:fldChar w:fldCharType="begin"/>
          </w:r>
          <w:r w:rsidR="003312BD">
            <w:instrText xml:space="preserve"> CITATION Ric17 \l 2057 </w:instrText>
          </w:r>
          <w:r>
            <w:fldChar w:fldCharType="separate"/>
          </w:r>
          <w:r w:rsidR="00033BD3">
            <w:rPr>
              <w:noProof/>
            </w:rPr>
            <w:t>(Mobbs, 2017)</w:t>
          </w:r>
          <w:r>
            <w:fldChar w:fldCharType="end"/>
          </w:r>
        </w:sdtContent>
      </w:sdt>
    </w:p>
    <w:p w:rsidR="003312BD" w:rsidRPr="003312BD" w:rsidRDefault="003312BD" w:rsidP="00617F9E">
      <w:pPr>
        <w:rPr>
          <w:u w:val="single"/>
        </w:rPr>
      </w:pPr>
      <w:r w:rsidRPr="003312BD">
        <w:rPr>
          <w:u w:val="single"/>
        </w:rPr>
        <w:t>Appendix 2</w:t>
      </w:r>
    </w:p>
    <w:p w:rsidR="003312BD" w:rsidRDefault="003312BD" w:rsidP="00617F9E">
      <w:r>
        <w:t>See portfolio</w:t>
      </w:r>
    </w:p>
    <w:p w:rsidR="003312BD" w:rsidRPr="003312BD" w:rsidRDefault="003312BD" w:rsidP="00617F9E">
      <w:pPr>
        <w:rPr>
          <w:u w:val="single"/>
        </w:rPr>
      </w:pPr>
      <w:r w:rsidRPr="003312BD">
        <w:rPr>
          <w:u w:val="single"/>
        </w:rPr>
        <w:t>Appendix 3</w:t>
      </w:r>
    </w:p>
    <w:p w:rsidR="003312BD" w:rsidRDefault="003312BD" w:rsidP="00617F9E">
      <w:r>
        <w:t xml:space="preserve">See portfolio </w:t>
      </w:r>
    </w:p>
    <w:p w:rsidR="00266328" w:rsidRPr="003312BD" w:rsidRDefault="00266328" w:rsidP="00617F9E">
      <w:pPr>
        <w:rPr>
          <w:u w:val="single"/>
        </w:rPr>
      </w:pPr>
      <w:r w:rsidRPr="003312BD">
        <w:rPr>
          <w:u w:val="single"/>
        </w:rPr>
        <w:t>Appendix 4</w:t>
      </w:r>
    </w:p>
    <w:p w:rsidR="00266328" w:rsidRDefault="00266328" w:rsidP="00266328">
      <w:r>
        <w:t>A1 Design and plan learning activities and/or programmes of study: Future personal development in this area will be that I am practising this through my placement at Trinity; I will plan and design activities as part of my tutorials with learners on placement and I will incorporate a variety of theory into my practice and will utilise my learning from my reflections to implement these.</w:t>
      </w:r>
    </w:p>
    <w:p w:rsidR="00266328" w:rsidRDefault="00266328" w:rsidP="00266328">
      <w:r>
        <w:t xml:space="preserve"> A2 Teach and/or support learning: I will continue to teach as part of my placement and will do this as part of the Health and Social Care team. I will take up opportunities for solo teaching, tem teaching and one to one teaching through offering my support to staff and learners.</w:t>
      </w:r>
    </w:p>
    <w:p w:rsidR="00266328" w:rsidRDefault="00266328" w:rsidP="00266328">
      <w:r>
        <w:t>A3 Assess and give feedback to learners; I will in the next few weeks be part of observing learners presentations and posters as part of my placement. I will be given guidance on how to do this, formal assessment and marking criteria and I will be given the opportunity to practice this. I will have a selection of learners work to mark and will be responsible for feeding this back to them.</w:t>
      </w:r>
    </w:p>
    <w:p w:rsidR="00266328" w:rsidRDefault="00266328" w:rsidP="00266328">
      <w:r>
        <w:t xml:space="preserve">A4 Develop effective learning environments and approaches to student support and guidance; in the future I will be responsible for creating and delivering modules as part of the Health and social care team. I am currently working on a programme to support research in Health and Social Care, this will include developing effective learning environments and approaches, and will require that I am </w:t>
      </w:r>
      <w:r>
        <w:lastRenderedPageBreak/>
        <w:t>developing methods to support a variety of different learning styles and this will also require me to implement good classroom management skills.</w:t>
      </w:r>
    </w:p>
    <w:p w:rsidR="00266328" w:rsidRDefault="00266328" w:rsidP="00266328">
      <w:r>
        <w:t>A5 Engage in continuing professional development in subjects/disciplines and their pedagogy, incorporating research, scholarship and the evaluation of professional practices: I will continue to research and read and develop my knowledge and understanding of teaching in my chosen subject, I will continue to keep up to date on current legislation and other things that may be relevant to the work I am conducting. I will continue to attend my placement where I will engage in meaningful observation of my mentor, supervisions and reflections.</w:t>
      </w:r>
    </w:p>
    <w:p w:rsidR="00266328" w:rsidRDefault="00266328" w:rsidP="00266328"/>
    <w:p w:rsidR="00266328" w:rsidRDefault="00266328" w:rsidP="00266328">
      <w:r>
        <w:t>K1 the subject material: In future personal development I will continue to make good use of developing my research skills, and continue to reflect on this element of my learning. This reflection has given me a greater knowledge of the need to understand the wider context of education, such as policies that may affect what I am teaching or the environment that I am teaching in. The active learning model and learning through doing will rely on my knowledge of issues that affect society and the people within it</w:t>
      </w:r>
    </w:p>
    <w:p w:rsidR="00266328" w:rsidRDefault="00266328" w:rsidP="00266328">
      <w:r>
        <w:t xml:space="preserve"> K2 Appropriate methods for teaching, learning and assessing in the subject area and at the level of the academic programme: I feel confident in planning and delivering activities my future development in this area will be to ensure that I am designing appropriate activities for groups of learners, I can achieve this by using models such as Dales cone, Blooms revised Taxonomy and learning styles questionnaires such as Honey and Mumford’s. I feel that in this area of development I will require practice in delivery and this I will achieve through meaningful activities within my placement.</w:t>
      </w:r>
    </w:p>
    <w:p w:rsidR="00266328" w:rsidRDefault="00266328" w:rsidP="00266328">
      <w:r>
        <w:t xml:space="preserve">K3 How students learn, </w:t>
      </w:r>
      <w:r w:rsidR="00453F65">
        <w:t>generally</w:t>
      </w:r>
      <w:r>
        <w:t xml:space="preserve"> and within their subject/ disciplinary area(s): Theory based research will support me in my future development in this area. Lectures, mentor meetings and my own personal reflections.</w:t>
      </w:r>
    </w:p>
    <w:p w:rsidR="00266328" w:rsidRDefault="00266328" w:rsidP="00266328">
      <w:r>
        <w:t>K4 the use and value of appropriate learning technologies K5 Methods for evaluating the effectiveness of teaching: This I will achieve through observations of experienced teaching personally through my placement.</w:t>
      </w:r>
    </w:p>
    <w:p w:rsidR="00266328" w:rsidRDefault="00266328" w:rsidP="00266328">
      <w:r>
        <w:t xml:space="preserve">K6 the implications of quality assurance and quality enhancement for academic and professional practice with a focus on teaching: All the above personal dev elopement actions apply to this. </w:t>
      </w:r>
    </w:p>
    <w:p w:rsidR="00266328" w:rsidRDefault="00266328" w:rsidP="00266328">
      <w:r>
        <w:t xml:space="preserve">V1 Respect individual learners and diverse learning communities: This reflection has highlighted to me that education may not be accessible and therefore I need exploring alternative ways of creating an inclusive learning opportunity. Recent changes in WAG strategies have led me to thinking about other forms of learning, such as one to one holistically approach learning opportunities, such as Adored work books and Job coaches. I feel the need to explore these as well as the more structured traditional concepts of learning. I have explored this through some voluntary work with homeless recently and have discovered roles such as smart skills </w:t>
      </w:r>
      <w:r w:rsidR="00453F65">
        <w:t>tutors;</w:t>
      </w:r>
      <w:r>
        <w:t xml:space="preserve"> this is something I am going to pursue for my own personal development.</w:t>
      </w:r>
    </w:p>
    <w:p w:rsidR="00266328" w:rsidRDefault="00266328" w:rsidP="00266328">
      <w:r>
        <w:t>V2 Promote participation in higher education and equality of opportunity for learners: I will achieve this through exploring opportunities as above</w:t>
      </w:r>
    </w:p>
    <w:p w:rsidR="00266328" w:rsidRDefault="00266328" w:rsidP="00266328">
      <w:r>
        <w:lastRenderedPageBreak/>
        <w:t>V3 Use evidence-informed approaches and the outcomes from research, scholarship and continuing professional development: I feel that this will be achieved by my continuous commitment to my own plan and through the research and learning I participate in</w:t>
      </w:r>
    </w:p>
    <w:p w:rsidR="00266328" w:rsidRDefault="00266328" w:rsidP="00266328">
      <w:r>
        <w:t>V4 Acknowledge the wider context in which higher education operates recognising the implications for professional practice: All the above apply to the achievement of this outcome.</w:t>
      </w:r>
    </w:p>
    <w:p w:rsidR="00266328" w:rsidRDefault="00266328" w:rsidP="00617F9E">
      <w:bookmarkStart w:id="3" w:name="_GoBack"/>
      <w:bookmarkEnd w:id="3"/>
    </w:p>
    <w:sdt>
      <w:sdtPr>
        <w:rPr>
          <w:rFonts w:asciiTheme="minorHAnsi" w:eastAsiaTheme="minorHAnsi" w:hAnsiTheme="minorHAnsi" w:cstheme="minorBidi"/>
          <w:b w:val="0"/>
          <w:bCs w:val="0"/>
          <w:color w:val="auto"/>
          <w:sz w:val="22"/>
          <w:szCs w:val="22"/>
          <w:lang w:val="en-GB" w:bidi="ar-SA"/>
        </w:rPr>
        <w:id w:val="109289807"/>
        <w:docPartObj>
          <w:docPartGallery w:val="Bibliographies"/>
          <w:docPartUnique/>
        </w:docPartObj>
      </w:sdtPr>
      <w:sdtContent>
        <w:p w:rsidR="001B3BC4" w:rsidRPr="003312BD" w:rsidRDefault="003312BD">
          <w:pPr>
            <w:pStyle w:val="Heading1"/>
            <w:rPr>
              <w:rFonts w:asciiTheme="minorHAnsi" w:eastAsiaTheme="minorHAnsi" w:hAnsiTheme="minorHAnsi" w:cstheme="minorBidi"/>
              <w:b w:val="0"/>
              <w:bCs w:val="0"/>
              <w:color w:val="auto"/>
              <w:sz w:val="22"/>
              <w:szCs w:val="22"/>
              <w:lang w:val="en-GB" w:bidi="ar-SA"/>
            </w:rPr>
          </w:pPr>
          <w:r>
            <w:t>References</w:t>
          </w:r>
        </w:p>
        <w:p w:rsidR="00033BD3" w:rsidRDefault="00E20F94" w:rsidP="00033BD3">
          <w:pPr>
            <w:pStyle w:val="Bibliography"/>
            <w:ind w:left="720" w:hanging="720"/>
            <w:rPr>
              <w:noProof/>
              <w:lang w:val="en-US"/>
            </w:rPr>
          </w:pPr>
          <w:r>
            <w:fldChar w:fldCharType="begin"/>
          </w:r>
          <w:r w:rsidR="001B3BC4">
            <w:instrText xml:space="preserve"> BIBLIOGRAPHY </w:instrText>
          </w:r>
          <w:r>
            <w:fldChar w:fldCharType="separate"/>
          </w:r>
          <w:r w:rsidR="00033BD3">
            <w:rPr>
              <w:noProof/>
              <w:lang w:val="en-US"/>
            </w:rPr>
            <w:t xml:space="preserve">Armstrong, T. (2009). </w:t>
          </w:r>
          <w:r w:rsidR="00033BD3">
            <w:rPr>
              <w:i/>
              <w:iCs/>
              <w:noProof/>
              <w:lang w:val="en-US"/>
            </w:rPr>
            <w:t>Multiple Intelligences in the classroom .</w:t>
          </w:r>
          <w:r w:rsidR="00033BD3">
            <w:rPr>
              <w:noProof/>
              <w:lang w:val="en-US"/>
            </w:rPr>
            <w:t xml:space="preserve"> Virginia: ASCD.</w:t>
          </w:r>
        </w:p>
        <w:p w:rsidR="00033BD3" w:rsidRDefault="00033BD3" w:rsidP="00033BD3">
          <w:pPr>
            <w:pStyle w:val="Bibliography"/>
            <w:ind w:left="720" w:hanging="720"/>
            <w:rPr>
              <w:noProof/>
              <w:lang w:val="en-US"/>
            </w:rPr>
          </w:pPr>
          <w:r>
            <w:rPr>
              <w:noProof/>
              <w:lang w:val="en-US"/>
            </w:rPr>
            <w:t xml:space="preserve">Barkeley, E. F., Major, C. H., &amp; Cross, K. P. (2014). </w:t>
          </w:r>
          <w:r>
            <w:rPr>
              <w:i/>
              <w:iCs/>
              <w:noProof/>
              <w:lang w:val="en-US"/>
            </w:rPr>
            <w:t>Collaborative learning techniques.</w:t>
          </w:r>
          <w:r>
            <w:rPr>
              <w:noProof/>
              <w:lang w:val="en-US"/>
            </w:rPr>
            <w:t xml:space="preserve"> San Francisco: Jossey- Bass.</w:t>
          </w:r>
        </w:p>
        <w:p w:rsidR="00033BD3" w:rsidRDefault="00033BD3" w:rsidP="00033BD3">
          <w:pPr>
            <w:pStyle w:val="Bibliography"/>
            <w:ind w:left="720" w:hanging="720"/>
            <w:rPr>
              <w:noProof/>
              <w:lang w:val="en-US"/>
            </w:rPr>
          </w:pPr>
          <w:r>
            <w:rPr>
              <w:noProof/>
              <w:lang w:val="en-US"/>
            </w:rPr>
            <w:t xml:space="preserve">Blaschke, L. M. (2012). Heutagogy and Lifelong Learning; A review of Heutagogical practice and self determined learning. </w:t>
          </w:r>
          <w:r>
            <w:rPr>
              <w:i/>
              <w:iCs/>
              <w:noProof/>
              <w:lang w:val="en-US"/>
            </w:rPr>
            <w:t>International Review of Research In Open and Distance Learning, 13</w:t>
          </w:r>
          <w:r>
            <w:rPr>
              <w:noProof/>
              <w:lang w:val="en-US"/>
            </w:rPr>
            <w:t>(1).</w:t>
          </w:r>
        </w:p>
        <w:p w:rsidR="00033BD3" w:rsidRDefault="00033BD3" w:rsidP="00033BD3">
          <w:pPr>
            <w:pStyle w:val="Bibliography"/>
            <w:ind w:left="720" w:hanging="720"/>
            <w:rPr>
              <w:noProof/>
              <w:lang w:val="en-US"/>
            </w:rPr>
          </w:pPr>
          <w:r>
            <w:rPr>
              <w:noProof/>
              <w:lang w:val="en-US"/>
            </w:rPr>
            <w:t xml:space="preserve">Campbell, A., &amp; Norton, L. (2007). </w:t>
          </w:r>
          <w:r>
            <w:rPr>
              <w:i/>
              <w:iCs/>
              <w:noProof/>
              <w:lang w:val="en-US"/>
            </w:rPr>
            <w:t>Learning, Teaching and Assesing in Higher Education.</w:t>
          </w:r>
          <w:r>
            <w:rPr>
              <w:noProof/>
              <w:lang w:val="en-US"/>
            </w:rPr>
            <w:t xml:space="preserve"> Exeter: Learning Matters Ltd.</w:t>
          </w:r>
        </w:p>
        <w:p w:rsidR="00033BD3" w:rsidRDefault="00033BD3" w:rsidP="00033BD3">
          <w:pPr>
            <w:pStyle w:val="Bibliography"/>
            <w:ind w:left="720" w:hanging="720"/>
            <w:rPr>
              <w:noProof/>
              <w:lang w:val="en-US"/>
            </w:rPr>
          </w:pPr>
          <w:r>
            <w:rPr>
              <w:noProof/>
              <w:lang w:val="en-US"/>
            </w:rPr>
            <w:t xml:space="preserve">Coffey, H. (2013). </w:t>
          </w:r>
          <w:r>
            <w:rPr>
              <w:i/>
              <w:iCs/>
              <w:noProof/>
              <w:lang w:val="en-US"/>
            </w:rPr>
            <w:t>Demonstration</w:t>
          </w:r>
          <w:r>
            <w:rPr>
              <w:noProof/>
              <w:lang w:val="en-US"/>
            </w:rPr>
            <w:t>. Retrieved from LearnNC: http://www.learnnc.org/lp/pages/5181#note2</w:t>
          </w:r>
        </w:p>
        <w:p w:rsidR="00033BD3" w:rsidRDefault="00033BD3" w:rsidP="00033BD3">
          <w:pPr>
            <w:pStyle w:val="Bibliography"/>
            <w:ind w:left="720" w:hanging="720"/>
            <w:rPr>
              <w:noProof/>
              <w:lang w:val="en-US"/>
            </w:rPr>
          </w:pPr>
          <w:r>
            <w:rPr>
              <w:noProof/>
              <w:lang w:val="en-US"/>
            </w:rPr>
            <w:t xml:space="preserve">Curzon, L. B., &amp; Tummons, J. (2013). </w:t>
          </w:r>
          <w:r>
            <w:rPr>
              <w:i/>
              <w:iCs/>
              <w:noProof/>
              <w:lang w:val="en-US"/>
            </w:rPr>
            <w:t>Teaching in further education.</w:t>
          </w:r>
          <w:r>
            <w:rPr>
              <w:noProof/>
              <w:lang w:val="en-US"/>
            </w:rPr>
            <w:t xml:space="preserve"> London: Bloomsbury.</w:t>
          </w:r>
        </w:p>
        <w:p w:rsidR="00033BD3" w:rsidRDefault="00033BD3" w:rsidP="00033BD3">
          <w:pPr>
            <w:pStyle w:val="Bibliography"/>
            <w:ind w:left="720" w:hanging="720"/>
            <w:rPr>
              <w:noProof/>
              <w:lang w:val="en-US"/>
            </w:rPr>
          </w:pPr>
          <w:r>
            <w:rPr>
              <w:noProof/>
              <w:lang w:val="en-US"/>
            </w:rPr>
            <w:t xml:space="preserve">Felicia, P. (2011). </w:t>
          </w:r>
          <w:r>
            <w:rPr>
              <w:i/>
              <w:iCs/>
              <w:noProof/>
              <w:lang w:val="en-US"/>
            </w:rPr>
            <w:t>Handbook of Research on Improving Learning and Motivation through Educational Games.</w:t>
          </w:r>
          <w:r>
            <w:rPr>
              <w:noProof/>
              <w:lang w:val="en-US"/>
            </w:rPr>
            <w:t xml:space="preserve"> Herschey: IGI Global.</w:t>
          </w:r>
        </w:p>
        <w:p w:rsidR="00033BD3" w:rsidRDefault="00033BD3" w:rsidP="00033BD3">
          <w:pPr>
            <w:pStyle w:val="Bibliography"/>
            <w:ind w:left="720" w:hanging="720"/>
            <w:rPr>
              <w:noProof/>
              <w:lang w:val="en-US"/>
            </w:rPr>
          </w:pPr>
          <w:r>
            <w:rPr>
              <w:noProof/>
              <w:lang w:val="en-US"/>
            </w:rPr>
            <w:t xml:space="preserve">Government, W. A. (2015). </w:t>
          </w:r>
          <w:r>
            <w:rPr>
              <w:i/>
              <w:iCs/>
              <w:noProof/>
              <w:lang w:val="en-US"/>
            </w:rPr>
            <w:t>Well-being of Futures Generations (Wales) Act 2015</w:t>
          </w:r>
          <w:r>
            <w:rPr>
              <w:noProof/>
              <w:lang w:val="en-US"/>
            </w:rPr>
            <w:t>. Retrieved from Llywodraeth Gymru: http://gov.wales/topics/people-and-communities/people/future-generations-act/?lang=en</w:t>
          </w:r>
        </w:p>
        <w:p w:rsidR="00033BD3" w:rsidRDefault="00033BD3" w:rsidP="00033BD3">
          <w:pPr>
            <w:pStyle w:val="Bibliography"/>
            <w:ind w:left="720" w:hanging="720"/>
            <w:rPr>
              <w:noProof/>
              <w:lang w:val="en-US"/>
            </w:rPr>
          </w:pPr>
          <w:r>
            <w:rPr>
              <w:noProof/>
              <w:lang w:val="en-US"/>
            </w:rPr>
            <w:t>Government, W. A. (2016, March). A guide to the Well-being of Futures Act. Cardiff, Wales.</w:t>
          </w:r>
        </w:p>
        <w:p w:rsidR="00033BD3" w:rsidRDefault="00033BD3" w:rsidP="00033BD3">
          <w:pPr>
            <w:pStyle w:val="Bibliography"/>
            <w:ind w:left="720" w:hanging="720"/>
            <w:rPr>
              <w:noProof/>
              <w:lang w:val="en-US"/>
            </w:rPr>
          </w:pPr>
          <w:r>
            <w:rPr>
              <w:noProof/>
              <w:lang w:val="en-US"/>
            </w:rPr>
            <w:t xml:space="preserve">Government, W. A. (2016). </w:t>
          </w:r>
          <w:r>
            <w:rPr>
              <w:i/>
              <w:iCs/>
              <w:noProof/>
              <w:lang w:val="en-US"/>
            </w:rPr>
            <w:t>Llywodraeth Cymru.</w:t>
          </w:r>
          <w:r>
            <w:rPr>
              <w:noProof/>
              <w:lang w:val="en-US"/>
            </w:rPr>
            <w:t xml:space="preserve"> Retrieved from Tacking Wales Forward: http://www.procurexlive.co.uk/wales/wp-content/uploads/sites/4/2017/05/Taking-wales-forward1621-en.pdf</w:t>
          </w:r>
        </w:p>
        <w:p w:rsidR="00033BD3" w:rsidRDefault="00033BD3" w:rsidP="00033BD3">
          <w:pPr>
            <w:pStyle w:val="Bibliography"/>
            <w:ind w:left="720" w:hanging="720"/>
            <w:rPr>
              <w:noProof/>
              <w:lang w:val="en-US"/>
            </w:rPr>
          </w:pPr>
          <w:r>
            <w:rPr>
              <w:noProof/>
              <w:lang w:val="en-US"/>
            </w:rPr>
            <w:t xml:space="preserve">Government, W. A. (2017). </w:t>
          </w:r>
          <w:r>
            <w:rPr>
              <w:i/>
              <w:iCs/>
              <w:noProof/>
              <w:lang w:val="en-US"/>
            </w:rPr>
            <w:t>Prosperity for All: the national strategy.</w:t>
          </w:r>
          <w:r>
            <w:rPr>
              <w:noProof/>
              <w:lang w:val="en-US"/>
            </w:rPr>
            <w:t xml:space="preserve"> Cardiff: Welsh Assembly Government.</w:t>
          </w:r>
        </w:p>
        <w:p w:rsidR="00033BD3" w:rsidRDefault="00033BD3" w:rsidP="00033BD3">
          <w:pPr>
            <w:pStyle w:val="Bibliography"/>
            <w:ind w:left="720" w:hanging="720"/>
            <w:rPr>
              <w:noProof/>
              <w:lang w:val="en-US"/>
            </w:rPr>
          </w:pPr>
          <w:r>
            <w:rPr>
              <w:noProof/>
              <w:lang w:val="en-US"/>
            </w:rPr>
            <w:t xml:space="preserve">Holmes, J. B., &amp; Gee, E. R. (2016). A Framework for understanding game- based teaching and learning. </w:t>
          </w:r>
          <w:r>
            <w:rPr>
              <w:i/>
              <w:iCs/>
              <w:noProof/>
              <w:lang w:val="en-US"/>
            </w:rPr>
            <w:t>On the Horizon, 24</w:t>
          </w:r>
          <w:r>
            <w:rPr>
              <w:noProof/>
              <w:lang w:val="en-US"/>
            </w:rPr>
            <w:t>(1), 1- 16.</w:t>
          </w:r>
        </w:p>
        <w:p w:rsidR="00033BD3" w:rsidRDefault="00033BD3" w:rsidP="00033BD3">
          <w:pPr>
            <w:pStyle w:val="Bibliography"/>
            <w:ind w:left="720" w:hanging="720"/>
            <w:rPr>
              <w:noProof/>
              <w:lang w:val="en-US"/>
            </w:rPr>
          </w:pPr>
          <w:r>
            <w:rPr>
              <w:noProof/>
              <w:lang w:val="en-US"/>
            </w:rPr>
            <w:t xml:space="preserve">Illeris, K. (2003). Towards a contemporary and comrehensive theory of learning. </w:t>
          </w:r>
          <w:r>
            <w:rPr>
              <w:i/>
              <w:iCs/>
              <w:noProof/>
              <w:lang w:val="en-US"/>
            </w:rPr>
            <w:t>International Journal of lifelong education, 22</w:t>
          </w:r>
          <w:r>
            <w:rPr>
              <w:noProof/>
              <w:lang w:val="en-US"/>
            </w:rPr>
            <w:t>(4), 396- 406.</w:t>
          </w:r>
        </w:p>
        <w:p w:rsidR="00033BD3" w:rsidRDefault="00033BD3" w:rsidP="00033BD3">
          <w:pPr>
            <w:pStyle w:val="Bibliography"/>
            <w:ind w:left="720" w:hanging="720"/>
            <w:rPr>
              <w:noProof/>
              <w:lang w:val="en-US"/>
            </w:rPr>
          </w:pPr>
          <w:r>
            <w:rPr>
              <w:noProof/>
              <w:lang w:val="en-US"/>
            </w:rPr>
            <w:t xml:space="preserve">Jones, &amp; Bartlett. (2010). </w:t>
          </w:r>
          <w:r>
            <w:rPr>
              <w:i/>
              <w:iCs/>
              <w:noProof/>
              <w:lang w:val="en-US"/>
            </w:rPr>
            <w:t>JBPublishers</w:t>
          </w:r>
          <w:r>
            <w:rPr>
              <w:noProof/>
              <w:lang w:val="en-US"/>
            </w:rPr>
            <w:t>. Retrieved from Active teaching strategies and learning activities: http://samples.jbpub.com/9780763749453/49451_CH09_FINAL.pdf</w:t>
          </w:r>
        </w:p>
        <w:p w:rsidR="00033BD3" w:rsidRDefault="00033BD3" w:rsidP="00033BD3">
          <w:pPr>
            <w:pStyle w:val="Bibliography"/>
            <w:ind w:left="720" w:hanging="720"/>
            <w:rPr>
              <w:noProof/>
              <w:lang w:val="en-US"/>
            </w:rPr>
          </w:pPr>
          <w:r>
            <w:rPr>
              <w:noProof/>
              <w:lang w:val="en-US"/>
            </w:rPr>
            <w:t xml:space="preserve">Leadership, N. C. (2012). </w:t>
          </w:r>
          <w:r>
            <w:rPr>
              <w:i/>
              <w:iCs/>
              <w:noProof/>
              <w:lang w:val="en-US"/>
            </w:rPr>
            <w:t>Contemporary theories of learning</w:t>
          </w:r>
          <w:r>
            <w:rPr>
              <w:noProof/>
              <w:lang w:val="en-US"/>
            </w:rPr>
            <w:t>. Retrieved from Exploring adult learning: https://www.nationalcollege.org.uk/transfer/open/advanced-facilitation/advfac-s03/advfac-s03-t3.html</w:t>
          </w:r>
        </w:p>
        <w:p w:rsidR="00033BD3" w:rsidRDefault="00033BD3" w:rsidP="00033BD3">
          <w:pPr>
            <w:pStyle w:val="Bibliography"/>
            <w:ind w:left="720" w:hanging="720"/>
            <w:rPr>
              <w:noProof/>
              <w:lang w:val="en-US"/>
            </w:rPr>
          </w:pPr>
          <w:r>
            <w:rPr>
              <w:noProof/>
              <w:lang w:val="en-US"/>
            </w:rPr>
            <w:lastRenderedPageBreak/>
            <w:t xml:space="preserve">Manning, G. (2007). </w:t>
          </w:r>
          <w:r>
            <w:rPr>
              <w:i/>
              <w:iCs/>
              <w:noProof/>
              <w:lang w:val="en-US"/>
            </w:rPr>
            <w:t>Business and Public Administration Studies</w:t>
          </w:r>
          <w:r>
            <w:rPr>
              <w:noProof/>
              <w:lang w:val="en-US"/>
            </w:rPr>
            <w:t>. Retrieved November 19, 2017, from Self directed learning: https://www.bpastudies.org/bpastudies/article/view/38/78</w:t>
          </w:r>
        </w:p>
        <w:p w:rsidR="00033BD3" w:rsidRDefault="00033BD3" w:rsidP="00033BD3">
          <w:pPr>
            <w:pStyle w:val="Bibliography"/>
            <w:ind w:left="720" w:hanging="720"/>
            <w:rPr>
              <w:noProof/>
              <w:lang w:val="en-US"/>
            </w:rPr>
          </w:pPr>
          <w:r>
            <w:rPr>
              <w:noProof/>
              <w:lang w:val="en-US"/>
            </w:rPr>
            <w:t xml:space="preserve">Mintz, S. (2010). </w:t>
          </w:r>
          <w:r>
            <w:rPr>
              <w:i/>
              <w:iCs/>
              <w:noProof/>
              <w:lang w:val="en-US"/>
            </w:rPr>
            <w:t>The fundementals of College and University Teaching.</w:t>
          </w:r>
          <w:r>
            <w:rPr>
              <w:noProof/>
              <w:lang w:val="en-US"/>
            </w:rPr>
            <w:t xml:space="preserve"> Retrieved from Colombia University: https://gsas.columbia.edu/sites/default/files/inline-files/GSAS_fundamentals_handbook.pdf</w:t>
          </w:r>
        </w:p>
        <w:p w:rsidR="00033BD3" w:rsidRDefault="00033BD3" w:rsidP="00033BD3">
          <w:pPr>
            <w:pStyle w:val="Bibliography"/>
            <w:ind w:left="720" w:hanging="720"/>
            <w:rPr>
              <w:noProof/>
              <w:lang w:val="en-US"/>
            </w:rPr>
          </w:pPr>
          <w:r>
            <w:rPr>
              <w:noProof/>
              <w:lang w:val="en-US"/>
            </w:rPr>
            <w:t xml:space="preserve">Mobbs, R. (2017). </w:t>
          </w:r>
          <w:r>
            <w:rPr>
              <w:i/>
              <w:iCs/>
              <w:noProof/>
              <w:lang w:val="en-US"/>
            </w:rPr>
            <w:t>Honey and Mumford</w:t>
          </w:r>
          <w:r>
            <w:rPr>
              <w:noProof/>
              <w:lang w:val="en-US"/>
            </w:rPr>
            <w:t>. Retrieved from Leicester University: https://www2.le.ac.uk/departments/gradschool/training/eresources/teaching/theories/honey-mumford</w:t>
          </w:r>
        </w:p>
        <w:p w:rsidR="00033BD3" w:rsidRDefault="00033BD3" w:rsidP="00033BD3">
          <w:pPr>
            <w:pStyle w:val="Bibliography"/>
            <w:ind w:left="720" w:hanging="720"/>
            <w:rPr>
              <w:noProof/>
              <w:lang w:val="en-US"/>
            </w:rPr>
          </w:pPr>
          <w:r>
            <w:rPr>
              <w:noProof/>
              <w:lang w:val="en-US"/>
            </w:rPr>
            <w:t xml:space="preserve">Scittl. (2017). </w:t>
          </w:r>
          <w:r>
            <w:rPr>
              <w:i/>
              <w:iCs/>
              <w:noProof/>
              <w:lang w:val="en-US"/>
            </w:rPr>
            <w:t>SCITTL Lesson Study</w:t>
          </w:r>
          <w:r>
            <w:rPr>
              <w:noProof/>
              <w:lang w:val="en-US"/>
            </w:rPr>
            <w:t>. Retrieved from SCITTL Lesson Study: http://scittls.weebly.com/learning.html</w:t>
          </w:r>
        </w:p>
        <w:p w:rsidR="00033BD3" w:rsidRDefault="00033BD3" w:rsidP="00033BD3">
          <w:pPr>
            <w:pStyle w:val="Bibliography"/>
            <w:ind w:left="720" w:hanging="720"/>
            <w:rPr>
              <w:noProof/>
              <w:lang w:val="en-US"/>
            </w:rPr>
          </w:pPr>
          <w:r>
            <w:rPr>
              <w:noProof/>
              <w:lang w:val="en-US"/>
            </w:rPr>
            <w:t xml:space="preserve">Silver, C. H., Clarke, C., Carol, C., &amp; Angela, O. (2013). </w:t>
          </w:r>
          <w:r>
            <w:rPr>
              <w:i/>
              <w:iCs/>
              <w:noProof/>
              <w:lang w:val="en-US"/>
            </w:rPr>
            <w:t>The International Handbook of Collaborative Learning.</w:t>
          </w:r>
          <w:r>
            <w:rPr>
              <w:noProof/>
              <w:lang w:val="en-US"/>
            </w:rPr>
            <w:t xml:space="preserve"> New York: Routledge.</w:t>
          </w:r>
        </w:p>
        <w:p w:rsidR="00033BD3" w:rsidRDefault="00033BD3" w:rsidP="00033BD3">
          <w:pPr>
            <w:pStyle w:val="Bibliography"/>
            <w:ind w:left="720" w:hanging="720"/>
            <w:rPr>
              <w:noProof/>
              <w:lang w:val="en-US"/>
            </w:rPr>
          </w:pPr>
          <w:r>
            <w:rPr>
              <w:noProof/>
              <w:lang w:val="en-US"/>
            </w:rPr>
            <w:t xml:space="preserve">University, S. (2017, Sept). </w:t>
          </w:r>
          <w:r>
            <w:rPr>
              <w:i/>
              <w:iCs/>
              <w:noProof/>
              <w:lang w:val="en-US"/>
            </w:rPr>
            <w:t>Cross Cutting Themes</w:t>
          </w:r>
          <w:r>
            <w:rPr>
              <w:noProof/>
              <w:lang w:val="en-US"/>
            </w:rPr>
            <w:t>. Retrieved from Swansea University: http://www.swansea.ac.uk/science/computationalfoundry/crosscuttingthemes/</w:t>
          </w:r>
        </w:p>
        <w:p w:rsidR="00033BD3" w:rsidRDefault="00033BD3" w:rsidP="00033BD3">
          <w:pPr>
            <w:pStyle w:val="Bibliography"/>
            <w:ind w:left="720" w:hanging="720"/>
            <w:rPr>
              <w:noProof/>
              <w:lang w:val="en-US"/>
            </w:rPr>
          </w:pPr>
          <w:r>
            <w:rPr>
              <w:noProof/>
              <w:lang w:val="en-US"/>
            </w:rPr>
            <w:t xml:space="preserve">Weber, U. o. (2006). Part 1: Contemporary learning experiences. In W. S. University, </w:t>
          </w:r>
          <w:r>
            <w:rPr>
              <w:i/>
              <w:iCs/>
              <w:noProof/>
              <w:lang w:val="en-US"/>
            </w:rPr>
            <w:t>Contemporary Learning Experiences</w:t>
          </w:r>
          <w:r>
            <w:rPr>
              <w:noProof/>
              <w:lang w:val="en-US"/>
            </w:rPr>
            <w:t xml:space="preserve"> (pp. 1- 12). Utah: Weber State University.</w:t>
          </w:r>
        </w:p>
        <w:p w:rsidR="00033BD3" w:rsidRDefault="00033BD3" w:rsidP="00033BD3">
          <w:pPr>
            <w:pStyle w:val="Bibliography"/>
            <w:ind w:left="720" w:hanging="720"/>
            <w:rPr>
              <w:noProof/>
              <w:lang w:val="en-US"/>
            </w:rPr>
          </w:pPr>
          <w:r>
            <w:rPr>
              <w:noProof/>
              <w:lang w:val="en-US"/>
            </w:rPr>
            <w:t xml:space="preserve">Whitton, N., &amp; Roomey, P. (2016). </w:t>
          </w:r>
          <w:r>
            <w:rPr>
              <w:i/>
              <w:iCs/>
              <w:noProof/>
              <w:lang w:val="en-US"/>
            </w:rPr>
            <w:t>Game- Based Learning and the Power of Play.</w:t>
          </w:r>
          <w:r>
            <w:rPr>
              <w:noProof/>
              <w:lang w:val="en-US"/>
            </w:rPr>
            <w:t xml:space="preserve"> Newcastle: Cambridge Scholars Publishing.</w:t>
          </w:r>
        </w:p>
        <w:p w:rsidR="001B3BC4" w:rsidRDefault="00E20F94" w:rsidP="00033BD3">
          <w:r>
            <w:fldChar w:fldCharType="end"/>
          </w:r>
        </w:p>
      </w:sdtContent>
    </w:sdt>
    <w:p w:rsidR="001B3BC4" w:rsidRDefault="001B3BC4" w:rsidP="00617F9E"/>
    <w:p w:rsidR="00615D61" w:rsidRDefault="00615D61" w:rsidP="004D6801">
      <w:pPr>
        <w:pStyle w:val="ListParagraph"/>
      </w:pPr>
    </w:p>
    <w:p w:rsidR="002049AD" w:rsidRDefault="002049AD" w:rsidP="00CA4E94"/>
    <w:p w:rsidR="00480AB4" w:rsidRDefault="00480AB4" w:rsidP="00CA4E94"/>
    <w:p w:rsidR="00A7413B" w:rsidRDefault="00A7413B" w:rsidP="00CA4E94"/>
    <w:p w:rsidR="004924C2" w:rsidRDefault="001431D1" w:rsidP="00AF22B6">
      <w:r>
        <w:t xml:space="preserve"> </w:t>
      </w:r>
    </w:p>
    <w:sectPr w:rsidR="004924C2" w:rsidSect="00E23A7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DD5" w:rsidRDefault="00EF6DD5" w:rsidP="00EF6DD5">
      <w:pPr>
        <w:spacing w:after="0" w:line="240" w:lineRule="auto"/>
      </w:pPr>
      <w:r>
        <w:separator/>
      </w:r>
    </w:p>
  </w:endnote>
  <w:endnote w:type="continuationSeparator" w:id="0">
    <w:p w:rsidR="00EF6DD5" w:rsidRDefault="00EF6DD5" w:rsidP="00EF6D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65" w:rsidRDefault="00453F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8403703"/>
      <w:docPartObj>
        <w:docPartGallery w:val="Page Numbers (Bottom of Page)"/>
        <w:docPartUnique/>
      </w:docPartObj>
    </w:sdtPr>
    <w:sdtContent>
      <w:p w:rsidR="008A7977" w:rsidRDefault="008A7977">
        <w:pPr>
          <w:pStyle w:val="Footer"/>
        </w:pPr>
        <w:r>
          <w:t xml:space="preserve">Page | </w:t>
        </w:r>
        <w:fldSimple w:instr=" PAGE   \* MERGEFORMAT ">
          <w:r w:rsidR="0059018F">
            <w:rPr>
              <w:noProof/>
            </w:rPr>
            <w:t>8</w:t>
          </w:r>
        </w:fldSimple>
      </w:p>
    </w:sdtContent>
  </w:sdt>
  <w:p w:rsidR="00453F65" w:rsidRDefault="00453F6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65" w:rsidRDefault="00453F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DD5" w:rsidRDefault="00EF6DD5" w:rsidP="00EF6DD5">
      <w:pPr>
        <w:spacing w:after="0" w:line="240" w:lineRule="auto"/>
      </w:pPr>
      <w:r>
        <w:separator/>
      </w:r>
    </w:p>
  </w:footnote>
  <w:footnote w:type="continuationSeparator" w:id="0">
    <w:p w:rsidR="00EF6DD5" w:rsidRDefault="00EF6DD5" w:rsidP="00EF6D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65" w:rsidRDefault="00453F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65" w:rsidRDefault="008A7977">
    <w:pPr>
      <w:pStyle w:val="Header"/>
    </w:pPr>
    <w:r>
      <w:t>Shelley Williams</w:t>
    </w:r>
    <w:r w:rsidR="00453F65">
      <w:ptab w:relativeTo="margin" w:alignment="center" w:leader="none"/>
    </w:r>
    <w:r>
      <w:t>M6X02269</w:t>
    </w:r>
    <w:r w:rsidR="00453F65">
      <w:ptab w:relativeTo="margin" w:alignment="right" w:leader="none"/>
    </w:r>
    <w:r>
      <w:t>P147618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65" w:rsidRDefault="00453F6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2384D"/>
    <w:multiLevelType w:val="hybridMultilevel"/>
    <w:tmpl w:val="2B8E6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AE5E83"/>
    <w:multiLevelType w:val="multilevel"/>
    <w:tmpl w:val="25B0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3C73A6"/>
    <w:multiLevelType w:val="multilevel"/>
    <w:tmpl w:val="DBD2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F07DFF"/>
    <w:multiLevelType w:val="hybridMultilevel"/>
    <w:tmpl w:val="637AD69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16DC2BED"/>
    <w:multiLevelType w:val="multilevel"/>
    <w:tmpl w:val="C0FE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FE96C74"/>
    <w:multiLevelType w:val="hybridMultilevel"/>
    <w:tmpl w:val="D4AC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4051CC"/>
    <w:multiLevelType w:val="hybridMultilevel"/>
    <w:tmpl w:val="782C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6B536E"/>
    <w:multiLevelType w:val="hybridMultilevel"/>
    <w:tmpl w:val="EB909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5C1692"/>
    <w:multiLevelType w:val="hybridMultilevel"/>
    <w:tmpl w:val="332A4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2522365"/>
    <w:multiLevelType w:val="hybridMultilevel"/>
    <w:tmpl w:val="30708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1DB374E"/>
    <w:multiLevelType w:val="multilevel"/>
    <w:tmpl w:val="E35A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9"/>
  </w:num>
  <w:num w:numId="4">
    <w:abstractNumId w:val="7"/>
  </w:num>
  <w:num w:numId="5">
    <w:abstractNumId w:val="8"/>
  </w:num>
  <w:num w:numId="6">
    <w:abstractNumId w:val="3"/>
  </w:num>
  <w:num w:numId="7">
    <w:abstractNumId w:val="5"/>
  </w:num>
  <w:num w:numId="8">
    <w:abstractNumId w:val="1"/>
  </w:num>
  <w:num w:numId="9">
    <w:abstractNumId w:val="2"/>
  </w:num>
  <w:num w:numId="10">
    <w:abstractNumId w:val="1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90808"/>
    <w:rsid w:val="000002AC"/>
    <w:rsid w:val="00012B17"/>
    <w:rsid w:val="00033BD3"/>
    <w:rsid w:val="00061810"/>
    <w:rsid w:val="00085CC6"/>
    <w:rsid w:val="000863A8"/>
    <w:rsid w:val="001431D1"/>
    <w:rsid w:val="00166604"/>
    <w:rsid w:val="00170224"/>
    <w:rsid w:val="00177F13"/>
    <w:rsid w:val="00183C46"/>
    <w:rsid w:val="00193C62"/>
    <w:rsid w:val="001A44DD"/>
    <w:rsid w:val="001A575E"/>
    <w:rsid w:val="001B3BC4"/>
    <w:rsid w:val="001C3B97"/>
    <w:rsid w:val="001F453F"/>
    <w:rsid w:val="00202654"/>
    <w:rsid w:val="002049AD"/>
    <w:rsid w:val="00240F48"/>
    <w:rsid w:val="0025521F"/>
    <w:rsid w:val="00266328"/>
    <w:rsid w:val="00290808"/>
    <w:rsid w:val="00302788"/>
    <w:rsid w:val="003312BD"/>
    <w:rsid w:val="00336B63"/>
    <w:rsid w:val="004205A2"/>
    <w:rsid w:val="00453F65"/>
    <w:rsid w:val="00480AB4"/>
    <w:rsid w:val="0049106F"/>
    <w:rsid w:val="004924C2"/>
    <w:rsid w:val="004B111E"/>
    <w:rsid w:val="004C3607"/>
    <w:rsid w:val="004C436D"/>
    <w:rsid w:val="004D6801"/>
    <w:rsid w:val="005622A4"/>
    <w:rsid w:val="0059018F"/>
    <w:rsid w:val="005A7AA1"/>
    <w:rsid w:val="005B79FD"/>
    <w:rsid w:val="00615D61"/>
    <w:rsid w:val="00617F9E"/>
    <w:rsid w:val="00645B8C"/>
    <w:rsid w:val="006B34C5"/>
    <w:rsid w:val="006D4465"/>
    <w:rsid w:val="006D789C"/>
    <w:rsid w:val="006E00C1"/>
    <w:rsid w:val="00763A5F"/>
    <w:rsid w:val="007A3231"/>
    <w:rsid w:val="007E622A"/>
    <w:rsid w:val="00825C58"/>
    <w:rsid w:val="008A7977"/>
    <w:rsid w:val="008B7F92"/>
    <w:rsid w:val="008D57DA"/>
    <w:rsid w:val="008F2B08"/>
    <w:rsid w:val="00925203"/>
    <w:rsid w:val="00936D77"/>
    <w:rsid w:val="009633E9"/>
    <w:rsid w:val="009702CB"/>
    <w:rsid w:val="009850B8"/>
    <w:rsid w:val="00985698"/>
    <w:rsid w:val="009A7C9E"/>
    <w:rsid w:val="009C51C2"/>
    <w:rsid w:val="00A07C2B"/>
    <w:rsid w:val="00A16070"/>
    <w:rsid w:val="00A36BF1"/>
    <w:rsid w:val="00A703FC"/>
    <w:rsid w:val="00A7413B"/>
    <w:rsid w:val="00A76FE4"/>
    <w:rsid w:val="00AA2098"/>
    <w:rsid w:val="00AD272E"/>
    <w:rsid w:val="00AD3491"/>
    <w:rsid w:val="00AD50F5"/>
    <w:rsid w:val="00AE3E66"/>
    <w:rsid w:val="00AF22B6"/>
    <w:rsid w:val="00B33B28"/>
    <w:rsid w:val="00B50C2D"/>
    <w:rsid w:val="00B91DA7"/>
    <w:rsid w:val="00B96AA8"/>
    <w:rsid w:val="00BF01C0"/>
    <w:rsid w:val="00C643DB"/>
    <w:rsid w:val="00C660FF"/>
    <w:rsid w:val="00C91981"/>
    <w:rsid w:val="00CA4E94"/>
    <w:rsid w:val="00CB75F9"/>
    <w:rsid w:val="00D53A7B"/>
    <w:rsid w:val="00D6785A"/>
    <w:rsid w:val="00DC184E"/>
    <w:rsid w:val="00E07B45"/>
    <w:rsid w:val="00E17371"/>
    <w:rsid w:val="00E20F94"/>
    <w:rsid w:val="00E23A73"/>
    <w:rsid w:val="00E92E0F"/>
    <w:rsid w:val="00EA3E94"/>
    <w:rsid w:val="00EF6DD5"/>
    <w:rsid w:val="00F1667E"/>
    <w:rsid w:val="00F54973"/>
    <w:rsid w:val="00F91B71"/>
    <w:rsid w:val="00FE7967"/>
    <w:rsid w:val="00FF6A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A73"/>
  </w:style>
  <w:style w:type="paragraph" w:styleId="Heading1">
    <w:name w:val="heading 1"/>
    <w:basedOn w:val="Normal"/>
    <w:next w:val="Normal"/>
    <w:link w:val="Heading1Char"/>
    <w:uiPriority w:val="9"/>
    <w:qFormat/>
    <w:rsid w:val="001B3BC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3312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698"/>
    <w:pPr>
      <w:ind w:left="720"/>
      <w:contextualSpacing/>
    </w:pPr>
  </w:style>
  <w:style w:type="paragraph" w:styleId="BalloonText">
    <w:name w:val="Balloon Text"/>
    <w:basedOn w:val="Normal"/>
    <w:link w:val="BalloonTextChar"/>
    <w:uiPriority w:val="99"/>
    <w:semiHidden/>
    <w:unhideWhenUsed/>
    <w:rsid w:val="00E07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B45"/>
    <w:rPr>
      <w:rFonts w:ascii="Tahoma" w:hAnsi="Tahoma" w:cs="Tahoma"/>
      <w:sz w:val="16"/>
      <w:szCs w:val="16"/>
    </w:rPr>
  </w:style>
  <w:style w:type="paragraph" w:styleId="FootnoteText">
    <w:name w:val="footnote text"/>
    <w:basedOn w:val="Normal"/>
    <w:link w:val="FootnoteTextChar"/>
    <w:uiPriority w:val="99"/>
    <w:semiHidden/>
    <w:unhideWhenUsed/>
    <w:rsid w:val="00EF6D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6DD5"/>
    <w:rPr>
      <w:sz w:val="20"/>
      <w:szCs w:val="20"/>
    </w:rPr>
  </w:style>
  <w:style w:type="character" w:styleId="FootnoteReference">
    <w:name w:val="footnote reference"/>
    <w:basedOn w:val="DefaultParagraphFont"/>
    <w:uiPriority w:val="99"/>
    <w:semiHidden/>
    <w:unhideWhenUsed/>
    <w:rsid w:val="00EF6DD5"/>
    <w:rPr>
      <w:vertAlign w:val="superscript"/>
    </w:rPr>
  </w:style>
  <w:style w:type="character" w:customStyle="1" w:styleId="Heading1Char">
    <w:name w:val="Heading 1 Char"/>
    <w:basedOn w:val="DefaultParagraphFont"/>
    <w:link w:val="Heading1"/>
    <w:uiPriority w:val="9"/>
    <w:rsid w:val="001B3BC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B3BC4"/>
  </w:style>
  <w:style w:type="character" w:customStyle="1" w:styleId="Heading2Char">
    <w:name w:val="Heading 2 Char"/>
    <w:basedOn w:val="DefaultParagraphFont"/>
    <w:link w:val="Heading2"/>
    <w:uiPriority w:val="9"/>
    <w:semiHidden/>
    <w:rsid w:val="003312B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semiHidden/>
    <w:unhideWhenUsed/>
    <w:rsid w:val="00453F6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3F65"/>
  </w:style>
  <w:style w:type="paragraph" w:styleId="Footer">
    <w:name w:val="footer"/>
    <w:basedOn w:val="Normal"/>
    <w:link w:val="FooterChar"/>
    <w:uiPriority w:val="99"/>
    <w:unhideWhenUsed/>
    <w:rsid w:val="00453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F65"/>
  </w:style>
</w:styles>
</file>

<file path=word/webSettings.xml><?xml version="1.0" encoding="utf-8"?>
<w:webSettings xmlns:r="http://schemas.openxmlformats.org/officeDocument/2006/relationships" xmlns:w="http://schemas.openxmlformats.org/wordprocessingml/2006/main">
  <w:divs>
    <w:div w:id="46538090">
      <w:bodyDiv w:val="1"/>
      <w:marLeft w:val="0"/>
      <w:marRight w:val="0"/>
      <w:marTop w:val="0"/>
      <w:marBottom w:val="0"/>
      <w:divBdr>
        <w:top w:val="none" w:sz="0" w:space="0" w:color="auto"/>
        <w:left w:val="none" w:sz="0" w:space="0" w:color="auto"/>
        <w:bottom w:val="none" w:sz="0" w:space="0" w:color="auto"/>
        <w:right w:val="none" w:sz="0" w:space="0" w:color="auto"/>
      </w:divBdr>
    </w:div>
    <w:div w:id="88551850">
      <w:bodyDiv w:val="1"/>
      <w:marLeft w:val="0"/>
      <w:marRight w:val="0"/>
      <w:marTop w:val="0"/>
      <w:marBottom w:val="0"/>
      <w:divBdr>
        <w:top w:val="none" w:sz="0" w:space="0" w:color="auto"/>
        <w:left w:val="none" w:sz="0" w:space="0" w:color="auto"/>
        <w:bottom w:val="none" w:sz="0" w:space="0" w:color="auto"/>
        <w:right w:val="none" w:sz="0" w:space="0" w:color="auto"/>
      </w:divBdr>
    </w:div>
    <w:div w:id="227109791">
      <w:bodyDiv w:val="1"/>
      <w:marLeft w:val="0"/>
      <w:marRight w:val="0"/>
      <w:marTop w:val="0"/>
      <w:marBottom w:val="0"/>
      <w:divBdr>
        <w:top w:val="none" w:sz="0" w:space="0" w:color="auto"/>
        <w:left w:val="none" w:sz="0" w:space="0" w:color="auto"/>
        <w:bottom w:val="none" w:sz="0" w:space="0" w:color="auto"/>
        <w:right w:val="none" w:sz="0" w:space="0" w:color="auto"/>
      </w:divBdr>
    </w:div>
    <w:div w:id="316882246">
      <w:bodyDiv w:val="1"/>
      <w:marLeft w:val="0"/>
      <w:marRight w:val="0"/>
      <w:marTop w:val="0"/>
      <w:marBottom w:val="0"/>
      <w:divBdr>
        <w:top w:val="none" w:sz="0" w:space="0" w:color="auto"/>
        <w:left w:val="none" w:sz="0" w:space="0" w:color="auto"/>
        <w:bottom w:val="none" w:sz="0" w:space="0" w:color="auto"/>
        <w:right w:val="none" w:sz="0" w:space="0" w:color="auto"/>
      </w:divBdr>
    </w:div>
    <w:div w:id="391975574">
      <w:bodyDiv w:val="1"/>
      <w:marLeft w:val="0"/>
      <w:marRight w:val="0"/>
      <w:marTop w:val="0"/>
      <w:marBottom w:val="0"/>
      <w:divBdr>
        <w:top w:val="none" w:sz="0" w:space="0" w:color="auto"/>
        <w:left w:val="none" w:sz="0" w:space="0" w:color="auto"/>
        <w:bottom w:val="none" w:sz="0" w:space="0" w:color="auto"/>
        <w:right w:val="none" w:sz="0" w:space="0" w:color="auto"/>
      </w:divBdr>
    </w:div>
    <w:div w:id="400717116">
      <w:bodyDiv w:val="1"/>
      <w:marLeft w:val="0"/>
      <w:marRight w:val="0"/>
      <w:marTop w:val="0"/>
      <w:marBottom w:val="0"/>
      <w:divBdr>
        <w:top w:val="none" w:sz="0" w:space="0" w:color="auto"/>
        <w:left w:val="none" w:sz="0" w:space="0" w:color="auto"/>
        <w:bottom w:val="none" w:sz="0" w:space="0" w:color="auto"/>
        <w:right w:val="none" w:sz="0" w:space="0" w:color="auto"/>
      </w:divBdr>
    </w:div>
    <w:div w:id="416754061">
      <w:bodyDiv w:val="1"/>
      <w:marLeft w:val="0"/>
      <w:marRight w:val="0"/>
      <w:marTop w:val="0"/>
      <w:marBottom w:val="0"/>
      <w:divBdr>
        <w:top w:val="none" w:sz="0" w:space="0" w:color="auto"/>
        <w:left w:val="none" w:sz="0" w:space="0" w:color="auto"/>
        <w:bottom w:val="none" w:sz="0" w:space="0" w:color="auto"/>
        <w:right w:val="none" w:sz="0" w:space="0" w:color="auto"/>
      </w:divBdr>
    </w:div>
    <w:div w:id="439565990">
      <w:bodyDiv w:val="1"/>
      <w:marLeft w:val="0"/>
      <w:marRight w:val="0"/>
      <w:marTop w:val="0"/>
      <w:marBottom w:val="0"/>
      <w:divBdr>
        <w:top w:val="none" w:sz="0" w:space="0" w:color="auto"/>
        <w:left w:val="none" w:sz="0" w:space="0" w:color="auto"/>
        <w:bottom w:val="none" w:sz="0" w:space="0" w:color="auto"/>
        <w:right w:val="none" w:sz="0" w:space="0" w:color="auto"/>
      </w:divBdr>
    </w:div>
    <w:div w:id="485586718">
      <w:bodyDiv w:val="1"/>
      <w:marLeft w:val="0"/>
      <w:marRight w:val="0"/>
      <w:marTop w:val="0"/>
      <w:marBottom w:val="0"/>
      <w:divBdr>
        <w:top w:val="none" w:sz="0" w:space="0" w:color="auto"/>
        <w:left w:val="none" w:sz="0" w:space="0" w:color="auto"/>
        <w:bottom w:val="none" w:sz="0" w:space="0" w:color="auto"/>
        <w:right w:val="none" w:sz="0" w:space="0" w:color="auto"/>
      </w:divBdr>
    </w:div>
    <w:div w:id="573660739">
      <w:bodyDiv w:val="1"/>
      <w:marLeft w:val="0"/>
      <w:marRight w:val="0"/>
      <w:marTop w:val="0"/>
      <w:marBottom w:val="0"/>
      <w:divBdr>
        <w:top w:val="none" w:sz="0" w:space="0" w:color="auto"/>
        <w:left w:val="none" w:sz="0" w:space="0" w:color="auto"/>
        <w:bottom w:val="none" w:sz="0" w:space="0" w:color="auto"/>
        <w:right w:val="none" w:sz="0" w:space="0" w:color="auto"/>
      </w:divBdr>
    </w:div>
    <w:div w:id="591545027">
      <w:bodyDiv w:val="1"/>
      <w:marLeft w:val="0"/>
      <w:marRight w:val="0"/>
      <w:marTop w:val="0"/>
      <w:marBottom w:val="0"/>
      <w:divBdr>
        <w:top w:val="none" w:sz="0" w:space="0" w:color="auto"/>
        <w:left w:val="none" w:sz="0" w:space="0" w:color="auto"/>
        <w:bottom w:val="none" w:sz="0" w:space="0" w:color="auto"/>
        <w:right w:val="none" w:sz="0" w:space="0" w:color="auto"/>
      </w:divBdr>
    </w:div>
    <w:div w:id="618803362">
      <w:bodyDiv w:val="1"/>
      <w:marLeft w:val="0"/>
      <w:marRight w:val="0"/>
      <w:marTop w:val="0"/>
      <w:marBottom w:val="0"/>
      <w:divBdr>
        <w:top w:val="none" w:sz="0" w:space="0" w:color="auto"/>
        <w:left w:val="none" w:sz="0" w:space="0" w:color="auto"/>
        <w:bottom w:val="none" w:sz="0" w:space="0" w:color="auto"/>
        <w:right w:val="none" w:sz="0" w:space="0" w:color="auto"/>
      </w:divBdr>
    </w:div>
    <w:div w:id="640499317">
      <w:bodyDiv w:val="1"/>
      <w:marLeft w:val="0"/>
      <w:marRight w:val="0"/>
      <w:marTop w:val="0"/>
      <w:marBottom w:val="0"/>
      <w:divBdr>
        <w:top w:val="none" w:sz="0" w:space="0" w:color="auto"/>
        <w:left w:val="none" w:sz="0" w:space="0" w:color="auto"/>
        <w:bottom w:val="none" w:sz="0" w:space="0" w:color="auto"/>
        <w:right w:val="none" w:sz="0" w:space="0" w:color="auto"/>
      </w:divBdr>
    </w:div>
    <w:div w:id="698628855">
      <w:bodyDiv w:val="1"/>
      <w:marLeft w:val="0"/>
      <w:marRight w:val="0"/>
      <w:marTop w:val="0"/>
      <w:marBottom w:val="0"/>
      <w:divBdr>
        <w:top w:val="none" w:sz="0" w:space="0" w:color="auto"/>
        <w:left w:val="none" w:sz="0" w:space="0" w:color="auto"/>
        <w:bottom w:val="none" w:sz="0" w:space="0" w:color="auto"/>
        <w:right w:val="none" w:sz="0" w:space="0" w:color="auto"/>
      </w:divBdr>
    </w:div>
    <w:div w:id="704912795">
      <w:bodyDiv w:val="1"/>
      <w:marLeft w:val="0"/>
      <w:marRight w:val="0"/>
      <w:marTop w:val="0"/>
      <w:marBottom w:val="0"/>
      <w:divBdr>
        <w:top w:val="none" w:sz="0" w:space="0" w:color="auto"/>
        <w:left w:val="none" w:sz="0" w:space="0" w:color="auto"/>
        <w:bottom w:val="none" w:sz="0" w:space="0" w:color="auto"/>
        <w:right w:val="none" w:sz="0" w:space="0" w:color="auto"/>
      </w:divBdr>
    </w:div>
    <w:div w:id="818036975">
      <w:bodyDiv w:val="1"/>
      <w:marLeft w:val="0"/>
      <w:marRight w:val="0"/>
      <w:marTop w:val="0"/>
      <w:marBottom w:val="0"/>
      <w:divBdr>
        <w:top w:val="none" w:sz="0" w:space="0" w:color="auto"/>
        <w:left w:val="none" w:sz="0" w:space="0" w:color="auto"/>
        <w:bottom w:val="none" w:sz="0" w:space="0" w:color="auto"/>
        <w:right w:val="none" w:sz="0" w:space="0" w:color="auto"/>
      </w:divBdr>
    </w:div>
    <w:div w:id="822699272">
      <w:bodyDiv w:val="1"/>
      <w:marLeft w:val="0"/>
      <w:marRight w:val="0"/>
      <w:marTop w:val="0"/>
      <w:marBottom w:val="0"/>
      <w:divBdr>
        <w:top w:val="none" w:sz="0" w:space="0" w:color="auto"/>
        <w:left w:val="none" w:sz="0" w:space="0" w:color="auto"/>
        <w:bottom w:val="none" w:sz="0" w:space="0" w:color="auto"/>
        <w:right w:val="none" w:sz="0" w:space="0" w:color="auto"/>
      </w:divBdr>
    </w:div>
    <w:div w:id="867304186">
      <w:bodyDiv w:val="1"/>
      <w:marLeft w:val="0"/>
      <w:marRight w:val="0"/>
      <w:marTop w:val="0"/>
      <w:marBottom w:val="0"/>
      <w:divBdr>
        <w:top w:val="none" w:sz="0" w:space="0" w:color="auto"/>
        <w:left w:val="none" w:sz="0" w:space="0" w:color="auto"/>
        <w:bottom w:val="none" w:sz="0" w:space="0" w:color="auto"/>
        <w:right w:val="none" w:sz="0" w:space="0" w:color="auto"/>
      </w:divBdr>
    </w:div>
    <w:div w:id="967904703">
      <w:bodyDiv w:val="1"/>
      <w:marLeft w:val="0"/>
      <w:marRight w:val="0"/>
      <w:marTop w:val="0"/>
      <w:marBottom w:val="0"/>
      <w:divBdr>
        <w:top w:val="none" w:sz="0" w:space="0" w:color="auto"/>
        <w:left w:val="none" w:sz="0" w:space="0" w:color="auto"/>
        <w:bottom w:val="none" w:sz="0" w:space="0" w:color="auto"/>
        <w:right w:val="none" w:sz="0" w:space="0" w:color="auto"/>
      </w:divBdr>
    </w:div>
    <w:div w:id="1010137512">
      <w:bodyDiv w:val="1"/>
      <w:marLeft w:val="0"/>
      <w:marRight w:val="0"/>
      <w:marTop w:val="0"/>
      <w:marBottom w:val="0"/>
      <w:divBdr>
        <w:top w:val="none" w:sz="0" w:space="0" w:color="auto"/>
        <w:left w:val="none" w:sz="0" w:space="0" w:color="auto"/>
        <w:bottom w:val="none" w:sz="0" w:space="0" w:color="auto"/>
        <w:right w:val="none" w:sz="0" w:space="0" w:color="auto"/>
      </w:divBdr>
    </w:div>
    <w:div w:id="1012030913">
      <w:bodyDiv w:val="1"/>
      <w:marLeft w:val="0"/>
      <w:marRight w:val="0"/>
      <w:marTop w:val="0"/>
      <w:marBottom w:val="0"/>
      <w:divBdr>
        <w:top w:val="none" w:sz="0" w:space="0" w:color="auto"/>
        <w:left w:val="none" w:sz="0" w:space="0" w:color="auto"/>
        <w:bottom w:val="none" w:sz="0" w:space="0" w:color="auto"/>
        <w:right w:val="none" w:sz="0" w:space="0" w:color="auto"/>
      </w:divBdr>
    </w:div>
    <w:div w:id="1025399020">
      <w:bodyDiv w:val="1"/>
      <w:marLeft w:val="0"/>
      <w:marRight w:val="0"/>
      <w:marTop w:val="0"/>
      <w:marBottom w:val="0"/>
      <w:divBdr>
        <w:top w:val="none" w:sz="0" w:space="0" w:color="auto"/>
        <w:left w:val="none" w:sz="0" w:space="0" w:color="auto"/>
        <w:bottom w:val="none" w:sz="0" w:space="0" w:color="auto"/>
        <w:right w:val="none" w:sz="0" w:space="0" w:color="auto"/>
      </w:divBdr>
    </w:div>
    <w:div w:id="1027636874">
      <w:bodyDiv w:val="1"/>
      <w:marLeft w:val="0"/>
      <w:marRight w:val="0"/>
      <w:marTop w:val="0"/>
      <w:marBottom w:val="0"/>
      <w:divBdr>
        <w:top w:val="none" w:sz="0" w:space="0" w:color="auto"/>
        <w:left w:val="none" w:sz="0" w:space="0" w:color="auto"/>
        <w:bottom w:val="none" w:sz="0" w:space="0" w:color="auto"/>
        <w:right w:val="none" w:sz="0" w:space="0" w:color="auto"/>
      </w:divBdr>
    </w:div>
    <w:div w:id="1038046582">
      <w:bodyDiv w:val="1"/>
      <w:marLeft w:val="0"/>
      <w:marRight w:val="0"/>
      <w:marTop w:val="0"/>
      <w:marBottom w:val="0"/>
      <w:divBdr>
        <w:top w:val="none" w:sz="0" w:space="0" w:color="auto"/>
        <w:left w:val="none" w:sz="0" w:space="0" w:color="auto"/>
        <w:bottom w:val="none" w:sz="0" w:space="0" w:color="auto"/>
        <w:right w:val="none" w:sz="0" w:space="0" w:color="auto"/>
      </w:divBdr>
    </w:div>
    <w:div w:id="1048067201">
      <w:bodyDiv w:val="1"/>
      <w:marLeft w:val="0"/>
      <w:marRight w:val="0"/>
      <w:marTop w:val="0"/>
      <w:marBottom w:val="0"/>
      <w:divBdr>
        <w:top w:val="none" w:sz="0" w:space="0" w:color="auto"/>
        <w:left w:val="none" w:sz="0" w:space="0" w:color="auto"/>
        <w:bottom w:val="none" w:sz="0" w:space="0" w:color="auto"/>
        <w:right w:val="none" w:sz="0" w:space="0" w:color="auto"/>
      </w:divBdr>
    </w:div>
    <w:div w:id="1069351961">
      <w:bodyDiv w:val="1"/>
      <w:marLeft w:val="0"/>
      <w:marRight w:val="0"/>
      <w:marTop w:val="0"/>
      <w:marBottom w:val="0"/>
      <w:divBdr>
        <w:top w:val="none" w:sz="0" w:space="0" w:color="auto"/>
        <w:left w:val="none" w:sz="0" w:space="0" w:color="auto"/>
        <w:bottom w:val="none" w:sz="0" w:space="0" w:color="auto"/>
        <w:right w:val="none" w:sz="0" w:space="0" w:color="auto"/>
      </w:divBdr>
    </w:div>
    <w:div w:id="1123688540">
      <w:bodyDiv w:val="1"/>
      <w:marLeft w:val="0"/>
      <w:marRight w:val="0"/>
      <w:marTop w:val="0"/>
      <w:marBottom w:val="0"/>
      <w:divBdr>
        <w:top w:val="none" w:sz="0" w:space="0" w:color="auto"/>
        <w:left w:val="none" w:sz="0" w:space="0" w:color="auto"/>
        <w:bottom w:val="none" w:sz="0" w:space="0" w:color="auto"/>
        <w:right w:val="none" w:sz="0" w:space="0" w:color="auto"/>
      </w:divBdr>
    </w:div>
    <w:div w:id="1129127179">
      <w:bodyDiv w:val="1"/>
      <w:marLeft w:val="0"/>
      <w:marRight w:val="0"/>
      <w:marTop w:val="0"/>
      <w:marBottom w:val="0"/>
      <w:divBdr>
        <w:top w:val="none" w:sz="0" w:space="0" w:color="auto"/>
        <w:left w:val="none" w:sz="0" w:space="0" w:color="auto"/>
        <w:bottom w:val="none" w:sz="0" w:space="0" w:color="auto"/>
        <w:right w:val="none" w:sz="0" w:space="0" w:color="auto"/>
      </w:divBdr>
    </w:div>
    <w:div w:id="1141967757">
      <w:bodyDiv w:val="1"/>
      <w:marLeft w:val="0"/>
      <w:marRight w:val="0"/>
      <w:marTop w:val="0"/>
      <w:marBottom w:val="0"/>
      <w:divBdr>
        <w:top w:val="none" w:sz="0" w:space="0" w:color="auto"/>
        <w:left w:val="none" w:sz="0" w:space="0" w:color="auto"/>
        <w:bottom w:val="none" w:sz="0" w:space="0" w:color="auto"/>
        <w:right w:val="none" w:sz="0" w:space="0" w:color="auto"/>
      </w:divBdr>
    </w:div>
    <w:div w:id="1183125457">
      <w:bodyDiv w:val="1"/>
      <w:marLeft w:val="0"/>
      <w:marRight w:val="0"/>
      <w:marTop w:val="0"/>
      <w:marBottom w:val="0"/>
      <w:divBdr>
        <w:top w:val="none" w:sz="0" w:space="0" w:color="auto"/>
        <w:left w:val="none" w:sz="0" w:space="0" w:color="auto"/>
        <w:bottom w:val="none" w:sz="0" w:space="0" w:color="auto"/>
        <w:right w:val="none" w:sz="0" w:space="0" w:color="auto"/>
      </w:divBdr>
    </w:div>
    <w:div w:id="1221132591">
      <w:bodyDiv w:val="1"/>
      <w:marLeft w:val="0"/>
      <w:marRight w:val="0"/>
      <w:marTop w:val="0"/>
      <w:marBottom w:val="0"/>
      <w:divBdr>
        <w:top w:val="none" w:sz="0" w:space="0" w:color="auto"/>
        <w:left w:val="none" w:sz="0" w:space="0" w:color="auto"/>
        <w:bottom w:val="none" w:sz="0" w:space="0" w:color="auto"/>
        <w:right w:val="none" w:sz="0" w:space="0" w:color="auto"/>
      </w:divBdr>
    </w:div>
    <w:div w:id="1238711315">
      <w:bodyDiv w:val="1"/>
      <w:marLeft w:val="0"/>
      <w:marRight w:val="0"/>
      <w:marTop w:val="0"/>
      <w:marBottom w:val="0"/>
      <w:divBdr>
        <w:top w:val="none" w:sz="0" w:space="0" w:color="auto"/>
        <w:left w:val="none" w:sz="0" w:space="0" w:color="auto"/>
        <w:bottom w:val="none" w:sz="0" w:space="0" w:color="auto"/>
        <w:right w:val="none" w:sz="0" w:space="0" w:color="auto"/>
      </w:divBdr>
    </w:div>
    <w:div w:id="1247422673">
      <w:bodyDiv w:val="1"/>
      <w:marLeft w:val="0"/>
      <w:marRight w:val="0"/>
      <w:marTop w:val="0"/>
      <w:marBottom w:val="0"/>
      <w:divBdr>
        <w:top w:val="none" w:sz="0" w:space="0" w:color="auto"/>
        <w:left w:val="none" w:sz="0" w:space="0" w:color="auto"/>
        <w:bottom w:val="none" w:sz="0" w:space="0" w:color="auto"/>
        <w:right w:val="none" w:sz="0" w:space="0" w:color="auto"/>
      </w:divBdr>
    </w:div>
    <w:div w:id="1401900657">
      <w:bodyDiv w:val="1"/>
      <w:marLeft w:val="0"/>
      <w:marRight w:val="0"/>
      <w:marTop w:val="0"/>
      <w:marBottom w:val="0"/>
      <w:divBdr>
        <w:top w:val="none" w:sz="0" w:space="0" w:color="auto"/>
        <w:left w:val="none" w:sz="0" w:space="0" w:color="auto"/>
        <w:bottom w:val="none" w:sz="0" w:space="0" w:color="auto"/>
        <w:right w:val="none" w:sz="0" w:space="0" w:color="auto"/>
      </w:divBdr>
    </w:div>
    <w:div w:id="1464272975">
      <w:bodyDiv w:val="1"/>
      <w:marLeft w:val="0"/>
      <w:marRight w:val="0"/>
      <w:marTop w:val="0"/>
      <w:marBottom w:val="0"/>
      <w:divBdr>
        <w:top w:val="none" w:sz="0" w:space="0" w:color="auto"/>
        <w:left w:val="none" w:sz="0" w:space="0" w:color="auto"/>
        <w:bottom w:val="none" w:sz="0" w:space="0" w:color="auto"/>
        <w:right w:val="none" w:sz="0" w:space="0" w:color="auto"/>
      </w:divBdr>
    </w:div>
    <w:div w:id="1485125042">
      <w:bodyDiv w:val="1"/>
      <w:marLeft w:val="0"/>
      <w:marRight w:val="0"/>
      <w:marTop w:val="0"/>
      <w:marBottom w:val="0"/>
      <w:divBdr>
        <w:top w:val="none" w:sz="0" w:space="0" w:color="auto"/>
        <w:left w:val="none" w:sz="0" w:space="0" w:color="auto"/>
        <w:bottom w:val="none" w:sz="0" w:space="0" w:color="auto"/>
        <w:right w:val="none" w:sz="0" w:space="0" w:color="auto"/>
      </w:divBdr>
    </w:div>
    <w:div w:id="1508012139">
      <w:bodyDiv w:val="1"/>
      <w:marLeft w:val="0"/>
      <w:marRight w:val="0"/>
      <w:marTop w:val="0"/>
      <w:marBottom w:val="0"/>
      <w:divBdr>
        <w:top w:val="none" w:sz="0" w:space="0" w:color="auto"/>
        <w:left w:val="none" w:sz="0" w:space="0" w:color="auto"/>
        <w:bottom w:val="none" w:sz="0" w:space="0" w:color="auto"/>
        <w:right w:val="none" w:sz="0" w:space="0" w:color="auto"/>
      </w:divBdr>
    </w:div>
    <w:div w:id="1529173991">
      <w:bodyDiv w:val="1"/>
      <w:marLeft w:val="0"/>
      <w:marRight w:val="0"/>
      <w:marTop w:val="0"/>
      <w:marBottom w:val="0"/>
      <w:divBdr>
        <w:top w:val="none" w:sz="0" w:space="0" w:color="auto"/>
        <w:left w:val="none" w:sz="0" w:space="0" w:color="auto"/>
        <w:bottom w:val="none" w:sz="0" w:space="0" w:color="auto"/>
        <w:right w:val="none" w:sz="0" w:space="0" w:color="auto"/>
      </w:divBdr>
    </w:div>
    <w:div w:id="1533614246">
      <w:bodyDiv w:val="1"/>
      <w:marLeft w:val="0"/>
      <w:marRight w:val="0"/>
      <w:marTop w:val="0"/>
      <w:marBottom w:val="0"/>
      <w:divBdr>
        <w:top w:val="none" w:sz="0" w:space="0" w:color="auto"/>
        <w:left w:val="none" w:sz="0" w:space="0" w:color="auto"/>
        <w:bottom w:val="none" w:sz="0" w:space="0" w:color="auto"/>
        <w:right w:val="none" w:sz="0" w:space="0" w:color="auto"/>
      </w:divBdr>
    </w:div>
    <w:div w:id="1600913473">
      <w:bodyDiv w:val="1"/>
      <w:marLeft w:val="0"/>
      <w:marRight w:val="0"/>
      <w:marTop w:val="0"/>
      <w:marBottom w:val="0"/>
      <w:divBdr>
        <w:top w:val="none" w:sz="0" w:space="0" w:color="auto"/>
        <w:left w:val="none" w:sz="0" w:space="0" w:color="auto"/>
        <w:bottom w:val="none" w:sz="0" w:space="0" w:color="auto"/>
        <w:right w:val="none" w:sz="0" w:space="0" w:color="auto"/>
      </w:divBdr>
    </w:div>
    <w:div w:id="1612392495">
      <w:bodyDiv w:val="1"/>
      <w:marLeft w:val="0"/>
      <w:marRight w:val="0"/>
      <w:marTop w:val="0"/>
      <w:marBottom w:val="0"/>
      <w:divBdr>
        <w:top w:val="none" w:sz="0" w:space="0" w:color="auto"/>
        <w:left w:val="none" w:sz="0" w:space="0" w:color="auto"/>
        <w:bottom w:val="none" w:sz="0" w:space="0" w:color="auto"/>
        <w:right w:val="none" w:sz="0" w:space="0" w:color="auto"/>
      </w:divBdr>
    </w:div>
    <w:div w:id="1666319516">
      <w:bodyDiv w:val="1"/>
      <w:marLeft w:val="0"/>
      <w:marRight w:val="0"/>
      <w:marTop w:val="0"/>
      <w:marBottom w:val="0"/>
      <w:divBdr>
        <w:top w:val="none" w:sz="0" w:space="0" w:color="auto"/>
        <w:left w:val="none" w:sz="0" w:space="0" w:color="auto"/>
        <w:bottom w:val="none" w:sz="0" w:space="0" w:color="auto"/>
        <w:right w:val="none" w:sz="0" w:space="0" w:color="auto"/>
      </w:divBdr>
    </w:div>
    <w:div w:id="1781728048">
      <w:bodyDiv w:val="1"/>
      <w:marLeft w:val="0"/>
      <w:marRight w:val="0"/>
      <w:marTop w:val="0"/>
      <w:marBottom w:val="0"/>
      <w:divBdr>
        <w:top w:val="none" w:sz="0" w:space="0" w:color="auto"/>
        <w:left w:val="none" w:sz="0" w:space="0" w:color="auto"/>
        <w:bottom w:val="none" w:sz="0" w:space="0" w:color="auto"/>
        <w:right w:val="none" w:sz="0" w:space="0" w:color="auto"/>
      </w:divBdr>
    </w:div>
    <w:div w:id="1836802369">
      <w:bodyDiv w:val="1"/>
      <w:marLeft w:val="0"/>
      <w:marRight w:val="0"/>
      <w:marTop w:val="0"/>
      <w:marBottom w:val="0"/>
      <w:divBdr>
        <w:top w:val="none" w:sz="0" w:space="0" w:color="auto"/>
        <w:left w:val="none" w:sz="0" w:space="0" w:color="auto"/>
        <w:bottom w:val="none" w:sz="0" w:space="0" w:color="auto"/>
        <w:right w:val="none" w:sz="0" w:space="0" w:color="auto"/>
      </w:divBdr>
    </w:div>
    <w:div w:id="1840805971">
      <w:bodyDiv w:val="1"/>
      <w:marLeft w:val="0"/>
      <w:marRight w:val="0"/>
      <w:marTop w:val="0"/>
      <w:marBottom w:val="0"/>
      <w:divBdr>
        <w:top w:val="none" w:sz="0" w:space="0" w:color="auto"/>
        <w:left w:val="none" w:sz="0" w:space="0" w:color="auto"/>
        <w:bottom w:val="none" w:sz="0" w:space="0" w:color="auto"/>
        <w:right w:val="none" w:sz="0" w:space="0" w:color="auto"/>
      </w:divBdr>
    </w:div>
    <w:div w:id="1890460118">
      <w:bodyDiv w:val="1"/>
      <w:marLeft w:val="0"/>
      <w:marRight w:val="0"/>
      <w:marTop w:val="0"/>
      <w:marBottom w:val="0"/>
      <w:divBdr>
        <w:top w:val="none" w:sz="0" w:space="0" w:color="auto"/>
        <w:left w:val="none" w:sz="0" w:space="0" w:color="auto"/>
        <w:bottom w:val="none" w:sz="0" w:space="0" w:color="auto"/>
        <w:right w:val="none" w:sz="0" w:space="0" w:color="auto"/>
      </w:divBdr>
    </w:div>
    <w:div w:id="1924953304">
      <w:bodyDiv w:val="1"/>
      <w:marLeft w:val="0"/>
      <w:marRight w:val="0"/>
      <w:marTop w:val="0"/>
      <w:marBottom w:val="0"/>
      <w:divBdr>
        <w:top w:val="none" w:sz="0" w:space="0" w:color="auto"/>
        <w:left w:val="none" w:sz="0" w:space="0" w:color="auto"/>
        <w:bottom w:val="none" w:sz="0" w:space="0" w:color="auto"/>
        <w:right w:val="none" w:sz="0" w:space="0" w:color="auto"/>
      </w:divBdr>
    </w:div>
    <w:div w:id="1944917002">
      <w:bodyDiv w:val="1"/>
      <w:marLeft w:val="0"/>
      <w:marRight w:val="0"/>
      <w:marTop w:val="0"/>
      <w:marBottom w:val="0"/>
      <w:divBdr>
        <w:top w:val="none" w:sz="0" w:space="0" w:color="auto"/>
        <w:left w:val="none" w:sz="0" w:space="0" w:color="auto"/>
        <w:bottom w:val="none" w:sz="0" w:space="0" w:color="auto"/>
        <w:right w:val="none" w:sz="0" w:space="0" w:color="auto"/>
      </w:divBdr>
    </w:div>
    <w:div w:id="2040084881">
      <w:bodyDiv w:val="1"/>
      <w:marLeft w:val="0"/>
      <w:marRight w:val="0"/>
      <w:marTop w:val="0"/>
      <w:marBottom w:val="0"/>
      <w:divBdr>
        <w:top w:val="none" w:sz="0" w:space="0" w:color="auto"/>
        <w:left w:val="none" w:sz="0" w:space="0" w:color="auto"/>
        <w:bottom w:val="none" w:sz="0" w:space="0" w:color="auto"/>
        <w:right w:val="none" w:sz="0" w:space="0" w:color="auto"/>
      </w:divBdr>
    </w:div>
    <w:div w:id="205804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Web06</b:Tag>
    <b:SourceType>BookSection</b:SourceType>
    <b:Guid>{A7D62D6B-32E9-45F5-AAFD-413B12693F36}</b:Guid>
    <b:Title>Part 1: Contemporary learning experiences</b:Title>
    <b:Year>2006</b:Year>
    <b:Pages>1- 12</b:Pages>
    <b:Author>
      <b:Author>
        <b:NameList>
          <b:Person>
            <b:Last>Weber</b:Last>
            <b:First>University</b:First>
            <b:Middle>of</b:Middle>
          </b:Person>
        </b:NameList>
      </b:Author>
      <b:BookAuthor>
        <b:NameList>
          <b:Person>
            <b:Last>University</b:Last>
            <b:First>Weber</b:First>
            <b:Middle>State</b:Middle>
          </b:Person>
        </b:NameList>
      </b:BookAuthor>
    </b:Author>
    <b:BookTitle>Contemporary Learning Experiences</b:BookTitle>
    <b:City>Utah</b:City>
    <b:Publisher>Weber State University</b:Publisher>
    <b:RefOrder>1</b:RefOrder>
  </b:Source>
  <b:Source>
    <b:Tag>Ill03</b:Tag>
    <b:SourceType>JournalArticle</b:SourceType>
    <b:Guid>{457C6F44-BD70-4CDD-A551-FE7F3C0AA31D}</b:Guid>
    <b:Title>Towards a contemporary and comrehensive theory of learning</b:Title>
    <b:Year>2003</b:Year>
    <b:Pages>396- 406</b:Pages>
    <b:Author>
      <b:Author>
        <b:NameList>
          <b:Person>
            <b:Last>Illeris</b:Last>
            <b:First>Knud</b:First>
          </b:Person>
        </b:NameList>
      </b:Author>
    </b:Author>
    <b:JournalName>International Journal of lifelong education</b:JournalName>
    <b:Volume>22</b:Volume>
    <b:Issue>4</b:Issue>
    <b:RefOrder>2</b:RefOrder>
  </b:Source>
  <b:Source>
    <b:Tag>Nat12</b:Tag>
    <b:SourceType>InternetSite</b:SourceType>
    <b:Guid>{398E9668-60D5-476E-83E8-36014E5382DA}</b:Guid>
    <b:Title>Contemporary theories of learning</b:Title>
    <b:Year>2012</b:Year>
    <b:Author>
      <b:Author>
        <b:NameList>
          <b:Person>
            <b:Last>Leadership</b:Last>
            <b:First>National</b:First>
            <b:Middle>College for Teaching and</b:Middle>
          </b:Person>
        </b:NameList>
      </b:Author>
    </b:Author>
    <b:InternetSiteTitle>Exploring adult learning</b:InternetSiteTitle>
    <b:URL>https://www.nationalcollege.org.uk/transfer/open/advanced-facilitation/advfac-s03/advfac-s03-t3.html</b:URL>
    <b:RefOrder>4</b:RefOrder>
  </b:Source>
  <b:Source>
    <b:Tag>Cam07</b:Tag>
    <b:SourceType>Book</b:SourceType>
    <b:Guid>{5CE9D3CD-8620-443C-A0CF-FB35C512517C}</b:Guid>
    <b:Title>Learning, Teaching and Assesing in Higher Education</b:Title>
    <b:Year>2007</b:Year>
    <b:Author>
      <b:Author>
        <b:NameList>
          <b:Person>
            <b:Last>Campbell</b:Last>
            <b:First>Ann</b:First>
          </b:Person>
          <b:Person>
            <b:Last>Norton</b:Last>
            <b:First>Lin</b:First>
          </b:Person>
        </b:NameList>
      </b:Author>
    </b:Author>
    <b:City>Exeter</b:City>
    <b:Publisher>Learning Matters Ltd</b:Publisher>
    <b:RefOrder>5</b:RefOrder>
  </b:Source>
  <b:Source>
    <b:Tag>Bla12</b:Tag>
    <b:SourceType>JournalArticle</b:SourceType>
    <b:Guid>{03FBEA17-0238-497E-A311-8CAD8E3E77DE}</b:Guid>
    <b:Title>Heutagogy and Lifelong Learning; A review of Heutagogical practice and self determined learning</b:Title>
    <b:Year>2012</b:Year>
    <b:Author>
      <b:Author>
        <b:NameList>
          <b:Person>
            <b:Last>Blaschke</b:Last>
            <b:First>Lisa</b:First>
            <b:Middle>Marie</b:Middle>
          </b:Person>
        </b:NameList>
      </b:Author>
    </b:Author>
    <b:JournalName>International Review of Research In Open and Distance Learning</b:JournalName>
    <b:Volume>13</b:Volume>
    <b:Issue>1</b:Issue>
    <b:RefOrder>6</b:RefOrder>
  </b:Source>
  <b:Source>
    <b:Tag>Man07</b:Tag>
    <b:SourceType>InternetSite</b:SourceType>
    <b:Guid>{A8CF1451-023F-4C50-8494-228CE0A60C13}</b:Guid>
    <b:Title>Business and Public Administration Studies</b:Title>
    <b:Year>2007</b:Year>
    <b:Author>
      <b:Author>
        <b:NameList>
          <b:Person>
            <b:Last>Manning</b:Last>
            <b:First>Geri</b:First>
          </b:Person>
        </b:NameList>
      </b:Author>
    </b:Author>
    <b:InternetSiteTitle>Self directed learning</b:InternetSiteTitle>
    <b:URL>https://www.bpastudies.org/bpastudies/article/view/38/78</b:URL>
    <b:YearAccessed>2017</b:YearAccessed>
    <b:MonthAccessed>November</b:MonthAccessed>
    <b:DayAccessed>19</b:DayAccessed>
    <b:RefOrder>7</b:RefOrder>
  </b:Source>
  <b:Source>
    <b:Tag>Cur13</b:Tag>
    <b:SourceType>Book</b:SourceType>
    <b:Guid>{6ACEF81B-0A8E-4E5F-94A6-7537F7CB2288}</b:Guid>
    <b:Title>Teaching in further education</b:Title>
    <b:Year>2013</b:Year>
    <b:Author>
      <b:Author>
        <b:NameList>
          <b:Person>
            <b:Last>Curzon</b:Last>
            <b:First>L</b:First>
            <b:Middle>B</b:Middle>
          </b:Person>
          <b:Person>
            <b:Last>Tummons</b:Last>
            <b:First>Jonathen</b:First>
          </b:Person>
        </b:NameList>
      </b:Author>
    </b:Author>
    <b:City>London</b:City>
    <b:Publisher>Bloomsbury</b:Publisher>
    <b:RefOrder>8</b:RefOrder>
  </b:Source>
  <b:Source>
    <b:Tag>Bar14</b:Tag>
    <b:SourceType>Book</b:SourceType>
    <b:Guid>{E1DA0A04-5A4F-4AA3-8787-AEAD86A9AD51}</b:Guid>
    <b:Author>
      <b:Author>
        <b:NameList>
          <b:Person>
            <b:Last>Barkeley</b:Last>
            <b:First>E</b:First>
            <b:Middle>F</b:Middle>
          </b:Person>
          <b:Person>
            <b:Last>Major</b:Last>
            <b:Middle>H</b:Middle>
            <b:First>C</b:First>
          </b:Person>
          <b:Person>
            <b:Last>Cross</b:Last>
            <b:Middle>P</b:Middle>
            <b:First>K</b:First>
          </b:Person>
        </b:NameList>
      </b:Author>
    </b:Author>
    <b:Title>Collaborative learning techniques</b:Title>
    <b:Year>2014</b:Year>
    <b:City>San Francisco</b:City>
    <b:Publisher>Jossey- Bass</b:Publisher>
    <b:RefOrder>9</b:RefOrder>
  </b:Source>
  <b:Source>
    <b:Tag>Sil13</b:Tag>
    <b:SourceType>Book</b:SourceType>
    <b:Guid>{533BA3CB-BBC8-43FA-BB5C-B9505888B53B}</b:Guid>
    <b:Author>
      <b:Author>
        <b:NameList>
          <b:Person>
            <b:Last>Silver</b:Last>
            <b:First>Cindy</b:First>
            <b:Middle>Hmelo-</b:Middle>
          </b:Person>
          <b:Person>
            <b:Last>Clarke</b:Last>
            <b:First>Chinn</b:First>
          </b:Person>
          <b:Person>
            <b:Last>Carol</b:Last>
            <b:First>Chan</b:First>
          </b:Person>
          <b:Person>
            <b:Last>Angela</b:Last>
            <b:First>O`Donnell</b:First>
          </b:Person>
        </b:NameList>
      </b:Author>
    </b:Author>
    <b:Title>The International Handbook of Collaborative Learning</b:Title>
    <b:Year>2013</b:Year>
    <b:City>New York</b:City>
    <b:Publisher>Routledge</b:Publisher>
    <b:RefOrder>10</b:RefOrder>
  </b:Source>
  <b:Source>
    <b:Tag>Hea13</b:Tag>
    <b:SourceType>InternetSite</b:SourceType>
    <b:Guid>{DAD4A691-0493-4930-8A2D-033641E05187}</b:Guid>
    <b:Author>
      <b:Author>
        <b:NameList>
          <b:Person>
            <b:Last>Coffey</b:Last>
            <b:First>Heather</b:First>
          </b:Person>
        </b:NameList>
      </b:Author>
    </b:Author>
    <b:Title>Demonstration</b:Title>
    <b:Year>2013</b:Year>
    <b:InternetSiteTitle>LearnNC</b:InternetSiteTitle>
    <b:URL>http://www.learnnc.org/lp/pages/5181#note2</b:URL>
    <b:RefOrder>11</b:RefOrder>
  </b:Source>
  <b:Source>
    <b:Tag>Jon10</b:Tag>
    <b:SourceType>InternetSite</b:SourceType>
    <b:Guid>{259D6709-1BA5-48E1-82BF-FEE7A1B8A486}</b:Guid>
    <b:Author>
      <b:Author>
        <b:NameList>
          <b:Person>
            <b:Last>Jones</b:Last>
          </b:Person>
          <b:Person>
            <b:Last>Bartlett</b:Last>
          </b:Person>
        </b:NameList>
      </b:Author>
    </b:Author>
    <b:Title>JBPublishers</b:Title>
    <b:InternetSiteTitle>Active teaching strategies and learning activities</b:InternetSiteTitle>
    <b:Year>2010</b:Year>
    <b:URL>http://samples.jbpub.com/9780763749453/49451_CH09_FINAL.pdf</b:URL>
    <b:RefOrder>14</b:RefOrder>
  </b:Source>
  <b:Source>
    <b:Tag>Whi16</b:Tag>
    <b:SourceType>Book</b:SourceType>
    <b:Guid>{56F1ED68-B031-497A-8A12-02FED48ADBD8}</b:Guid>
    <b:Author>
      <b:Author>
        <b:NameList>
          <b:Person>
            <b:Last>Whitton</b:Last>
            <b:First>Nichola</b:First>
          </b:Person>
          <b:Person>
            <b:Last>Roomey</b:Last>
            <b:First>Pauline</b:First>
          </b:Person>
        </b:NameList>
      </b:Author>
    </b:Author>
    <b:Title>Game- Based Learning and the Power of Play</b:Title>
    <b:Year>2016</b:Year>
    <b:City>Newcastle</b:City>
    <b:Publisher>Cambridge Scholars Publishing</b:Publisher>
    <b:RefOrder>15</b:RefOrder>
  </b:Source>
  <b:Source>
    <b:Tag>Hol16</b:Tag>
    <b:SourceType>JournalArticle</b:SourceType>
    <b:Guid>{B8E5BFCC-8131-4C0D-8D20-21C7DE7F0C17}</b:Guid>
    <b:Author>
      <b:Author>
        <b:NameList>
          <b:Person>
            <b:Last>Holmes</b:Last>
            <b:First>Jeffrey</b:First>
            <b:Middle>B</b:Middle>
          </b:Person>
          <b:Person>
            <b:Last>Gee</b:Last>
            <b:First>Elisabeth</b:First>
            <b:Middle>R</b:Middle>
          </b:Person>
        </b:NameList>
      </b:Author>
    </b:Author>
    <b:Title>A Framework for understanding game- based teaching and learning</b:Title>
    <b:Year>2016</b:Year>
    <b:JournalName>On the Horizon</b:JournalName>
    <b:Pages>1- 16</b:Pages>
    <b:Volume>24</b:Volume>
    <b:Issue>1</b:Issue>
    <b:RefOrder>16</b:RefOrder>
  </b:Source>
  <b:Source>
    <b:Tag>Pat11</b:Tag>
    <b:SourceType>Book</b:SourceType>
    <b:Guid>{3E2D6DC4-4AAD-464F-A0A5-1940B3563C07}</b:Guid>
    <b:Author>
      <b:Author>
        <b:NameList>
          <b:Person>
            <b:Last>Felicia</b:Last>
            <b:First>Patricia</b:First>
          </b:Person>
        </b:NameList>
      </b:Author>
    </b:Author>
    <b:Title>Handbook of Research on Improving Learning and Motivation through Educational Games</b:Title>
    <b:Year>2011</b:Year>
    <b:City>Herschey</b:City>
    <b:Publisher>IGI Global</b:Publisher>
    <b:RefOrder>20</b:RefOrder>
  </b:Source>
  <b:Source>
    <b:Tag>Ste10</b:Tag>
    <b:SourceType>DocumentFromInternetSite</b:SourceType>
    <b:Guid>{3D9E2DE4-2BC6-4BF6-8685-414708FC4640}</b:Guid>
    <b:Author>
      <b:Author>
        <b:NameList>
          <b:Person>
            <b:Last>Mintz</b:Last>
            <b:First>Steven</b:First>
          </b:Person>
        </b:NameList>
      </b:Author>
    </b:Author>
    <b:Title>The fundementals of College and University Teaching</b:Title>
    <b:Year>2010</b:Year>
    <b:InternetSiteTitle>Colombia University</b:InternetSiteTitle>
    <b:URL>https://gsas.columbia.edu/sites/default/files/inline-files/GSAS_fundamentals_handbook.pdf</b:URL>
    <b:RefOrder>12</b:RefOrder>
  </b:Source>
  <b:Source>
    <b:Tag>Tho09</b:Tag>
    <b:SourceType>Book</b:SourceType>
    <b:Guid>{7223351C-C762-489A-BBF0-9D9B73B12D2A}</b:Guid>
    <b:Author>
      <b:Author>
        <b:NameList>
          <b:Person>
            <b:Last>Armstrong</b:Last>
            <b:First>Thomas</b:First>
          </b:Person>
        </b:NameList>
      </b:Author>
    </b:Author>
    <b:Title>Multiple Intelligences in the classroom </b:Title>
    <b:Year>2009</b:Year>
    <b:City>Virginia</b:City>
    <b:Publisher>ASCD</b:Publisher>
    <b:RefOrder>13</b:RefOrder>
  </b:Source>
  <b:Source>
    <b:Tag>Swa17</b:Tag>
    <b:SourceType>InternetSite</b:SourceType>
    <b:Guid>{D290B604-B755-4884-9860-6B99F43F73F8}</b:Guid>
    <b:Author>
      <b:Author>
        <b:NameList>
          <b:Person>
            <b:Last>University</b:Last>
            <b:First>Swansea</b:First>
          </b:Person>
        </b:NameList>
      </b:Author>
    </b:Author>
    <b:Title>Cross Cutting Themes</b:Title>
    <b:Year>2017</b:Year>
    <b:InternetSiteTitle>Swansea University</b:InternetSiteTitle>
    <b:Month>Sept</b:Month>
    <b:URL>http://www.swansea.ac.uk/science/computationalfoundry/crosscuttingthemes/</b:URL>
    <b:RefOrder>17</b:RefOrder>
  </b:Source>
  <b:Source>
    <b:Tag>Wel15</b:Tag>
    <b:SourceType>InternetSite</b:SourceType>
    <b:Guid>{7910A13F-C0A7-42B4-BC44-82BB9D47728A}</b:Guid>
    <b:Author>
      <b:Author>
        <b:NameList>
          <b:Person>
            <b:Last>Government</b:Last>
            <b:First>Welsh</b:First>
            <b:Middle>Assembly</b:Middle>
          </b:Person>
        </b:NameList>
      </b:Author>
    </b:Author>
    <b:Title>Well-being of Futures Generations (Wales) Act 2015</b:Title>
    <b:InternetSiteTitle>Llywodraeth Gymru</b:InternetSiteTitle>
    <b:Year>2015</b:Year>
    <b:URL>http://gov.wales/topics/people-and-communities/people/future-generations-act/?lang=en</b:URL>
    <b:RefOrder>18</b:RefOrder>
  </b:Source>
  <b:Source>
    <b:Tag>Wel16</b:Tag>
    <b:SourceType>ElectronicSource</b:SourceType>
    <b:Guid>{5869B4BB-4C3C-43E1-8A42-85DC4E47721C}</b:Guid>
    <b:Author>
      <b:Author>
        <b:NameList>
          <b:Person>
            <b:Last>Government</b:Last>
            <b:First>Welsh</b:First>
            <b:Middle>Assembly</b:Middle>
          </b:Person>
        </b:NameList>
      </b:Author>
    </b:Author>
    <b:Title>A guide to the Well-being of Futures Act</b:Title>
    <b:Year>2016</b:Year>
    <b:Month>March</b:Month>
    <b:City>Cardiff</b:City>
    <b:CountryRegion>Wales</b:CountryRegion>
    <b:RefOrder>19</b:RefOrder>
  </b:Source>
  <b:Source>
    <b:Tag>Wel161</b:Tag>
    <b:SourceType>DocumentFromInternetSite</b:SourceType>
    <b:Guid>{3BEDDD97-1555-414B-B7A3-53F241E88E27}</b:Guid>
    <b:Author>
      <b:Author>
        <b:NameList>
          <b:Person>
            <b:Last>Government</b:Last>
            <b:First>Welsh</b:First>
            <b:Middle>Assembly</b:Middle>
          </b:Person>
        </b:NameList>
      </b:Author>
    </b:Author>
    <b:Title>Llywodraeth Cymru</b:Title>
    <b:Year>2016</b:Year>
    <b:InternetSiteTitle>Tacking Wales Forward</b:InternetSiteTitle>
    <b:URL>http://www.procurexlive.co.uk/wales/wp-content/uploads/sites/4/2017/05/Taking-wales-forward1621-en.pdf</b:URL>
    <b:RefOrder>21</b:RefOrder>
  </b:Source>
  <b:Source>
    <b:Tag>Ric17</b:Tag>
    <b:SourceType>InternetSite</b:SourceType>
    <b:Guid>{ED6DDA98-F8C6-4D7A-B276-EB40532F8466}</b:Guid>
    <b:Title>Honey and Mumford</b:Title>
    <b:Year>2017</b:Year>
    <b:Author>
      <b:Author>
        <b:NameList>
          <b:Person>
            <b:Last>Mobbs</b:Last>
            <b:First>Richard</b:First>
          </b:Person>
        </b:NameList>
      </b:Author>
    </b:Author>
    <b:InternetSiteTitle>Leicester University</b:InternetSiteTitle>
    <b:URL>https://www2.le.ac.uk/departments/gradschool/training/eresources/teaching/theories/honey-mumford</b:URL>
    <b:RefOrder>23</b:RefOrder>
  </b:Source>
  <b:Source>
    <b:Tag>Sci17</b:Tag>
    <b:SourceType>InternetSite</b:SourceType>
    <b:Guid>{6F8A2098-90DF-44F1-8076-931924B74CAE}</b:Guid>
    <b:LCID>0</b:LCID>
    <b:Author>
      <b:Author>
        <b:NameList>
          <b:Person>
            <b:Last>Scittl</b:Last>
          </b:Person>
        </b:NameList>
      </b:Author>
    </b:Author>
    <b:Title>SCITTL Lesson Study</b:Title>
    <b:InternetSiteTitle>SCITTL Lesson Study</b:InternetSiteTitle>
    <b:Year>2017</b:Year>
    <b:URL>http://scittls.weebly.com/learning.html</b:URL>
    <b:RefOrder>3</b:RefOrder>
  </b:Source>
  <b:Source>
    <b:Tag>Wel17</b:Tag>
    <b:SourceType>Report</b:SourceType>
    <b:Guid>{4328D548-4FE1-4382-8C06-5AEC663AD517}</b:Guid>
    <b:Author>
      <b:Author>
        <b:NameList>
          <b:Person>
            <b:Last>Government</b:Last>
            <b:First>Welsh</b:First>
            <b:Middle>Assembly</b:Middle>
          </b:Person>
        </b:NameList>
      </b:Author>
    </b:Author>
    <b:Title>Prosperity for All: The National Strategy</b:Title>
    <b:Year>2017</b:Year>
    <b:Publisher>Welsh Assembly Government</b:Publisher>
    <b:City>Cardiff</b:City>
    <b:LCID>0</b:LCID>
    <b:RefOrder>22</b:RefOrder>
  </b:Source>
</b:Sources>
</file>

<file path=customXml/itemProps1.xml><?xml version="1.0" encoding="utf-8"?>
<ds:datastoreItem xmlns:ds="http://schemas.openxmlformats.org/officeDocument/2006/customXml" ds:itemID="{7FEB2A14-F77A-4F2F-874B-401DEA4CC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4595</Words>
  <Characters>26195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Williams</dc:creator>
  <cp:lastModifiedBy>shelley_williams</cp:lastModifiedBy>
  <cp:revision>2</cp:revision>
  <dcterms:created xsi:type="dcterms:W3CDTF">2017-11-29T09:43:00Z</dcterms:created>
  <dcterms:modified xsi:type="dcterms:W3CDTF">2017-11-29T09:43:00Z</dcterms:modified>
</cp:coreProperties>
</file>