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600" w:firstRow="0" w:lastRow="0" w:firstColumn="0" w:lastColumn="0" w:noHBand="1" w:noVBand="1"/>
      </w:tblPr>
      <w:tblGrid>
        <w:gridCol w:w="5529"/>
        <w:gridCol w:w="5261"/>
      </w:tblGrid>
      <w:tr w:rsidR="00A81248" w:rsidRPr="003A798E" w14:paraId="6ECB5E4E" w14:textId="77777777" w:rsidTr="00766C02">
        <w:tc>
          <w:tcPr>
            <w:tcW w:w="5529" w:type="dxa"/>
          </w:tcPr>
          <w:p w14:paraId="2B575429" w14:textId="77777777" w:rsidR="00A81248" w:rsidRPr="003A798E" w:rsidRDefault="00A81248" w:rsidP="00A81248">
            <w:pPr>
              <w:pStyle w:val="GraphicAnchor"/>
            </w:pPr>
          </w:p>
        </w:tc>
        <w:tc>
          <w:tcPr>
            <w:tcW w:w="5261" w:type="dxa"/>
          </w:tcPr>
          <w:p w14:paraId="50447F10" w14:textId="77777777" w:rsidR="00A81248" w:rsidRPr="003A798E" w:rsidRDefault="00A81248" w:rsidP="00A81248">
            <w:pPr>
              <w:pStyle w:val="GraphicAnchor"/>
            </w:pPr>
          </w:p>
        </w:tc>
      </w:tr>
      <w:tr w:rsidR="00A81248" w:rsidRPr="003A798E" w14:paraId="4993751A" w14:textId="77777777" w:rsidTr="00766C02">
        <w:trPr>
          <w:trHeight w:val="2719"/>
        </w:trPr>
        <w:tc>
          <w:tcPr>
            <w:tcW w:w="5529" w:type="dxa"/>
          </w:tcPr>
          <w:p w14:paraId="0AEDB9D8" w14:textId="73122B83" w:rsidR="00A81248" w:rsidRPr="00766C02" w:rsidRDefault="00FF299E" w:rsidP="00C66528">
            <w:pPr>
              <w:pStyle w:val="Heading1"/>
              <w:rPr>
                <w:sz w:val="64"/>
                <w:szCs w:val="64"/>
              </w:rPr>
            </w:pPr>
            <w:r w:rsidRPr="00766C02">
              <w:rPr>
                <w:sz w:val="64"/>
                <w:szCs w:val="64"/>
              </w:rPr>
              <w:t>CASE REPORT</w:t>
            </w:r>
          </w:p>
        </w:tc>
        <w:tc>
          <w:tcPr>
            <w:tcW w:w="5261" w:type="dxa"/>
          </w:tcPr>
          <w:p w14:paraId="5CFF4F56" w14:textId="0F60C52D" w:rsidR="00A81248" w:rsidRPr="003A798E" w:rsidRDefault="00A81248"/>
        </w:tc>
      </w:tr>
      <w:tr w:rsidR="00FF299E" w:rsidRPr="003A798E" w14:paraId="2FE6D199" w14:textId="77777777" w:rsidTr="00766C02">
        <w:trPr>
          <w:trHeight w:val="5771"/>
        </w:trPr>
        <w:tc>
          <w:tcPr>
            <w:tcW w:w="5529" w:type="dxa"/>
            <w:vMerge w:val="restart"/>
          </w:tcPr>
          <w:p w14:paraId="39003EA3" w14:textId="072ED7B2" w:rsidR="00FF299E" w:rsidRPr="003A798E" w:rsidRDefault="00FF299E">
            <w:r w:rsidRPr="003A798E">
              <w:rPr>
                <w:noProof/>
                <w:lang w:eastAsia="en-AU"/>
              </w:rPr>
              <mc:AlternateContent>
                <mc:Choice Requires="wpg">
                  <w:drawing>
                    <wp:anchor distT="0" distB="0" distL="114300" distR="114300" simplePos="0" relativeHeight="251663360"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3587981" id="Group 1" o:spid="_x0000_s1026" alt="&quot;&quot;" style="position:absolute;margin-left:-35.1pt;margin-top:-176.6pt;width:612pt;height:791.7pt;z-index:-25165312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596FC509" w14:textId="438A7636" w:rsidR="00FF299E" w:rsidRPr="003A798E" w:rsidRDefault="00FF299E"/>
        </w:tc>
      </w:tr>
      <w:tr w:rsidR="00FF299E" w:rsidRPr="003A798E" w14:paraId="54D528D9" w14:textId="77777777" w:rsidTr="00766C02">
        <w:trPr>
          <w:trHeight w:val="4813"/>
        </w:trPr>
        <w:tc>
          <w:tcPr>
            <w:tcW w:w="5529" w:type="dxa"/>
            <w:vMerge/>
          </w:tcPr>
          <w:p w14:paraId="3CBFE97B" w14:textId="77777777" w:rsidR="00FF299E" w:rsidRPr="003A798E" w:rsidRDefault="00FF299E">
            <w:pPr>
              <w:rPr>
                <w:noProof/>
                <w:lang w:eastAsia="en-AU"/>
              </w:rPr>
            </w:pPr>
          </w:p>
        </w:tc>
        <w:tc>
          <w:tcPr>
            <w:tcW w:w="5261" w:type="dxa"/>
          </w:tcPr>
          <w:p w14:paraId="2DD39CC7" w14:textId="77777777" w:rsidR="00766C02" w:rsidRDefault="00766C02" w:rsidP="00FF299E">
            <w:pPr>
              <w:pStyle w:val="Heading2"/>
              <w:rPr>
                <w:sz w:val="28"/>
                <w:szCs w:val="18"/>
              </w:rPr>
            </w:pPr>
          </w:p>
          <w:p w14:paraId="63DFB666" w14:textId="77777777" w:rsidR="00766C02" w:rsidRDefault="00766C02" w:rsidP="00FF299E">
            <w:pPr>
              <w:pStyle w:val="Heading2"/>
              <w:rPr>
                <w:sz w:val="28"/>
                <w:szCs w:val="18"/>
              </w:rPr>
            </w:pPr>
          </w:p>
          <w:p w14:paraId="6604AB5F" w14:textId="77777777" w:rsidR="00766C02" w:rsidRDefault="00766C02" w:rsidP="00FF299E">
            <w:pPr>
              <w:pStyle w:val="Heading2"/>
              <w:rPr>
                <w:sz w:val="28"/>
                <w:szCs w:val="18"/>
              </w:rPr>
            </w:pPr>
          </w:p>
          <w:p w14:paraId="296CFA90" w14:textId="77777777" w:rsidR="00FF299E" w:rsidRPr="003A798E" w:rsidRDefault="00FF299E" w:rsidP="00F95970">
            <w:pPr>
              <w:pStyle w:val="Heading2"/>
            </w:pPr>
          </w:p>
        </w:tc>
      </w:tr>
    </w:tbl>
    <w:p w14:paraId="7FDB8637" w14:textId="14E5021D" w:rsidR="000C4ED1" w:rsidRPr="003A798E"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00766C02" w:rsidRPr="003A798E" w14:paraId="3B42F6A6" w14:textId="77777777" w:rsidTr="00FA38A4">
        <w:trPr>
          <w:trHeight w:val="5682"/>
        </w:trPr>
        <w:tc>
          <w:tcPr>
            <w:tcW w:w="10773" w:type="dxa"/>
            <w:shd w:val="clear" w:color="auto" w:fill="EDF0F4" w:themeFill="accent3"/>
          </w:tcPr>
          <w:p w14:paraId="1594F49B" w14:textId="070DEAFD" w:rsidR="00766C02" w:rsidRPr="003A798E" w:rsidRDefault="00766C02" w:rsidP="001205A1">
            <w:pPr>
              <w:pStyle w:val="Heading3"/>
            </w:pPr>
            <w:r>
              <w:lastRenderedPageBreak/>
              <w:t xml:space="preserve">BACKGROUND TO THE </w:t>
            </w:r>
            <w:r w:rsidR="00F95970">
              <w:t>RE</w:t>
            </w:r>
            <w:r>
              <w:t>PORT</w:t>
            </w:r>
          </w:p>
          <w:p w14:paraId="0E789157" w14:textId="77777777" w:rsidR="00766C02" w:rsidRPr="003A798E" w:rsidRDefault="00766C02" w:rsidP="006175B6">
            <w:pPr>
              <w:pStyle w:val="Heading4"/>
              <w:spacing w:line="360" w:lineRule="auto"/>
            </w:pPr>
          </w:p>
          <w:p w14:paraId="09400349" w14:textId="77777777" w:rsidR="004920D5" w:rsidRDefault="004920D5" w:rsidP="006175B6">
            <w:pPr>
              <w:spacing w:line="360" w:lineRule="auto"/>
              <w:rPr>
                <w:color w:val="000000"/>
              </w:rPr>
            </w:pPr>
            <w:r w:rsidRPr="004920D5">
              <w:rPr>
                <w:color w:val="000000"/>
              </w:rPr>
              <w:t>This report focuses on a hypothetical case study involving district nurses working for Glynafonshire Health Board, where a failure to consistently follow handwashing procedures led to a serious infection outbreak. Eight patients were affected, and one case resulted in a fatality. The health board had clear policies in place requiring nurses to wash their hands both before and after visiting each patient, and these procedures were thoroughly taught during training. All nurses had passed both written and practical assessments, suggesting they had a good understanding of the correct techniques.</w:t>
            </w:r>
          </w:p>
          <w:p w14:paraId="0C575FF8" w14:textId="77777777" w:rsidR="006175B6" w:rsidRDefault="006175B6" w:rsidP="006175B6">
            <w:pPr>
              <w:spacing w:line="360" w:lineRule="auto"/>
              <w:rPr>
                <w:color w:val="000000"/>
              </w:rPr>
            </w:pPr>
          </w:p>
          <w:p w14:paraId="76296E71" w14:textId="77777777" w:rsidR="004920D5" w:rsidRDefault="004920D5" w:rsidP="006175B6">
            <w:pPr>
              <w:spacing w:line="360" w:lineRule="auto"/>
              <w:rPr>
                <w:color w:val="000000"/>
              </w:rPr>
            </w:pPr>
            <w:r w:rsidRPr="004920D5">
              <w:rPr>
                <w:color w:val="000000"/>
              </w:rPr>
              <w:t>However, despite this training, it was reported that some nurses did not always follow the procedures correctly. In some cases, handwashing was rushed, carried out incorrectly, or missed altogether. These issues appeared to occur during a period of increased pressure within the workplace. Due to staff shortages and a rise in patient demand, nurses were working longer hours, often completing back-to-back shifts and seeing significantly more patients than usual. These working conditions are important, as previous research suggests that fatigue and high workload can negatively impact cognitive functioning, particularly attention and working memory, making errors in routine tasks more likely (Caruso, 2014; Hockey, 1997).</w:t>
            </w:r>
          </w:p>
          <w:p w14:paraId="42C50585" w14:textId="77777777" w:rsidR="006175B6" w:rsidRDefault="006175B6" w:rsidP="006175B6">
            <w:pPr>
              <w:spacing w:line="360" w:lineRule="auto"/>
              <w:rPr>
                <w:color w:val="000000"/>
              </w:rPr>
            </w:pPr>
          </w:p>
          <w:p w14:paraId="514E3B4F" w14:textId="274CFCF6" w:rsidR="006175B6" w:rsidRPr="006175B6" w:rsidRDefault="006175B6" w:rsidP="006175B6">
            <w:pPr>
              <w:spacing w:line="360" w:lineRule="auto"/>
            </w:pPr>
            <w:r w:rsidRPr="006175B6">
              <w:rPr>
                <w:color w:val="000000"/>
              </w:rPr>
              <w:t>This creates an interesting gap between what the nurses</w:t>
            </w:r>
            <w:r w:rsidRPr="006175B6">
              <w:rPr>
                <w:rStyle w:val="apple-converted-space"/>
                <w:color w:val="000000"/>
              </w:rPr>
              <w:t> </w:t>
            </w:r>
            <w:r w:rsidRPr="006175B6">
              <w:rPr>
                <w:rStyle w:val="Emphasis"/>
                <w:color w:val="000000"/>
              </w:rPr>
              <w:t>knew</w:t>
            </w:r>
            <w:r w:rsidRPr="006175B6">
              <w:rPr>
                <w:rStyle w:val="apple-converted-space"/>
                <w:color w:val="000000"/>
              </w:rPr>
              <w:t> </w:t>
            </w:r>
            <w:r w:rsidRPr="006175B6">
              <w:rPr>
                <w:color w:val="000000"/>
              </w:rPr>
              <w:t xml:space="preserve">(as shown by their training and test performance) and what they </w:t>
            </w:r>
            <w:proofErr w:type="gramStart"/>
            <w:r w:rsidRPr="006175B6">
              <w:rPr>
                <w:color w:val="000000"/>
              </w:rPr>
              <w:t>actually</w:t>
            </w:r>
            <w:r w:rsidRPr="006175B6">
              <w:rPr>
                <w:rStyle w:val="apple-converted-space"/>
                <w:color w:val="000000"/>
              </w:rPr>
              <w:t> </w:t>
            </w:r>
            <w:r w:rsidRPr="006175B6">
              <w:rPr>
                <w:rStyle w:val="Emphasis"/>
                <w:color w:val="000000"/>
              </w:rPr>
              <w:t>did</w:t>
            </w:r>
            <w:proofErr w:type="gramEnd"/>
            <w:r w:rsidRPr="006175B6">
              <w:rPr>
                <w:rStyle w:val="apple-converted-space"/>
                <w:color w:val="000000"/>
              </w:rPr>
              <w:t> </w:t>
            </w:r>
            <w:r w:rsidRPr="006175B6">
              <w:rPr>
                <w:color w:val="000000"/>
              </w:rPr>
              <w:t xml:space="preserve">in practice. This suggests that the issue may not simply be a lack of </w:t>
            </w:r>
            <w:r w:rsidRPr="006175B6">
              <w:rPr>
                <w:color w:val="000000"/>
              </w:rPr>
              <w:t>knowledge but</w:t>
            </w:r>
            <w:r w:rsidRPr="006175B6">
              <w:rPr>
                <w:color w:val="000000"/>
              </w:rPr>
              <w:t xml:space="preserve"> instead relates to how cognitive processes are affected under pressure. Therefore, this report will use the Working Memory Model (Baddeley &amp; Hitch, 1974; Baddeley, 2000) to explore how cognitive overload may have contributed to these failures, and how this understanding could be used to help prevent similar incidents in the future.</w:t>
            </w:r>
          </w:p>
        </w:tc>
      </w:tr>
      <w:tr w:rsidR="00766C02" w:rsidRPr="003A798E" w14:paraId="7720E703" w14:textId="77777777" w:rsidTr="00FA38A4">
        <w:trPr>
          <w:trHeight w:val="7629"/>
        </w:trPr>
        <w:tc>
          <w:tcPr>
            <w:tcW w:w="10773" w:type="dxa"/>
            <w:shd w:val="clear" w:color="auto" w:fill="EDF0F4" w:themeFill="accent3"/>
          </w:tcPr>
          <w:p w14:paraId="5B2807DB" w14:textId="345F7DF3" w:rsidR="00766C02" w:rsidRDefault="00766C02" w:rsidP="00766C02">
            <w:pPr>
              <w:pStyle w:val="Heading3"/>
            </w:pPr>
            <w:r>
              <w:lastRenderedPageBreak/>
              <w:t xml:space="preserve">THE </w:t>
            </w:r>
            <w:r w:rsidR="00150074">
              <w:t xml:space="preserve">WORKING MEMORY MODEL </w:t>
            </w:r>
            <w:r>
              <w:t>THEORY</w:t>
            </w:r>
          </w:p>
          <w:p w14:paraId="7013626D" w14:textId="77777777" w:rsidR="00766C02" w:rsidRPr="00766C02" w:rsidRDefault="00766C02" w:rsidP="00766C02"/>
          <w:p w14:paraId="40882615" w14:textId="77777777" w:rsidR="00766C02" w:rsidRDefault="00150074" w:rsidP="00150074">
            <w:pPr>
              <w:spacing w:line="360" w:lineRule="auto"/>
              <w:rPr>
                <w:color w:val="000000"/>
              </w:rPr>
            </w:pPr>
            <w:r w:rsidRPr="00150074">
              <w:rPr>
                <w:color w:val="000000"/>
              </w:rPr>
              <w:t>The Working Memory Model was proposed by Baddeley and Hitch (1974) as an alternative to earlier models of short-term memory, which viewed it as a single, passive storage system. Instead, Baddeley and Hitch argued that working memory is an active system made up of multiple components that are responsible for both the temporary storage and manipulation of information. This model is particularly useful for explaining how individuals carry out complex cognitive tasks such as reasoning, problem-solving, and following multi-step procedures.</w:t>
            </w:r>
            <w:r>
              <w:rPr>
                <w:color w:val="000000"/>
              </w:rPr>
              <w:t xml:space="preserve"> </w:t>
            </w:r>
          </w:p>
          <w:p w14:paraId="78D1113F" w14:textId="77777777" w:rsidR="005F23F3" w:rsidRDefault="005F23F3" w:rsidP="00150074">
            <w:pPr>
              <w:spacing w:line="360" w:lineRule="auto"/>
              <w:rPr>
                <w:color w:val="000000"/>
              </w:rPr>
            </w:pPr>
          </w:p>
          <w:p w14:paraId="2D1810F1" w14:textId="77777777" w:rsidR="00150074" w:rsidRDefault="005F23F3" w:rsidP="00150074">
            <w:pPr>
              <w:spacing w:line="360" w:lineRule="auto"/>
              <w:rPr>
                <w:color w:val="000000"/>
              </w:rPr>
            </w:pPr>
            <w:r w:rsidRPr="005F23F3">
              <w:rPr>
                <w:color w:val="000000"/>
              </w:rPr>
              <w:t>The model originally consisted of three main components: the central executive, the phonological loop, and the visuospatial sketchpad. A fourth component, the episodic buffer, was later added by Baddeley (2000) to further explain how information is integrated across systems.</w:t>
            </w:r>
          </w:p>
          <w:p w14:paraId="596CD9B8" w14:textId="77777777" w:rsidR="005F23F3" w:rsidRDefault="005F23F3" w:rsidP="00150074">
            <w:pPr>
              <w:spacing w:line="360" w:lineRule="auto"/>
              <w:rPr>
                <w:color w:val="000000"/>
              </w:rPr>
            </w:pPr>
          </w:p>
          <w:p w14:paraId="0D6F4550" w14:textId="77777777" w:rsidR="005F23F3" w:rsidRDefault="005F23F3" w:rsidP="00150074">
            <w:pPr>
              <w:spacing w:line="360" w:lineRule="auto"/>
              <w:rPr>
                <w:color w:val="000000"/>
              </w:rPr>
            </w:pPr>
            <w:r w:rsidRPr="005F23F3">
              <w:rPr>
                <w:color w:val="000000"/>
              </w:rPr>
              <w:t>The central executive is considered the most important component, as it acts as a control system that directs attention and coordinates the activities of the other subsystems. It is responsible for tasks such as switching attention between different activities, dividing attention, and inhibiting irrelevant information. However, the central executive has a limited capacity, meaning that when individuals are faced with high levels of demand or multiple tasks, its ability to effectively control attention can become overloaded (Baddeley, 1996).</w:t>
            </w:r>
            <w:r>
              <w:rPr>
                <w:color w:val="000000"/>
              </w:rPr>
              <w:t xml:space="preserve"> </w:t>
            </w:r>
          </w:p>
          <w:p w14:paraId="4893734F" w14:textId="77777777" w:rsidR="005F23F3" w:rsidRDefault="005F23F3" w:rsidP="00150074">
            <w:pPr>
              <w:spacing w:line="360" w:lineRule="auto"/>
              <w:rPr>
                <w:color w:val="000000"/>
              </w:rPr>
            </w:pPr>
          </w:p>
          <w:p w14:paraId="36AE31BE" w14:textId="77777777" w:rsidR="005F23F3" w:rsidRDefault="005F23F3" w:rsidP="00150074">
            <w:pPr>
              <w:spacing w:line="360" w:lineRule="auto"/>
              <w:rPr>
                <w:color w:val="000000"/>
              </w:rPr>
            </w:pPr>
            <w:r w:rsidRPr="005F23F3">
              <w:rPr>
                <w:color w:val="000000"/>
              </w:rPr>
              <w:t>The phonological loop is responsible for processing verbal and auditory information. It consists of two parts: the phonological store, which briefly holds spoken information, and the articulatory rehearsal process, which allows information to be maintained through repetition. Evidence for the phonological loop comes from studies such as Baddeley, Thomson, and Buchanan (1975), who found that people have more difficulty recalling lists of words that sound similar (the phonological similarity effect), suggesting that information is stored in a sound-based format.</w:t>
            </w:r>
            <w:r>
              <w:rPr>
                <w:color w:val="000000"/>
              </w:rPr>
              <w:t xml:space="preserve"> </w:t>
            </w:r>
          </w:p>
          <w:p w14:paraId="317F67C8" w14:textId="77777777" w:rsidR="005F23F3" w:rsidRDefault="005F23F3" w:rsidP="00150074">
            <w:pPr>
              <w:spacing w:line="360" w:lineRule="auto"/>
              <w:rPr>
                <w:color w:val="000000"/>
              </w:rPr>
            </w:pPr>
          </w:p>
          <w:p w14:paraId="7CDB26B1" w14:textId="77777777" w:rsidR="005F23F3" w:rsidRDefault="005F23F3" w:rsidP="00150074">
            <w:pPr>
              <w:spacing w:line="360" w:lineRule="auto"/>
              <w:rPr>
                <w:color w:val="000000"/>
              </w:rPr>
            </w:pPr>
            <w:r w:rsidRPr="005F23F3">
              <w:rPr>
                <w:color w:val="000000"/>
              </w:rPr>
              <w:t xml:space="preserve">The visuospatial sketchpad, on the other hand, is responsible for the temporary storage and manipulation of visual and spatial information, such as remembering locations or visualising objects. </w:t>
            </w:r>
            <w:proofErr w:type="spellStart"/>
            <w:r w:rsidRPr="005F23F3">
              <w:rPr>
                <w:color w:val="000000"/>
              </w:rPr>
              <w:t>Logie</w:t>
            </w:r>
            <w:proofErr w:type="spellEnd"/>
            <w:r w:rsidRPr="005F23F3">
              <w:rPr>
                <w:color w:val="000000"/>
              </w:rPr>
              <w:t xml:space="preserve"> (1995) provided support for this component by demonstrating that visual and spatial tasks can interfere with each other, indicating a shared system for processing this type of information.</w:t>
            </w:r>
            <w:r>
              <w:rPr>
                <w:color w:val="000000"/>
              </w:rPr>
              <w:t xml:space="preserve"> </w:t>
            </w:r>
          </w:p>
          <w:p w14:paraId="04B51CA6" w14:textId="77777777" w:rsidR="005F23F3" w:rsidRDefault="005F23F3" w:rsidP="00150074">
            <w:pPr>
              <w:spacing w:line="360" w:lineRule="auto"/>
              <w:rPr>
                <w:color w:val="000000"/>
              </w:rPr>
            </w:pPr>
          </w:p>
          <w:p w14:paraId="3AEB996A" w14:textId="77777777" w:rsidR="005F23F3" w:rsidRDefault="005F23F3" w:rsidP="00150074">
            <w:pPr>
              <w:spacing w:line="360" w:lineRule="auto"/>
              <w:rPr>
                <w:color w:val="000000"/>
              </w:rPr>
            </w:pPr>
            <w:r w:rsidRPr="005F23F3">
              <w:rPr>
                <w:color w:val="000000"/>
              </w:rPr>
              <w:t xml:space="preserve">The episodic buffer was later introduced to explain how information from different sources is combined into a single, integrated representation. It acts as a temporary storage system that links </w:t>
            </w:r>
            <w:r w:rsidRPr="005F23F3">
              <w:rPr>
                <w:color w:val="000000"/>
              </w:rPr>
              <w:lastRenderedPageBreak/>
              <w:t>information from the phonological loop, visuospatial sketchpad, and long-term memory (Baddeley, 2000). This addition helped address earlier criticisms of the model, particularly its inability to explain how different types of information are brought together.</w:t>
            </w:r>
            <w:r>
              <w:rPr>
                <w:color w:val="000000"/>
              </w:rPr>
              <w:t xml:space="preserve"> </w:t>
            </w:r>
          </w:p>
          <w:p w14:paraId="22ADE5E9" w14:textId="77777777" w:rsidR="005F23F3" w:rsidRDefault="005F23F3" w:rsidP="00150074">
            <w:pPr>
              <w:spacing w:line="360" w:lineRule="auto"/>
              <w:rPr>
                <w:rFonts w:ascii="-webkit-standard" w:hAnsi="-webkit-standard"/>
                <w:color w:val="000000"/>
                <w:sz w:val="27"/>
                <w:szCs w:val="27"/>
              </w:rPr>
            </w:pPr>
          </w:p>
          <w:p w14:paraId="0F7176E4" w14:textId="43946C2C" w:rsidR="005F23F3" w:rsidRDefault="005F23F3" w:rsidP="00150074">
            <w:pPr>
              <w:spacing w:line="360" w:lineRule="auto"/>
              <w:rPr>
                <w:color w:val="000000"/>
              </w:rPr>
            </w:pPr>
            <w:r w:rsidRPr="005F23F3">
              <w:rPr>
                <w:color w:val="000000"/>
              </w:rPr>
              <w:t xml:space="preserve">A </w:t>
            </w:r>
            <w:r w:rsidRPr="005F23F3">
              <w:rPr>
                <w:color w:val="000000"/>
              </w:rPr>
              <w:t>key strength of the Working Memory Model is its ability to explain performance under conditions of cognitive load. Dual-task studies provide strong support for the model, showing that people can perform two tasks simultaneously if they use different components of working memory, but performance declines when tasks compete for the same subsystem (Baddeley &amp; Hitch, 1974). This highlights the limited capacity of working memory and helps explain why performance can deteriorate when individuals are required to manage multiple demands at once.</w:t>
            </w:r>
            <w:r>
              <w:rPr>
                <w:color w:val="000000"/>
              </w:rPr>
              <w:t xml:space="preserve"> </w:t>
            </w:r>
          </w:p>
          <w:p w14:paraId="0D60D125" w14:textId="77777777" w:rsidR="005F23F3" w:rsidRDefault="005F23F3" w:rsidP="00150074">
            <w:pPr>
              <w:spacing w:line="360" w:lineRule="auto"/>
              <w:rPr>
                <w:color w:val="000000"/>
              </w:rPr>
            </w:pPr>
          </w:p>
          <w:p w14:paraId="0FC30EA4" w14:textId="1329E388" w:rsidR="005F23F3" w:rsidRPr="005F23F3" w:rsidRDefault="005F23F3" w:rsidP="00150074">
            <w:pPr>
              <w:spacing w:line="360" w:lineRule="auto"/>
              <w:rPr>
                <w:color w:val="000000"/>
              </w:rPr>
            </w:pPr>
            <w:r w:rsidRPr="005F23F3">
              <w:rPr>
                <w:color w:val="000000"/>
              </w:rPr>
              <w:t>Overall, the Working Memory Model provides a detailed account of how information is processed and managed in the short term, emphasising the role of attentional control and limited cognitive capacity. This makes it particularly relevant for understanding situations where individuals are required to carry out routine tasks under conditions of high workload or fatigue.</w:t>
            </w:r>
          </w:p>
          <w:p w14:paraId="44D76B36" w14:textId="61DC04CE" w:rsidR="005F23F3" w:rsidRPr="005F23F3" w:rsidRDefault="005F23F3" w:rsidP="005F23F3">
            <w:pPr>
              <w:pStyle w:val="NormalWeb"/>
              <w:rPr>
                <w:rFonts w:asciiTheme="minorHAnsi" w:hAnsiTheme="minorHAnsi"/>
              </w:rPr>
            </w:pPr>
          </w:p>
        </w:tc>
      </w:tr>
    </w:tbl>
    <w:p w14:paraId="444B5C1F" w14:textId="77777777" w:rsidR="00FB65B8" w:rsidRPr="003A798E" w:rsidRDefault="00FB65B8" w:rsidP="00A24793"/>
    <w:p w14:paraId="1A19D8D2" w14:textId="174C0BC7" w:rsidR="00A24793" w:rsidRPr="003A798E" w:rsidRDefault="00A24793" w:rsidP="00A24793"/>
    <w:tbl>
      <w:tblPr>
        <w:tblW w:w="12616" w:type="dxa"/>
        <w:tblInd w:w="-1701" w:type="dxa"/>
        <w:shd w:val="clear" w:color="auto" w:fill="ECFBFB" w:themeFill="accent4"/>
        <w:tblLayout w:type="fixed"/>
        <w:tblLook w:val="0600" w:firstRow="0" w:lastRow="0" w:firstColumn="0" w:lastColumn="0" w:noHBand="1" w:noVBand="1"/>
      </w:tblPr>
      <w:tblGrid>
        <w:gridCol w:w="1701"/>
        <w:gridCol w:w="3828"/>
        <w:gridCol w:w="6945"/>
        <w:gridCol w:w="142"/>
      </w:tblGrid>
      <w:tr w:rsidR="00FA38A4" w:rsidRPr="003A798E" w14:paraId="627C58CB" w14:textId="77777777" w:rsidTr="00FA38A4">
        <w:trPr>
          <w:trHeight w:val="547"/>
        </w:trPr>
        <w:tc>
          <w:tcPr>
            <w:tcW w:w="1701" w:type="dxa"/>
            <w:shd w:val="clear" w:color="auto" w:fill="ECFBFB" w:themeFill="accent4"/>
          </w:tcPr>
          <w:p w14:paraId="6C9FB5AC" w14:textId="77777777" w:rsidR="00FA38A4" w:rsidRPr="003A798E" w:rsidRDefault="00FA38A4" w:rsidP="00A24793"/>
        </w:tc>
        <w:tc>
          <w:tcPr>
            <w:tcW w:w="3828" w:type="dxa"/>
            <w:shd w:val="clear" w:color="auto" w:fill="ECFBFB" w:themeFill="accent4"/>
          </w:tcPr>
          <w:p w14:paraId="460968F7" w14:textId="77777777" w:rsidR="00FA38A4" w:rsidRPr="003A798E" w:rsidRDefault="00FA38A4" w:rsidP="00A24793"/>
        </w:tc>
        <w:tc>
          <w:tcPr>
            <w:tcW w:w="7087" w:type="dxa"/>
            <w:gridSpan w:val="2"/>
            <w:shd w:val="clear" w:color="auto" w:fill="ECFBFB" w:themeFill="accent4"/>
          </w:tcPr>
          <w:p w14:paraId="720CB1B5" w14:textId="77777777" w:rsidR="00FA38A4" w:rsidRPr="003A798E" w:rsidRDefault="00FA38A4" w:rsidP="00A24793"/>
        </w:tc>
      </w:tr>
      <w:tr w:rsidR="00FA38A4" w:rsidRPr="003A798E" w14:paraId="495652A6" w14:textId="77777777" w:rsidTr="00FA38A4">
        <w:trPr>
          <w:trHeight w:val="9513"/>
        </w:trPr>
        <w:tc>
          <w:tcPr>
            <w:tcW w:w="1701" w:type="dxa"/>
            <w:shd w:val="clear" w:color="auto" w:fill="ECFBFB" w:themeFill="accent4"/>
          </w:tcPr>
          <w:p w14:paraId="57674860" w14:textId="77777777" w:rsidR="00FA38A4" w:rsidRPr="003A798E" w:rsidRDefault="00FA38A4" w:rsidP="00D6375E"/>
        </w:tc>
        <w:tc>
          <w:tcPr>
            <w:tcW w:w="3828" w:type="dxa"/>
            <w:tcBorders>
              <w:bottom w:val="single" w:sz="18" w:space="0" w:color="00C1C7" w:themeColor="accent2"/>
            </w:tcBorders>
            <w:shd w:val="clear" w:color="auto" w:fill="ECFBFB" w:themeFill="accent4"/>
          </w:tcPr>
          <w:p w14:paraId="788251F4" w14:textId="77777777" w:rsidR="00FA38A4" w:rsidRDefault="00FA38A4" w:rsidP="002D03D7">
            <w:pPr>
              <w:pStyle w:val="Heading5"/>
              <w:spacing w:line="240" w:lineRule="auto"/>
              <w:rPr>
                <w:sz w:val="36"/>
                <w:szCs w:val="10"/>
              </w:rPr>
            </w:pPr>
            <w:r w:rsidRPr="00F00899">
              <w:rPr>
                <w:sz w:val="36"/>
                <w:szCs w:val="10"/>
              </w:rPr>
              <w:t xml:space="preserve">HOW DOES THE THEORY RELATE TO THE </w:t>
            </w:r>
            <w:r w:rsidR="00605AF1">
              <w:rPr>
                <w:sz w:val="36"/>
                <w:szCs w:val="10"/>
              </w:rPr>
              <w:t>CASE STUDY</w:t>
            </w:r>
          </w:p>
          <w:p w14:paraId="16D33C95" w14:textId="77777777" w:rsidR="002D03D7" w:rsidRDefault="002D03D7" w:rsidP="002D03D7">
            <w:pPr>
              <w:spacing w:line="360" w:lineRule="auto"/>
            </w:pPr>
          </w:p>
          <w:p w14:paraId="0864AA08" w14:textId="77777777" w:rsidR="002D03D7" w:rsidRDefault="002D03D7" w:rsidP="002D03D7">
            <w:pPr>
              <w:spacing w:line="360" w:lineRule="auto"/>
              <w:rPr>
                <w:color w:val="000000"/>
              </w:rPr>
            </w:pPr>
            <w:r w:rsidRPr="002D03D7">
              <w:rPr>
                <w:color w:val="000000"/>
              </w:rPr>
              <w:t>The Working Memory Model provides a useful framework for explaining why the district nurses, despite being fully trained and competent, failed to consistently follow handwashing procedures in practice. In this case, the key issue appears to be not a lack of knowledge, but a breakdown in cognitive processing under conditions of high workload and fatigue.</w:t>
            </w:r>
          </w:p>
          <w:p w14:paraId="3C9B5780" w14:textId="77777777" w:rsidR="002D03D7" w:rsidRDefault="002D03D7" w:rsidP="002D03D7">
            <w:pPr>
              <w:spacing w:line="360" w:lineRule="auto"/>
              <w:rPr>
                <w:color w:val="000000"/>
              </w:rPr>
            </w:pPr>
          </w:p>
          <w:p w14:paraId="291A0C46" w14:textId="24CE31F4" w:rsidR="002D03D7" w:rsidRDefault="002D03D7" w:rsidP="002D03D7">
            <w:pPr>
              <w:spacing w:line="360" w:lineRule="auto"/>
              <w:rPr>
                <w:color w:val="000000"/>
              </w:rPr>
            </w:pPr>
            <w:r w:rsidRPr="002D03D7">
              <w:rPr>
                <w:color w:val="000000"/>
              </w:rPr>
              <w:t xml:space="preserve">One of the most relevant components of the model is the central executive, which is responsible for controlling attention and coordinating cognitive processes. The central executive has a limited capacity, meaning that when individuals are required to manage multiple demands at once, its effectiveness can be reduced (Baddeley, 1996). In the context of this case study, nurses were working long hours, often completing back-to-back shifts and managing a </w:t>
            </w:r>
            <w:r w:rsidRPr="002D03D7">
              <w:rPr>
                <w:color w:val="000000"/>
              </w:rPr>
              <w:lastRenderedPageBreak/>
              <w:t xml:space="preserve">significantly increased number of patients. This would have placed a high demand on their attentional resources, making it more difficult for the central executive to effectively monitor and regulate </w:t>
            </w:r>
            <w:r w:rsidRPr="002D03D7">
              <w:rPr>
                <w:color w:val="000000"/>
              </w:rPr>
              <w:t>behavio</w:t>
            </w:r>
            <w:r>
              <w:rPr>
                <w:color w:val="000000"/>
              </w:rPr>
              <w:t>u</w:t>
            </w:r>
            <w:r w:rsidRPr="002D03D7">
              <w:rPr>
                <w:color w:val="000000"/>
              </w:rPr>
              <w:t>r</w:t>
            </w:r>
            <w:r w:rsidRPr="002D03D7">
              <w:rPr>
                <w:color w:val="000000"/>
              </w:rPr>
              <w:t>.</w:t>
            </w:r>
          </w:p>
          <w:p w14:paraId="45A6BCCC" w14:textId="77777777" w:rsidR="002D03D7" w:rsidRDefault="002D03D7" w:rsidP="002D03D7">
            <w:pPr>
              <w:spacing w:line="360" w:lineRule="auto"/>
              <w:rPr>
                <w:color w:val="000000"/>
              </w:rPr>
            </w:pPr>
          </w:p>
          <w:p w14:paraId="3050628B" w14:textId="56699C4B" w:rsidR="002D03D7" w:rsidRPr="002D03D7" w:rsidRDefault="002D03D7" w:rsidP="002D03D7">
            <w:pPr>
              <w:spacing w:line="360" w:lineRule="auto"/>
            </w:pPr>
          </w:p>
        </w:tc>
        <w:tc>
          <w:tcPr>
            <w:tcW w:w="7087" w:type="dxa"/>
            <w:gridSpan w:val="2"/>
            <w:tcBorders>
              <w:bottom w:val="single" w:sz="18" w:space="0" w:color="00C1C7" w:themeColor="accent2"/>
            </w:tcBorders>
            <w:shd w:val="clear" w:color="auto" w:fill="ECFBFB" w:themeFill="accent4"/>
          </w:tcPr>
          <w:p w14:paraId="1F9574C0" w14:textId="77777777" w:rsidR="002D03D7" w:rsidRDefault="002D03D7" w:rsidP="005F23F3">
            <w:pPr>
              <w:rPr>
                <w:color w:val="000000"/>
              </w:rPr>
            </w:pPr>
          </w:p>
          <w:p w14:paraId="699679CC" w14:textId="77777777" w:rsidR="002D03D7" w:rsidRPr="002D03D7" w:rsidRDefault="002D03D7" w:rsidP="002D03D7">
            <w:pPr>
              <w:spacing w:line="360" w:lineRule="auto"/>
              <w:rPr>
                <w:color w:val="000000"/>
              </w:rPr>
            </w:pPr>
            <w:r w:rsidRPr="002D03D7">
              <w:rPr>
                <w:color w:val="000000"/>
              </w:rPr>
              <w:t>As a result of this overload, nurses may have relied more on automatic processing rather than controlled, effortful processing. While handwashing is a routine task, it still requires attention to ensure that it is carried out correctly and at the appropriate times. Under conditions of cognitive strain, the central executive may fail to adequately supervise these actions, leading to errors such as rushing procedures, missing steps, or forgetting to wash hands entirely. This helps explain why nurses who had previously demonstrated full competence were unable to maintain these standards in practice.</w:t>
            </w:r>
          </w:p>
          <w:p w14:paraId="3E374673" w14:textId="77777777" w:rsidR="002D03D7" w:rsidRDefault="002D03D7" w:rsidP="002D03D7">
            <w:pPr>
              <w:spacing w:line="360" w:lineRule="auto"/>
              <w:rPr>
                <w:color w:val="000000"/>
              </w:rPr>
            </w:pPr>
          </w:p>
          <w:p w14:paraId="386A74BE" w14:textId="4ADDE8C2" w:rsidR="002D03D7" w:rsidRDefault="002D03D7" w:rsidP="002D03D7">
            <w:pPr>
              <w:spacing w:line="360" w:lineRule="auto"/>
              <w:rPr>
                <w:color w:val="000000"/>
              </w:rPr>
            </w:pPr>
            <w:r w:rsidRPr="002D03D7">
              <w:rPr>
                <w:color w:val="000000"/>
              </w:rPr>
              <w:t xml:space="preserve">Additionally, the increased workload may have required nurses to divide their attention between multiple tasks, such as travelling between patients, managing time pressures, and delivering care. According to the Working Memory Model, performance declines when attention is divided, particularly when tasks compete for the same cognitive resources (Baddeley &amp; Hitch, 1974). In this case, the need to </w:t>
            </w:r>
            <w:proofErr w:type="spellStart"/>
            <w:r w:rsidRPr="002D03D7">
              <w:rPr>
                <w:color w:val="000000"/>
              </w:rPr>
              <w:t>prioritise</w:t>
            </w:r>
            <w:proofErr w:type="spellEnd"/>
            <w:r w:rsidRPr="002D03D7">
              <w:rPr>
                <w:color w:val="000000"/>
              </w:rPr>
              <w:t xml:space="preserve"> urgent patient care may have reduced the attention available for infection control procedures, leading to inconsistent adherence.</w:t>
            </w:r>
          </w:p>
          <w:p w14:paraId="06967C00" w14:textId="77777777" w:rsidR="002D03D7" w:rsidRDefault="002D03D7" w:rsidP="002D03D7">
            <w:pPr>
              <w:spacing w:line="360" w:lineRule="auto"/>
              <w:rPr>
                <w:color w:val="000000"/>
              </w:rPr>
            </w:pPr>
          </w:p>
          <w:p w14:paraId="724EB248" w14:textId="77777777" w:rsidR="002D03D7" w:rsidRDefault="002D03D7" w:rsidP="002D03D7">
            <w:pPr>
              <w:spacing w:line="360" w:lineRule="auto"/>
              <w:rPr>
                <w:color w:val="000000"/>
              </w:rPr>
            </w:pPr>
            <w:r w:rsidRPr="002D03D7">
              <w:rPr>
                <w:color w:val="000000"/>
              </w:rPr>
              <w:t xml:space="preserve">Fatigue is also an important factor, as it has been shown to impair working memory functioning, particularly the ability of the central executive to sustain attention and inhibit errors (Hockey, 1997). This would further increase the likelihood of lapses in routine </w:t>
            </w:r>
            <w:proofErr w:type="spellStart"/>
            <w:r w:rsidRPr="002D03D7">
              <w:rPr>
                <w:color w:val="000000"/>
              </w:rPr>
              <w:t>behaviours</w:t>
            </w:r>
            <w:proofErr w:type="spellEnd"/>
            <w:r w:rsidRPr="002D03D7">
              <w:rPr>
                <w:color w:val="000000"/>
              </w:rPr>
              <w:t xml:space="preserve"> such as handwashing. Over time, repeated exposure to these demanding conditions may have led to a pattern of reduced compliance, ultimately contributing to the infection outbreak described in the case study.</w:t>
            </w:r>
          </w:p>
          <w:p w14:paraId="2244FB4A" w14:textId="77777777" w:rsidR="002D03D7" w:rsidRDefault="002D03D7" w:rsidP="002D03D7">
            <w:pPr>
              <w:spacing w:line="360" w:lineRule="auto"/>
              <w:rPr>
                <w:color w:val="000000"/>
              </w:rPr>
            </w:pPr>
          </w:p>
          <w:p w14:paraId="598C0222" w14:textId="5ECA2D37" w:rsidR="002D03D7" w:rsidRPr="002D03D7" w:rsidRDefault="002D03D7" w:rsidP="002D03D7">
            <w:pPr>
              <w:spacing w:line="360" w:lineRule="auto"/>
            </w:pPr>
            <w:r w:rsidRPr="002D03D7">
              <w:rPr>
                <w:color w:val="000000"/>
              </w:rPr>
              <w:t xml:space="preserve">Overall, the Working Memory Model helps explain how cognitive overload, reduced attentional control, and fatigue could lead to failures in carrying out even well-learned </w:t>
            </w:r>
            <w:r w:rsidRPr="002D03D7">
              <w:rPr>
                <w:color w:val="000000"/>
              </w:rPr>
              <w:lastRenderedPageBreak/>
              <w:t>procedures. This highlights that the issue is not simply one of training or knowledge, but of the limitations of cognitive processing under pressure.</w:t>
            </w:r>
          </w:p>
        </w:tc>
      </w:tr>
      <w:tr w:rsidR="00FA38A4" w:rsidRPr="003A798E" w14:paraId="35DA261D" w14:textId="77777777" w:rsidTr="00FA38A4">
        <w:trPr>
          <w:trHeight w:val="3459"/>
        </w:trPr>
        <w:tc>
          <w:tcPr>
            <w:tcW w:w="1701" w:type="dxa"/>
            <w:shd w:val="clear" w:color="auto" w:fill="ECFBFB" w:themeFill="accent4"/>
          </w:tcPr>
          <w:p w14:paraId="0FAD7B75" w14:textId="77777777" w:rsidR="00FA38A4" w:rsidRPr="003A798E" w:rsidRDefault="00FA38A4" w:rsidP="00D6375E"/>
        </w:tc>
        <w:tc>
          <w:tcPr>
            <w:tcW w:w="10915" w:type="dxa"/>
            <w:gridSpan w:val="3"/>
            <w:tcBorders>
              <w:top w:val="single" w:sz="18" w:space="0" w:color="00C1C7" w:themeColor="accent2"/>
              <w:bottom w:val="single" w:sz="18" w:space="0" w:color="00C1C7" w:themeColor="accent2"/>
            </w:tcBorders>
            <w:shd w:val="clear" w:color="auto" w:fill="ECFBFB" w:themeFill="accent4"/>
            <w:vAlign w:val="center"/>
          </w:tcPr>
          <w:p w14:paraId="1853A39C" w14:textId="77777777" w:rsidR="00FA38A4" w:rsidRPr="003A798E" w:rsidRDefault="00FA38A4" w:rsidP="00A24793">
            <w:pPr>
              <w:pStyle w:val="Text"/>
            </w:pPr>
          </w:p>
          <w:p w14:paraId="5BB860CD" w14:textId="6B2427FD" w:rsidR="00FA38A4" w:rsidRPr="003A798E" w:rsidRDefault="00FA38A4" w:rsidP="00A24793">
            <w:pPr>
              <w:pStyle w:val="Text"/>
            </w:pPr>
          </w:p>
        </w:tc>
      </w:tr>
      <w:tr w:rsidR="00FA38A4" w:rsidRPr="003A798E" w14:paraId="13661A8A" w14:textId="77777777" w:rsidTr="00FA38A4">
        <w:tblPrEx>
          <w:shd w:val="clear" w:color="auto" w:fill="EDF0F4" w:themeFill="accent3"/>
          <w:tblCellMar>
            <w:left w:w="0" w:type="dxa"/>
            <w:right w:w="0" w:type="dxa"/>
          </w:tblCellMar>
        </w:tblPrEx>
        <w:trPr>
          <w:gridBefore w:val="1"/>
          <w:gridAfter w:val="1"/>
          <w:wBefore w:w="1701" w:type="dxa"/>
          <w:wAfter w:w="142" w:type="dxa"/>
          <w:trHeight w:val="4599"/>
        </w:trPr>
        <w:tc>
          <w:tcPr>
            <w:tcW w:w="10773" w:type="dxa"/>
            <w:gridSpan w:val="2"/>
            <w:shd w:val="clear" w:color="auto" w:fill="EDF0F4" w:themeFill="accent3"/>
          </w:tcPr>
          <w:p w14:paraId="385A66C3" w14:textId="76A5B813" w:rsidR="00FA38A4" w:rsidRPr="003A798E" w:rsidRDefault="00FA38A4" w:rsidP="000751D2">
            <w:pPr>
              <w:pStyle w:val="Heading3"/>
            </w:pPr>
            <w:r>
              <w:lastRenderedPageBreak/>
              <w:t xml:space="preserve">SUGGESTIONS FOR NEW PROCEDURES BASED ON THE THEORY </w:t>
            </w:r>
          </w:p>
          <w:p w14:paraId="7F25076D" w14:textId="77777777" w:rsidR="00FA38A4" w:rsidRPr="003A798E" w:rsidRDefault="00FA38A4" w:rsidP="000751D2">
            <w:pPr>
              <w:pStyle w:val="Heading4"/>
            </w:pPr>
          </w:p>
          <w:p w14:paraId="6FF96F3C" w14:textId="77777777" w:rsidR="00FA38A4" w:rsidRDefault="002D03D7" w:rsidP="002D03D7">
            <w:pPr>
              <w:spacing w:line="360" w:lineRule="auto"/>
              <w:rPr>
                <w:color w:val="000000"/>
              </w:rPr>
            </w:pPr>
            <w:r w:rsidRPr="002D03D7">
              <w:rPr>
                <w:color w:val="000000"/>
              </w:rPr>
              <w:t xml:space="preserve">Based on the Working Memory Model, the failures observed in this case can be addressed by implementing strategies that reduce cognitive load and support attentional control. Rather than </w:t>
            </w:r>
            <w:proofErr w:type="gramStart"/>
            <w:r w:rsidRPr="002D03D7">
              <w:rPr>
                <w:color w:val="000000"/>
              </w:rPr>
              <w:t>assuming that</w:t>
            </w:r>
            <w:proofErr w:type="gramEnd"/>
            <w:r w:rsidRPr="002D03D7">
              <w:rPr>
                <w:color w:val="000000"/>
              </w:rPr>
              <w:t xml:space="preserve"> additional training alone would solve the issue, it is more effective to design procedures that </w:t>
            </w:r>
            <w:proofErr w:type="gramStart"/>
            <w:r w:rsidRPr="002D03D7">
              <w:rPr>
                <w:color w:val="000000"/>
              </w:rPr>
              <w:t>take into account</w:t>
            </w:r>
            <w:proofErr w:type="gramEnd"/>
            <w:r w:rsidRPr="002D03D7">
              <w:rPr>
                <w:color w:val="000000"/>
              </w:rPr>
              <w:t xml:space="preserve"> the limitations of working memory, particularly under conditions of stress and fatigue.</w:t>
            </w:r>
          </w:p>
          <w:p w14:paraId="17640BF1" w14:textId="77777777" w:rsidR="002D03D7" w:rsidRDefault="002D03D7" w:rsidP="002D03D7">
            <w:pPr>
              <w:spacing w:line="360" w:lineRule="auto"/>
              <w:rPr>
                <w:color w:val="000000"/>
              </w:rPr>
            </w:pPr>
          </w:p>
          <w:p w14:paraId="26EDE337" w14:textId="77777777" w:rsidR="002D03D7" w:rsidRDefault="002D03D7" w:rsidP="002D03D7">
            <w:pPr>
              <w:spacing w:line="360" w:lineRule="auto"/>
              <w:rPr>
                <w:color w:val="000000"/>
              </w:rPr>
            </w:pPr>
            <w:r w:rsidRPr="002D03D7">
              <w:rPr>
                <w:color w:val="000000"/>
              </w:rPr>
              <w:t>One key recommendation is the introduction of</w:t>
            </w:r>
            <w:r w:rsidRPr="002D03D7">
              <w:rPr>
                <w:rStyle w:val="apple-converted-space"/>
                <w:color w:val="000000"/>
              </w:rPr>
              <w:t> </w:t>
            </w:r>
            <w:r w:rsidRPr="002D03D7">
              <w:rPr>
                <w:rStyle w:val="Strong"/>
                <w:b w:val="0"/>
                <w:bCs w:val="0"/>
                <w:color w:val="000000"/>
              </w:rPr>
              <w:t>external memory aids</w:t>
            </w:r>
            <w:r w:rsidRPr="002D03D7">
              <w:rPr>
                <w:color w:val="000000"/>
              </w:rPr>
              <w:t>, such as checklists or visual prompts. These could be placed at the entrance of patients’ homes or included as part of a standardised routine. By providing a clear, visible reminder of each step, these tools reduce the need for nurses to rely on their working memory, particularly the central executive. This approach is supported by research showing that checklists can significantly improve adherence to procedures and reduce errors in healthcare settings (Pronovost et al., 2006).</w:t>
            </w:r>
            <w:r>
              <w:rPr>
                <w:color w:val="000000"/>
              </w:rPr>
              <w:t xml:space="preserve"> </w:t>
            </w:r>
          </w:p>
          <w:p w14:paraId="1DE681C6" w14:textId="77777777" w:rsidR="002D03D7" w:rsidRDefault="002D03D7" w:rsidP="002D03D7">
            <w:pPr>
              <w:spacing w:line="360" w:lineRule="auto"/>
              <w:rPr>
                <w:color w:val="000000"/>
              </w:rPr>
            </w:pPr>
          </w:p>
          <w:p w14:paraId="5FA591B3" w14:textId="77777777" w:rsidR="002D03D7" w:rsidRDefault="00270B1F" w:rsidP="002D03D7">
            <w:pPr>
              <w:spacing w:line="360" w:lineRule="auto"/>
              <w:rPr>
                <w:color w:val="000000"/>
              </w:rPr>
            </w:pPr>
            <w:r w:rsidRPr="00270B1F">
              <w:rPr>
                <w:color w:val="000000"/>
              </w:rPr>
              <w:t>Another important strategy is to</w:t>
            </w:r>
            <w:r w:rsidRPr="00270B1F">
              <w:rPr>
                <w:rStyle w:val="apple-converted-space"/>
                <w:color w:val="000000"/>
              </w:rPr>
              <w:t> </w:t>
            </w:r>
            <w:r w:rsidRPr="00270B1F">
              <w:rPr>
                <w:rStyle w:val="Strong"/>
                <w:b w:val="0"/>
                <w:bCs w:val="0"/>
                <w:color w:val="000000"/>
              </w:rPr>
              <w:t>reduce cognitive overload by addressing workload and shift patterns</w:t>
            </w:r>
            <w:r w:rsidRPr="00270B1F">
              <w:rPr>
                <w:color w:val="000000"/>
              </w:rPr>
              <w:t>. For example, limiting consecutive shifts, ensuring adequate breaks, and managing patient allocation more effectively could help prevent fatigue-related impairments in working memory. As the central executive is particularly sensitive to overload, reducing overall task demands would improve attentional control and the ability to consistently carry out procedures.</w:t>
            </w:r>
          </w:p>
          <w:p w14:paraId="6025AB94" w14:textId="77777777" w:rsidR="00270B1F" w:rsidRDefault="00270B1F" w:rsidP="002D03D7">
            <w:pPr>
              <w:spacing w:line="360" w:lineRule="auto"/>
              <w:rPr>
                <w:color w:val="000000"/>
              </w:rPr>
            </w:pPr>
          </w:p>
          <w:p w14:paraId="7DB7E43D" w14:textId="77777777" w:rsidR="00270B1F" w:rsidRDefault="00066866" w:rsidP="002D03D7">
            <w:pPr>
              <w:spacing w:line="360" w:lineRule="auto"/>
              <w:rPr>
                <w:color w:val="000000"/>
              </w:rPr>
            </w:pPr>
            <w:r w:rsidRPr="00066866">
              <w:rPr>
                <w:color w:val="000000"/>
              </w:rPr>
              <w:t>In addition,</w:t>
            </w:r>
            <w:r w:rsidRPr="00066866">
              <w:rPr>
                <w:rStyle w:val="apple-converted-space"/>
                <w:color w:val="000000"/>
              </w:rPr>
              <w:t> </w:t>
            </w:r>
            <w:r w:rsidRPr="00066866">
              <w:rPr>
                <w:rStyle w:val="Strong"/>
                <w:b w:val="0"/>
                <w:bCs w:val="0"/>
                <w:color w:val="000000"/>
              </w:rPr>
              <w:t xml:space="preserve">simplifying and </w:t>
            </w:r>
            <w:proofErr w:type="spellStart"/>
            <w:r w:rsidRPr="00066866">
              <w:rPr>
                <w:rStyle w:val="Strong"/>
                <w:b w:val="0"/>
                <w:bCs w:val="0"/>
                <w:color w:val="000000"/>
              </w:rPr>
              <w:t>standardising</w:t>
            </w:r>
            <w:proofErr w:type="spellEnd"/>
            <w:r w:rsidRPr="00066866">
              <w:rPr>
                <w:rStyle w:val="Strong"/>
                <w:b w:val="0"/>
                <w:bCs w:val="0"/>
                <w:color w:val="000000"/>
              </w:rPr>
              <w:t xml:space="preserve"> procedures</w:t>
            </w:r>
            <w:r w:rsidRPr="00066866">
              <w:rPr>
                <w:rStyle w:val="apple-converted-space"/>
                <w:color w:val="000000"/>
              </w:rPr>
              <w:t> </w:t>
            </w:r>
            <w:r w:rsidRPr="00066866">
              <w:rPr>
                <w:color w:val="000000"/>
              </w:rPr>
              <w:t xml:space="preserve">may also be beneficial. If handwashing protocols are broken down into clear, consistent steps that are always followed in the same order, they are more likely to become automated over time. While automation can be helpful, it is important that it does not occur in a way that leads to skipped steps. Therefore, combining </w:t>
            </w:r>
            <w:proofErr w:type="spellStart"/>
            <w:r w:rsidRPr="00066866">
              <w:rPr>
                <w:color w:val="000000"/>
              </w:rPr>
              <w:t>standardisation</w:t>
            </w:r>
            <w:proofErr w:type="spellEnd"/>
            <w:r w:rsidRPr="00066866">
              <w:rPr>
                <w:color w:val="000000"/>
              </w:rPr>
              <w:t xml:space="preserve"> with external prompts would provide both structure and support.</w:t>
            </w:r>
            <w:r>
              <w:rPr>
                <w:color w:val="000000"/>
              </w:rPr>
              <w:t xml:space="preserve"> </w:t>
            </w:r>
          </w:p>
          <w:p w14:paraId="4E5C6EBE" w14:textId="77777777" w:rsidR="00066866" w:rsidRDefault="00066866" w:rsidP="002D03D7">
            <w:pPr>
              <w:spacing w:line="360" w:lineRule="auto"/>
              <w:rPr>
                <w:color w:val="000000"/>
              </w:rPr>
            </w:pPr>
          </w:p>
          <w:p w14:paraId="063BAE6C" w14:textId="2C23E7EA" w:rsidR="00066866" w:rsidRPr="00066866" w:rsidRDefault="00066866" w:rsidP="002D03D7">
            <w:pPr>
              <w:spacing w:line="360" w:lineRule="auto"/>
              <w:rPr>
                <w:color w:val="000000"/>
              </w:rPr>
            </w:pPr>
            <w:r w:rsidRPr="00066866">
              <w:rPr>
                <w:color w:val="000000"/>
              </w:rPr>
              <w:t>Training could also be adapted to better reflect real-world conditions by incorporating</w:t>
            </w:r>
            <w:r w:rsidRPr="00066866">
              <w:rPr>
                <w:rStyle w:val="apple-converted-space"/>
                <w:color w:val="000000"/>
              </w:rPr>
              <w:t> </w:t>
            </w:r>
            <w:r w:rsidRPr="00066866">
              <w:rPr>
                <w:rStyle w:val="Strong"/>
                <w:b w:val="0"/>
                <w:bCs w:val="0"/>
                <w:color w:val="000000"/>
              </w:rPr>
              <w:t>high workload or time-pressure scenarios</w:t>
            </w:r>
            <w:r w:rsidRPr="00066866">
              <w:rPr>
                <w:color w:val="000000"/>
              </w:rPr>
              <w:t xml:space="preserve">. This would help nurses </w:t>
            </w:r>
            <w:r w:rsidRPr="00066866">
              <w:rPr>
                <w:color w:val="000000"/>
              </w:rPr>
              <w:t>practice</w:t>
            </w:r>
            <w:r w:rsidRPr="00066866">
              <w:rPr>
                <w:color w:val="000000"/>
              </w:rPr>
              <w:t xml:space="preserve"> maintaining performance under cognitive strain, potentially strengthening their ability to manage working memory demands in practice.</w:t>
            </w:r>
            <w:r w:rsidRPr="00066866">
              <w:rPr>
                <w:color w:val="000000"/>
              </w:rPr>
              <w:t xml:space="preserve"> </w:t>
            </w:r>
          </w:p>
          <w:p w14:paraId="18DF1099" w14:textId="77777777" w:rsidR="00066866" w:rsidRPr="00066866" w:rsidRDefault="00066866" w:rsidP="002D03D7">
            <w:pPr>
              <w:spacing w:line="360" w:lineRule="auto"/>
              <w:rPr>
                <w:color w:val="000000"/>
              </w:rPr>
            </w:pPr>
          </w:p>
          <w:p w14:paraId="1260970E" w14:textId="313FC43B" w:rsidR="00066866" w:rsidRDefault="00066866" w:rsidP="002D03D7">
            <w:pPr>
              <w:spacing w:line="360" w:lineRule="auto"/>
              <w:rPr>
                <w:color w:val="000000"/>
              </w:rPr>
            </w:pPr>
            <w:r w:rsidRPr="00066866">
              <w:rPr>
                <w:color w:val="000000"/>
              </w:rPr>
              <w:lastRenderedPageBreak/>
              <w:t>However, these suggestions also raise important ethical considerations. For example, reducing workload and limiting shifts may have resource implications for the health board, particularly in the context of staff shortages. There is also a need to balance monitoring and support with respect for professional autonomy, as overly rigid procedures or constant supervision could negatively impact staff morale. At the same time, patient safety must remain the priority, particularly given the serious consequences observed in this case.</w:t>
            </w:r>
            <w:r>
              <w:rPr>
                <w:color w:val="000000"/>
              </w:rPr>
              <w:t xml:space="preserve"> </w:t>
            </w:r>
          </w:p>
          <w:p w14:paraId="238AF10C" w14:textId="77777777" w:rsidR="00066866" w:rsidRDefault="00066866" w:rsidP="002D03D7">
            <w:pPr>
              <w:spacing w:line="360" w:lineRule="auto"/>
              <w:rPr>
                <w:color w:val="000000"/>
              </w:rPr>
            </w:pPr>
          </w:p>
          <w:p w14:paraId="61AB3B46" w14:textId="4F15934D" w:rsidR="00066866" w:rsidRDefault="00066866" w:rsidP="002D03D7">
            <w:pPr>
              <w:spacing w:line="360" w:lineRule="auto"/>
              <w:rPr>
                <w:color w:val="000000"/>
              </w:rPr>
            </w:pPr>
            <w:r w:rsidRPr="00066866">
              <w:rPr>
                <w:color w:val="000000"/>
              </w:rPr>
              <w:t>Overall, by applying the Working Memory Model, these recommendations focus on reducing cognitive demands and supporting attention, rather than placing sole responsibility on individual nurses. This reflects a more realistic and evidence-based approach to improving performance in high-pressure healthcare environments.</w:t>
            </w:r>
            <w:r>
              <w:rPr>
                <w:color w:val="000000"/>
              </w:rPr>
              <w:t xml:space="preserve"> </w:t>
            </w:r>
          </w:p>
          <w:p w14:paraId="447C1BDF" w14:textId="77777777" w:rsidR="00066866" w:rsidRDefault="00066866" w:rsidP="002D03D7">
            <w:pPr>
              <w:spacing w:line="360" w:lineRule="auto"/>
              <w:rPr>
                <w:color w:val="000000"/>
              </w:rPr>
            </w:pPr>
          </w:p>
          <w:p w14:paraId="6493D6EF" w14:textId="77777777" w:rsidR="00066866" w:rsidRPr="00066866" w:rsidRDefault="00066866" w:rsidP="002D03D7">
            <w:pPr>
              <w:spacing w:line="360" w:lineRule="auto"/>
              <w:rPr>
                <w:color w:val="000000"/>
              </w:rPr>
            </w:pPr>
          </w:p>
          <w:p w14:paraId="01E60DED" w14:textId="77777777" w:rsidR="00066866" w:rsidRDefault="00066866" w:rsidP="002D03D7">
            <w:pPr>
              <w:spacing w:line="360" w:lineRule="auto"/>
              <w:rPr>
                <w:color w:val="000000"/>
              </w:rPr>
            </w:pPr>
          </w:p>
          <w:p w14:paraId="303C466A" w14:textId="7A73E4AC" w:rsidR="00066866" w:rsidRPr="00066866" w:rsidRDefault="00066866" w:rsidP="002D03D7">
            <w:pPr>
              <w:spacing w:line="360" w:lineRule="auto"/>
            </w:pPr>
          </w:p>
        </w:tc>
      </w:tr>
      <w:tr w:rsidR="00FA38A4" w:rsidRPr="003A798E" w14:paraId="0B43E723" w14:textId="77777777" w:rsidTr="00FA38A4">
        <w:tblPrEx>
          <w:shd w:val="clear" w:color="auto" w:fill="EDF0F4" w:themeFill="accent3"/>
          <w:tblCellMar>
            <w:left w:w="0" w:type="dxa"/>
            <w:right w:w="0" w:type="dxa"/>
          </w:tblCellMar>
        </w:tblPrEx>
        <w:trPr>
          <w:gridBefore w:val="1"/>
          <w:gridAfter w:val="1"/>
          <w:wBefore w:w="1701" w:type="dxa"/>
          <w:wAfter w:w="142" w:type="dxa"/>
          <w:trHeight w:val="8879"/>
        </w:trPr>
        <w:tc>
          <w:tcPr>
            <w:tcW w:w="10773" w:type="dxa"/>
            <w:gridSpan w:val="2"/>
            <w:shd w:val="clear" w:color="auto" w:fill="EDF0F4" w:themeFill="accent3"/>
          </w:tcPr>
          <w:p w14:paraId="63B67C8E" w14:textId="4B903E6F" w:rsidR="00FA38A4" w:rsidRDefault="0098239A" w:rsidP="000751D2">
            <w:pPr>
              <w:pStyle w:val="Heading3"/>
            </w:pPr>
            <w:r>
              <w:lastRenderedPageBreak/>
              <w:t>EVALUATION AND CRITIQUE OF</w:t>
            </w:r>
            <w:r w:rsidR="00FA38A4">
              <w:t xml:space="preserve"> THEORY</w:t>
            </w:r>
          </w:p>
          <w:p w14:paraId="6AD52D93" w14:textId="77777777" w:rsidR="00FA38A4" w:rsidRPr="00766C02" w:rsidRDefault="00FA38A4" w:rsidP="000751D2"/>
          <w:p w14:paraId="28364C62" w14:textId="6B2D6F8F" w:rsidR="00D00181" w:rsidRDefault="00D00181" w:rsidP="00D00181">
            <w:pPr>
              <w:spacing w:line="360" w:lineRule="auto"/>
              <w:rPr>
                <w:color w:val="000000"/>
              </w:rPr>
            </w:pPr>
            <w:r w:rsidRPr="00D00181">
              <w:rPr>
                <w:color w:val="000000"/>
              </w:rPr>
              <w:t>The Working Memory Model provides a useful and well-supported framework for understanding how cognitive limitations may have contributed to the failures observed in this case study. One of its key strengths is that it offers a detailed explanation of how attention and short-term information processing are managed through separate but interacting components (Baddeley &amp; Hitch, 1974; Baddeley, 2000). In particular, the concept of a limited-capacity central executive is highly relevant, as it helps explain why performance can deteriorate under conditions of high workload and fatigue. This makes the model especially applicable to real-world settings such as healthcare, where individuals are often required to manage multiple demands simultaneously (Hockey, 1997).</w:t>
            </w:r>
          </w:p>
          <w:p w14:paraId="6DD34192" w14:textId="77777777" w:rsidR="00D00181" w:rsidRDefault="00D00181" w:rsidP="00D00181">
            <w:pPr>
              <w:spacing w:line="360" w:lineRule="auto"/>
              <w:rPr>
                <w:color w:val="000000"/>
              </w:rPr>
            </w:pPr>
          </w:p>
          <w:p w14:paraId="53C0F0C1" w14:textId="7D33F526" w:rsidR="00D00181" w:rsidRDefault="00D00181" w:rsidP="00D00181">
            <w:pPr>
              <w:spacing w:line="360" w:lineRule="auto"/>
              <w:rPr>
                <w:color w:val="000000"/>
              </w:rPr>
            </w:pPr>
            <w:r w:rsidRPr="00D00181">
              <w:rPr>
                <w:color w:val="000000"/>
              </w:rPr>
              <w:t>Another strength of the model is the strong empirical support it has received from dual-task studies, which demonstrate that performance declines when cognitive resources are exceeded (Baddeley &amp; Hitch, 1974). Further support comes from research showing that working memory capacity is closely linked to attentional control, meaning that when individuals are overloaded, they are more likely to make errors in routine tasks (Engle, 2002). This strengthens the application of the model to the current case, where nurses were required to divide their attention across multiple demands. The model also provides a clear theoretical basis for practical interventions, such as reducing cognitive load and introducing external memory aids, which have been shown to improve performance in applied settings (Reason, 1990; Pronovost et al., 2006).</w:t>
            </w:r>
          </w:p>
          <w:p w14:paraId="0243F50D" w14:textId="77777777" w:rsidR="00D00181" w:rsidRDefault="00D00181" w:rsidP="00D00181">
            <w:pPr>
              <w:spacing w:line="360" w:lineRule="auto"/>
              <w:rPr>
                <w:color w:val="000000"/>
              </w:rPr>
            </w:pPr>
          </w:p>
          <w:p w14:paraId="5A809E9D" w14:textId="18FCE302" w:rsidR="00D00181" w:rsidRDefault="00D00181" w:rsidP="00D00181">
            <w:pPr>
              <w:spacing w:line="360" w:lineRule="auto"/>
              <w:rPr>
                <w:color w:val="000000"/>
              </w:rPr>
            </w:pPr>
            <w:r w:rsidRPr="00D00181">
              <w:rPr>
                <w:color w:val="000000"/>
              </w:rPr>
              <w:t>However, despite these strengths, the Working Memory Model also has several limitations, both in general and in relation to this case study. One key criticism is that the central executive is not clearly defined and is often described in vague terms as a control system for attention (Baddeley, 1996). This lack of specificity makes it difficult to measure directly, and some researchers have argued that it may be better understood as a set of separate processes rather than a single component (Miyake et al., 2000). In the context of this case, while the model suggests that cognitive overload impaired performance, it does not precisely explain individual differences, such as why some nurses may have been more affected than others.</w:t>
            </w:r>
            <w:r>
              <w:rPr>
                <w:color w:val="000000"/>
              </w:rPr>
              <w:t xml:space="preserve"> </w:t>
            </w:r>
          </w:p>
          <w:p w14:paraId="7F0C32FC" w14:textId="77777777" w:rsidR="00D00181" w:rsidRDefault="00D00181" w:rsidP="00D00181">
            <w:pPr>
              <w:spacing w:line="360" w:lineRule="auto"/>
              <w:rPr>
                <w:color w:val="000000"/>
              </w:rPr>
            </w:pPr>
          </w:p>
          <w:p w14:paraId="13B95FB5" w14:textId="73D71914" w:rsidR="00D00181" w:rsidRDefault="00D00181" w:rsidP="00D00181">
            <w:pPr>
              <w:spacing w:line="360" w:lineRule="auto"/>
              <w:rPr>
                <w:color w:val="000000"/>
              </w:rPr>
            </w:pPr>
            <w:r w:rsidRPr="00D00181">
              <w:rPr>
                <w:color w:val="000000"/>
              </w:rPr>
              <w:t xml:space="preserve">Additionally, the model focuses primarily on cognitive processes and does not fully account for other important factors that may influence behaviour, such as stress, motivation, and organisational culture. For example, research has shown that stress can significantly impact decision-making and attention beyond what is explained by working memory limitations alone (LeBlanc, 2009). Similarly, </w:t>
            </w:r>
            <w:r w:rsidRPr="00D00181">
              <w:rPr>
                <w:color w:val="000000"/>
              </w:rPr>
              <w:lastRenderedPageBreak/>
              <w:t>workplace factors such as time pressure, social norms, and perceived importance of tasks may also influence whether procedures like handwashing are followed consistently. This suggests that while working memory limitations are important, they are unlikely to provide a complete explanation of the behaviour observed in this case.</w:t>
            </w:r>
            <w:r>
              <w:rPr>
                <w:color w:val="000000"/>
              </w:rPr>
              <w:t xml:space="preserve"> </w:t>
            </w:r>
          </w:p>
          <w:p w14:paraId="377C38CA" w14:textId="77777777" w:rsidR="00D00181" w:rsidRDefault="00D00181" w:rsidP="00D00181">
            <w:pPr>
              <w:spacing w:line="360" w:lineRule="auto"/>
              <w:rPr>
                <w:color w:val="000000"/>
              </w:rPr>
            </w:pPr>
          </w:p>
          <w:p w14:paraId="6B345A2A" w14:textId="4F9C5FA8" w:rsidR="00D00181" w:rsidRDefault="00D00181" w:rsidP="00D00181">
            <w:pPr>
              <w:spacing w:line="360" w:lineRule="auto"/>
              <w:rPr>
                <w:color w:val="000000"/>
              </w:rPr>
            </w:pPr>
            <w:r w:rsidRPr="00D00181">
              <w:rPr>
                <w:color w:val="000000"/>
              </w:rPr>
              <w:t>Another limitation is that the model may oversimplify complex real-world behaviour. Healthcare errors are rarely caused by a single factor and are often the result of multiple interacting influences, including systemic issues such as staff shortages and organisational pressures (</w:t>
            </w:r>
            <w:proofErr w:type="spellStart"/>
            <w:r w:rsidRPr="00D00181">
              <w:rPr>
                <w:color w:val="000000"/>
              </w:rPr>
              <w:t>Carayon</w:t>
            </w:r>
            <w:proofErr w:type="spellEnd"/>
            <w:r w:rsidRPr="00D00181">
              <w:rPr>
                <w:color w:val="000000"/>
              </w:rPr>
              <w:t xml:space="preserve"> et al., 2014). While the Working Memory Model can explain how these conditions affect cognitive functioning, it does not fully address the broader system in which these errors occur. As a result, focusing only on cognitive limitations may risk overlooking important structural problems that also need to be addressed.</w:t>
            </w:r>
          </w:p>
          <w:p w14:paraId="68BA74F6" w14:textId="77777777" w:rsidR="00D00181" w:rsidRDefault="00D00181" w:rsidP="00D00181">
            <w:pPr>
              <w:spacing w:line="360" w:lineRule="auto"/>
              <w:rPr>
                <w:color w:val="000000"/>
              </w:rPr>
            </w:pPr>
          </w:p>
          <w:p w14:paraId="50173B38" w14:textId="1B017722" w:rsidR="00D00181" w:rsidRPr="00D00181" w:rsidRDefault="00D00181" w:rsidP="00D00181">
            <w:pPr>
              <w:spacing w:line="360" w:lineRule="auto"/>
              <w:rPr>
                <w:color w:val="000000"/>
              </w:rPr>
            </w:pPr>
            <w:r w:rsidRPr="00D00181">
              <w:rPr>
                <w:color w:val="000000"/>
              </w:rPr>
              <w:t>Furthermore, although the model can inform useful interventions, such as checklists and workload management, these recommendations may not always be practical to implement. For example, reducing shift lengths or patient loads may be difficult due to staffing constraints. This highlights a gap between theoretical recommendations and real-world feasibility, which is important to consider when applying cognitive theories in practice.</w:t>
            </w:r>
          </w:p>
          <w:p w14:paraId="22CC3057" w14:textId="77777777" w:rsidR="00D00181" w:rsidRDefault="00D00181" w:rsidP="00D00181">
            <w:pPr>
              <w:spacing w:line="360" w:lineRule="auto"/>
            </w:pPr>
          </w:p>
          <w:p w14:paraId="2D470C57" w14:textId="77777777" w:rsidR="00D00181" w:rsidRDefault="00D00181" w:rsidP="00D00181">
            <w:pPr>
              <w:spacing w:line="360" w:lineRule="auto"/>
              <w:rPr>
                <w:color w:val="000000"/>
              </w:rPr>
            </w:pPr>
            <w:r w:rsidRPr="00D00181">
              <w:rPr>
                <w:color w:val="000000"/>
              </w:rPr>
              <w:t>In relation to the case study, the Working Memory Model provides a convincing explanation for how cognitive overload and fatigue could lead to lapses in handwashing procedures. However, it should be viewed as part of a broader explanation rather than a complete solution. A more effective approach would involve combining insights from cognitive psychology with an understanding of organisational and environmental factors to fully address the causes of the incident.</w:t>
            </w:r>
          </w:p>
          <w:p w14:paraId="3C6671EB" w14:textId="77777777" w:rsidR="00D00181" w:rsidRDefault="00D00181" w:rsidP="00D00181">
            <w:pPr>
              <w:spacing w:line="360" w:lineRule="auto"/>
              <w:rPr>
                <w:color w:val="000000"/>
              </w:rPr>
            </w:pPr>
          </w:p>
          <w:p w14:paraId="7B5A0A5F" w14:textId="77777777" w:rsidR="00D00181" w:rsidRDefault="00D00181" w:rsidP="00D00181">
            <w:pPr>
              <w:spacing w:line="360" w:lineRule="auto"/>
              <w:rPr>
                <w:color w:val="000000"/>
              </w:rPr>
            </w:pPr>
          </w:p>
          <w:p w14:paraId="477EEA6F" w14:textId="77777777" w:rsidR="00D00181" w:rsidRDefault="00D00181" w:rsidP="00D00181">
            <w:pPr>
              <w:spacing w:line="360" w:lineRule="auto"/>
              <w:rPr>
                <w:color w:val="000000"/>
              </w:rPr>
            </w:pPr>
          </w:p>
          <w:p w14:paraId="4278ED55" w14:textId="77777777" w:rsidR="00D00181" w:rsidRDefault="00D00181" w:rsidP="00D00181">
            <w:pPr>
              <w:spacing w:line="360" w:lineRule="auto"/>
              <w:rPr>
                <w:color w:val="000000"/>
              </w:rPr>
            </w:pPr>
          </w:p>
          <w:p w14:paraId="0AEDB428" w14:textId="77777777" w:rsidR="00D00181" w:rsidRDefault="00D00181" w:rsidP="00D00181">
            <w:pPr>
              <w:spacing w:line="360" w:lineRule="auto"/>
              <w:rPr>
                <w:color w:val="000000"/>
              </w:rPr>
            </w:pPr>
          </w:p>
          <w:p w14:paraId="16E98F78" w14:textId="77777777" w:rsidR="00D00181" w:rsidRDefault="00D00181" w:rsidP="00D00181">
            <w:pPr>
              <w:spacing w:line="360" w:lineRule="auto"/>
              <w:rPr>
                <w:color w:val="000000"/>
              </w:rPr>
            </w:pPr>
          </w:p>
          <w:p w14:paraId="218D8DEB" w14:textId="77777777" w:rsidR="00D00181" w:rsidRDefault="00D00181" w:rsidP="00D00181">
            <w:pPr>
              <w:spacing w:line="360" w:lineRule="auto"/>
              <w:rPr>
                <w:color w:val="000000"/>
              </w:rPr>
            </w:pPr>
          </w:p>
          <w:p w14:paraId="2728EF81" w14:textId="77777777" w:rsidR="00D00181" w:rsidRDefault="00D00181" w:rsidP="00D00181">
            <w:pPr>
              <w:spacing w:line="360" w:lineRule="auto"/>
              <w:rPr>
                <w:color w:val="000000"/>
              </w:rPr>
            </w:pPr>
          </w:p>
          <w:p w14:paraId="7B9E843C" w14:textId="4BAE8579" w:rsidR="00D00181" w:rsidRPr="00D00181" w:rsidRDefault="00D00181" w:rsidP="00D00181">
            <w:pPr>
              <w:spacing w:line="360" w:lineRule="auto"/>
            </w:pPr>
          </w:p>
        </w:tc>
      </w:tr>
    </w:tbl>
    <w:p w14:paraId="0CF4EDF2" w14:textId="77777777" w:rsidR="00A24793" w:rsidRPr="003A798E" w:rsidRDefault="00A24793"/>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3A798E" w14:paraId="24F1484D" w14:textId="77777777" w:rsidTr="0098239A">
        <w:trPr>
          <w:trHeight w:val="373"/>
        </w:trPr>
        <w:tc>
          <w:tcPr>
            <w:tcW w:w="851" w:type="dxa"/>
            <w:vMerge w:val="restart"/>
            <w:shd w:val="clear" w:color="auto" w:fill="00C1C7" w:themeFill="accent2"/>
          </w:tcPr>
          <w:p w14:paraId="2B59145D" w14:textId="77777777" w:rsidR="0031055C" w:rsidRPr="003A798E" w:rsidRDefault="0031055C" w:rsidP="0031055C">
            <w:pPr>
              <w:pStyle w:val="GraphicAnchor"/>
            </w:pPr>
          </w:p>
        </w:tc>
        <w:tc>
          <w:tcPr>
            <w:tcW w:w="8690" w:type="dxa"/>
            <w:tcBorders>
              <w:bottom w:val="single" w:sz="36" w:space="0" w:color="123869" w:themeColor="accent1"/>
            </w:tcBorders>
            <w:shd w:val="clear" w:color="auto" w:fill="00C1C7" w:themeFill="accent2"/>
          </w:tcPr>
          <w:p w14:paraId="136EF726" w14:textId="77777777" w:rsidR="0031055C" w:rsidRPr="003A798E" w:rsidRDefault="0031055C" w:rsidP="0031055C"/>
        </w:tc>
        <w:tc>
          <w:tcPr>
            <w:tcW w:w="967" w:type="dxa"/>
            <w:vMerge w:val="restart"/>
            <w:shd w:val="clear" w:color="auto" w:fill="00C1C7" w:themeFill="accent2"/>
          </w:tcPr>
          <w:p w14:paraId="230C2B99" w14:textId="77777777" w:rsidR="0031055C" w:rsidRPr="003A798E" w:rsidRDefault="0031055C" w:rsidP="00D6375E"/>
        </w:tc>
      </w:tr>
      <w:tr w:rsidR="0031055C" w:rsidRPr="003A798E" w14:paraId="248C2EAF" w14:textId="77777777" w:rsidTr="0098239A">
        <w:trPr>
          <w:trHeight w:val="3502"/>
        </w:trPr>
        <w:tc>
          <w:tcPr>
            <w:tcW w:w="851" w:type="dxa"/>
            <w:vMerge/>
            <w:shd w:val="clear" w:color="auto" w:fill="00C1C7" w:themeFill="accent2"/>
          </w:tcPr>
          <w:p w14:paraId="576F82E5" w14:textId="77777777" w:rsidR="0031055C" w:rsidRPr="003A798E" w:rsidRDefault="0031055C" w:rsidP="00D6375E"/>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98239A" w:rsidRDefault="0098239A" w:rsidP="00A24793">
            <w:pPr>
              <w:pStyle w:val="Quote"/>
              <w:rPr>
                <w:sz w:val="72"/>
                <w:szCs w:val="22"/>
              </w:rPr>
            </w:pPr>
            <w:r w:rsidRPr="0098239A">
              <w:rPr>
                <w:sz w:val="72"/>
                <w:szCs w:val="22"/>
              </w:rPr>
              <w:t>CONCLUSION AND RECOMMENDATIONS</w:t>
            </w:r>
          </w:p>
        </w:tc>
        <w:tc>
          <w:tcPr>
            <w:tcW w:w="967" w:type="dxa"/>
            <w:vMerge/>
            <w:shd w:val="clear" w:color="auto" w:fill="00C1C7" w:themeFill="accent2"/>
          </w:tcPr>
          <w:p w14:paraId="7416AA32" w14:textId="77777777" w:rsidR="0031055C" w:rsidRPr="003A798E" w:rsidRDefault="0031055C" w:rsidP="00D6375E"/>
        </w:tc>
      </w:tr>
      <w:tr w:rsidR="0031055C" w:rsidRPr="003A798E" w14:paraId="5680728F" w14:textId="77777777" w:rsidTr="0098239A">
        <w:trPr>
          <w:trHeight w:val="9648"/>
        </w:trPr>
        <w:tc>
          <w:tcPr>
            <w:tcW w:w="851" w:type="dxa"/>
            <w:vMerge/>
            <w:shd w:val="clear" w:color="auto" w:fill="00C1C7" w:themeFill="accent2"/>
          </w:tcPr>
          <w:p w14:paraId="30E7C66B" w14:textId="77777777" w:rsidR="0031055C" w:rsidRPr="003A798E" w:rsidRDefault="0031055C" w:rsidP="00D6375E"/>
        </w:tc>
        <w:tc>
          <w:tcPr>
            <w:tcW w:w="8690" w:type="dxa"/>
            <w:tcBorders>
              <w:top w:val="single" w:sz="36" w:space="0" w:color="123869" w:themeColor="accent1"/>
            </w:tcBorders>
            <w:shd w:val="clear" w:color="auto" w:fill="00C1C7" w:themeFill="accent2"/>
          </w:tcPr>
          <w:p w14:paraId="29996D65" w14:textId="77777777" w:rsidR="0031055C" w:rsidRDefault="0031055C" w:rsidP="00F336CB"/>
          <w:p w14:paraId="77A21FA9" w14:textId="77777777" w:rsidR="00F336CB" w:rsidRDefault="00F336CB" w:rsidP="00F336CB">
            <w:pPr>
              <w:spacing w:line="360" w:lineRule="auto"/>
              <w:rPr>
                <w:color w:val="000000"/>
              </w:rPr>
            </w:pPr>
            <w:r w:rsidRPr="00F336CB">
              <w:rPr>
                <w:color w:val="000000"/>
              </w:rPr>
              <w:t>In conclusion, this report has applied the Working Memory Model (Baddeley &amp; Hitch, 1974; Baddeley, 2000) to understand the factors underlying the failure of district nurses to consistently adhere to handwashing procedures in the case study. While all nurses had demonstrated appropriate knowledge and competency during training, the breakdown in practice highlights the impact of cognitive limitations under conditions of high workload and fatigue. The model, particularly the role of the central executive, provides a useful explanation for how increased cognitive demands can reduce attentional control, leading to lapses in routine but essential tasks.</w:t>
            </w:r>
          </w:p>
          <w:p w14:paraId="6A1ECB6D" w14:textId="77777777" w:rsidR="00F336CB" w:rsidRDefault="00F336CB" w:rsidP="00F336CB">
            <w:pPr>
              <w:spacing w:line="360" w:lineRule="auto"/>
              <w:rPr>
                <w:color w:val="000000"/>
              </w:rPr>
            </w:pPr>
          </w:p>
          <w:p w14:paraId="1A87271C" w14:textId="71CF2895" w:rsidR="00F336CB" w:rsidRDefault="00F336CB" w:rsidP="00F336CB">
            <w:pPr>
              <w:spacing w:line="360" w:lineRule="auto"/>
              <w:rPr>
                <w:color w:val="000000"/>
              </w:rPr>
            </w:pPr>
            <w:r w:rsidRPr="00F336CB">
              <w:rPr>
                <w:color w:val="000000"/>
              </w:rPr>
              <w:t xml:space="preserve">Supporting evidence from the literature has shown that cognitive overload, stress, and fatigue can significantly impair working memory and increase the likelihood of human error in high-pressure environments (Hockey, 1997; Matthews et al., 2000; Reason, 1990). This reinforces the idea that the failures observed in this case are not simply due to individual </w:t>
            </w:r>
            <w:proofErr w:type="gramStart"/>
            <w:r w:rsidRPr="00F336CB">
              <w:rPr>
                <w:color w:val="000000"/>
              </w:rPr>
              <w:t>negligence, but</w:t>
            </w:r>
            <w:proofErr w:type="gramEnd"/>
            <w:r w:rsidRPr="00F336CB">
              <w:rPr>
                <w:color w:val="000000"/>
              </w:rPr>
              <w:t xml:space="preserve"> are influenced by the interaction between cognitive processes and working conditions.</w:t>
            </w:r>
            <w:r>
              <w:rPr>
                <w:color w:val="000000"/>
              </w:rPr>
              <w:t xml:space="preserve"> </w:t>
            </w:r>
          </w:p>
          <w:p w14:paraId="30B886CF" w14:textId="77777777" w:rsidR="00F336CB" w:rsidRDefault="00F336CB" w:rsidP="00F336CB">
            <w:pPr>
              <w:pStyle w:val="NormalWeb"/>
              <w:spacing w:line="360" w:lineRule="auto"/>
              <w:rPr>
                <w:rFonts w:asciiTheme="minorHAnsi" w:hAnsiTheme="minorHAnsi"/>
                <w:color w:val="000000"/>
              </w:rPr>
            </w:pPr>
            <w:r w:rsidRPr="00F336CB">
              <w:rPr>
                <w:rFonts w:asciiTheme="minorHAnsi" w:hAnsiTheme="minorHAnsi"/>
                <w:color w:val="000000"/>
              </w:rPr>
              <w:t xml:space="preserve">Based on this understanding, several practical recommendations were proposed, including the use of external memory aids such as checklists, improvements to workload management and shift patterns, and the introduction of training that better reflects real-world pressures. These strategies aim to reduce reliance on working memory and support attentional control, thereby improving adherence to procedures. However, it is important </w:t>
            </w:r>
            <w:r w:rsidRPr="00F336CB">
              <w:rPr>
                <w:rFonts w:asciiTheme="minorHAnsi" w:hAnsiTheme="minorHAnsi"/>
                <w:color w:val="000000"/>
              </w:rPr>
              <w:lastRenderedPageBreak/>
              <w:t>to recognise that while the Working Memory Model offers valuable insights, it does not fully account for all factors influencing behaviour, such as organisational pressures and environmental constraints.</w:t>
            </w:r>
          </w:p>
          <w:p w14:paraId="27A3CC7B" w14:textId="05025F86" w:rsidR="00F336CB" w:rsidRDefault="00F336CB" w:rsidP="00F336CB">
            <w:pPr>
              <w:pStyle w:val="NormalWeb"/>
              <w:spacing w:line="360" w:lineRule="auto"/>
              <w:rPr>
                <w:rFonts w:asciiTheme="minorHAnsi" w:hAnsiTheme="minorHAnsi"/>
                <w:color w:val="000000"/>
              </w:rPr>
            </w:pPr>
            <w:r w:rsidRPr="00F336CB">
              <w:rPr>
                <w:rFonts w:asciiTheme="minorHAnsi" w:hAnsiTheme="minorHAnsi"/>
                <w:color w:val="000000"/>
              </w:rPr>
              <w:t xml:space="preserve">Therefore, it is recommended that future approaches adopt a more holistic perspective, combining cognitive theory with organisational changes to address both individual and systemic contributors to error. By doing so, healthcare organisations can better support staff performance while also enhancing patient safety. Overall, the application of the Working Memory Model provides a useful starting point for understanding and addressing the issues highlighted in this </w:t>
            </w:r>
            <w:proofErr w:type="gramStart"/>
            <w:r w:rsidRPr="00F336CB">
              <w:rPr>
                <w:rFonts w:asciiTheme="minorHAnsi" w:hAnsiTheme="minorHAnsi"/>
                <w:color w:val="000000"/>
              </w:rPr>
              <w:t>case, but</w:t>
            </w:r>
            <w:proofErr w:type="gramEnd"/>
            <w:r w:rsidRPr="00F336CB">
              <w:rPr>
                <w:rFonts w:asciiTheme="minorHAnsi" w:hAnsiTheme="minorHAnsi"/>
                <w:color w:val="000000"/>
              </w:rPr>
              <w:t xml:space="preserve"> should be integrated with broader strategies to achieve effective and sustainable improvements.</w:t>
            </w:r>
          </w:p>
          <w:p w14:paraId="5C64C979" w14:textId="77777777" w:rsidR="00F336CB" w:rsidRPr="00F336CB" w:rsidRDefault="00F336CB" w:rsidP="00F336CB">
            <w:pPr>
              <w:pStyle w:val="NormalWeb"/>
              <w:spacing w:line="360" w:lineRule="auto"/>
              <w:rPr>
                <w:rFonts w:asciiTheme="minorHAnsi" w:hAnsiTheme="minorHAnsi"/>
                <w:color w:val="000000"/>
              </w:rPr>
            </w:pPr>
          </w:p>
          <w:p w14:paraId="46B3BE5A" w14:textId="55103C02" w:rsidR="00F336CB" w:rsidRPr="00F336CB" w:rsidRDefault="00F336CB" w:rsidP="00F336CB">
            <w:pPr>
              <w:spacing w:line="360" w:lineRule="auto"/>
            </w:pPr>
          </w:p>
        </w:tc>
        <w:tc>
          <w:tcPr>
            <w:tcW w:w="967" w:type="dxa"/>
            <w:vMerge/>
            <w:shd w:val="clear" w:color="auto" w:fill="00C1C7" w:themeFill="accent2"/>
          </w:tcPr>
          <w:p w14:paraId="789A6779" w14:textId="77777777" w:rsidR="0031055C" w:rsidRPr="003A798E" w:rsidRDefault="0031055C" w:rsidP="00D6375E"/>
        </w:tc>
      </w:tr>
    </w:tbl>
    <w:p w14:paraId="7CD2BC04" w14:textId="77777777" w:rsidR="0098239A" w:rsidRDefault="0098239A"/>
    <w:p w14:paraId="7754AE3D" w14:textId="77777777" w:rsidR="00F336CB" w:rsidRDefault="00F336CB" w:rsidP="0098239A">
      <w:pPr>
        <w:pStyle w:val="Heading2"/>
        <w:jc w:val="center"/>
        <w:rPr>
          <w:noProof/>
          <w:lang w:eastAsia="en-AU"/>
        </w:rPr>
      </w:pPr>
    </w:p>
    <w:p w14:paraId="308693EB" w14:textId="77777777" w:rsidR="00F336CB" w:rsidRDefault="00F336CB" w:rsidP="00F336CB">
      <w:pPr>
        <w:rPr>
          <w:lang w:eastAsia="en-AU"/>
        </w:rPr>
      </w:pPr>
    </w:p>
    <w:p w14:paraId="3EEE250A" w14:textId="77777777" w:rsidR="00F336CB" w:rsidRPr="00F336CB" w:rsidRDefault="00F336CB" w:rsidP="00F336CB">
      <w:pPr>
        <w:rPr>
          <w:lang w:eastAsia="en-AU"/>
        </w:rPr>
      </w:pPr>
    </w:p>
    <w:p w14:paraId="416841F1" w14:textId="77777777" w:rsidR="00F336CB" w:rsidRDefault="00F336CB" w:rsidP="0098239A">
      <w:pPr>
        <w:pStyle w:val="Heading2"/>
        <w:jc w:val="center"/>
        <w:rPr>
          <w:noProof/>
          <w:lang w:eastAsia="en-AU"/>
        </w:rPr>
      </w:pPr>
    </w:p>
    <w:p w14:paraId="7B6D3686" w14:textId="77777777" w:rsidR="00F336CB" w:rsidRDefault="00F336CB" w:rsidP="0098239A">
      <w:pPr>
        <w:pStyle w:val="Heading2"/>
        <w:jc w:val="center"/>
        <w:rPr>
          <w:noProof/>
          <w:lang w:eastAsia="en-AU"/>
        </w:rPr>
      </w:pPr>
    </w:p>
    <w:p w14:paraId="4063F1AD" w14:textId="4FDA0E8E" w:rsidR="006B2F4E" w:rsidRDefault="0098239A" w:rsidP="0098239A">
      <w:pPr>
        <w:pStyle w:val="Heading2"/>
        <w:jc w:val="center"/>
        <w:rPr>
          <w:noProof/>
          <w:lang w:eastAsia="en-AU"/>
        </w:rPr>
      </w:pPr>
      <w:r>
        <w:rPr>
          <w:noProof/>
          <w:lang w:eastAsia="en-AU"/>
        </w:rPr>
        <w:t>REFERENCE LIST</w:t>
      </w:r>
    </w:p>
    <w:p w14:paraId="61F4C25D" w14:textId="77777777" w:rsidR="006B2F4E" w:rsidRDefault="006B2F4E" w:rsidP="0098239A">
      <w:pPr>
        <w:pStyle w:val="Heading2"/>
        <w:jc w:val="center"/>
        <w:rPr>
          <w:noProof/>
          <w:lang w:eastAsia="en-AU"/>
        </w:rPr>
      </w:pPr>
    </w:p>
    <w:p w14:paraId="66C8A1FD" w14:textId="77777777" w:rsidR="00F336CB" w:rsidRDefault="00F336CB" w:rsidP="0098239A">
      <w:pPr>
        <w:pStyle w:val="Heading2"/>
        <w:jc w:val="center"/>
      </w:pPr>
    </w:p>
    <w:p w14:paraId="71C58CFB" w14:textId="5F64B7D6"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Baddeley, A. D. (1996). Exploring the central executive. </w:t>
      </w:r>
      <w:r w:rsidRPr="00F336CB">
        <w:rPr>
          <w:rFonts w:eastAsia="Times New Roman" w:cs="Times New Roman"/>
          <w:i/>
          <w:iCs/>
          <w:color w:val="000000"/>
          <w:lang w:val="en-GB" w:eastAsia="en-GB"/>
        </w:rPr>
        <w:t>Quarterly Journal of Experimental Psychology, 49</w:t>
      </w:r>
      <w:proofErr w:type="gramStart"/>
      <w:r w:rsidRPr="00F336CB">
        <w:rPr>
          <w:rFonts w:eastAsia="Times New Roman" w:cs="Times New Roman"/>
          <w:i/>
          <w:iCs/>
          <w:color w:val="000000"/>
          <w:lang w:val="en-GB" w:eastAsia="en-GB"/>
        </w:rPr>
        <w:t>A</w:t>
      </w:r>
      <w:r w:rsidRPr="00F336CB">
        <w:rPr>
          <w:rFonts w:eastAsia="Times New Roman" w:cs="Times New Roman"/>
          <w:color w:val="000000"/>
          <w:lang w:val="en-GB" w:eastAsia="en-GB"/>
        </w:rPr>
        <w:t>(</w:t>
      </w:r>
      <w:proofErr w:type="gramEnd"/>
      <w:r w:rsidRPr="00F336CB">
        <w:rPr>
          <w:rFonts w:eastAsia="Times New Roman" w:cs="Times New Roman"/>
          <w:color w:val="000000"/>
          <w:lang w:val="en-GB" w:eastAsia="en-GB"/>
        </w:rPr>
        <w:t>1), 5–28. </w:t>
      </w:r>
      <w:hyperlink r:id="rId9" w:history="1">
        <w:r w:rsidRPr="005A6FB5">
          <w:rPr>
            <w:rStyle w:val="Hyperlink"/>
            <w:rFonts w:eastAsia="Times New Roman" w:cs="Times New Roman"/>
            <w:lang w:val="en-GB" w:eastAsia="en-GB"/>
          </w:rPr>
          <w:t>https://journals.sagepub.com/doi/10.1080/713755608</w:t>
        </w:r>
      </w:hyperlink>
    </w:p>
    <w:p w14:paraId="666FAEC6" w14:textId="3DD9E1B6"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Baddeley, A. D. (2000). The episodic buffer: A new component of working memory? </w:t>
      </w:r>
      <w:r w:rsidRPr="00F336CB">
        <w:rPr>
          <w:rFonts w:eastAsia="Times New Roman" w:cs="Times New Roman"/>
          <w:i/>
          <w:iCs/>
          <w:color w:val="000000"/>
          <w:lang w:val="en-GB" w:eastAsia="en-GB"/>
        </w:rPr>
        <w:t>Trends in Cognitive Sciences, 4</w:t>
      </w:r>
      <w:r w:rsidRPr="00F336CB">
        <w:rPr>
          <w:rFonts w:eastAsia="Times New Roman" w:cs="Times New Roman"/>
          <w:color w:val="000000"/>
          <w:lang w:val="en-GB" w:eastAsia="en-GB"/>
        </w:rPr>
        <w:t>(11), 417–423. </w:t>
      </w:r>
      <w:hyperlink r:id="rId10" w:history="1">
        <w:r w:rsidR="00927E0C" w:rsidRPr="005A6FB5">
          <w:rPr>
            <w:rStyle w:val="Hyperlink"/>
            <w:rFonts w:eastAsia="Times New Roman" w:cs="Times New Roman"/>
            <w:lang w:val="en-GB" w:eastAsia="en-GB"/>
          </w:rPr>
          <w:t>https://www.cell.com/trends/cognitive-sciences/fulltext/S1364-6613(00)01538-2?_returnURL=https%3A%2F%2Flinkinghub.elsevier.com%2Fretrieve%2Fpii%2FS1364661300015382%3Fshowall%3Dtrue</w:t>
        </w:r>
      </w:hyperlink>
    </w:p>
    <w:p w14:paraId="59E2FCED" w14:textId="7143CAAB"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Baddeley, A. D., &amp; Hitch, G. J. (1974). Working memory. In G. H. Bower (Ed.), </w:t>
      </w:r>
      <w:r w:rsidRPr="00F336CB">
        <w:rPr>
          <w:rFonts w:eastAsia="Times New Roman" w:cs="Times New Roman"/>
          <w:i/>
          <w:iCs/>
          <w:color w:val="000000"/>
          <w:lang w:val="en-GB" w:eastAsia="en-GB"/>
        </w:rPr>
        <w:t>The psychology of learning and motivation</w:t>
      </w:r>
      <w:r w:rsidRPr="00F336CB">
        <w:rPr>
          <w:rFonts w:eastAsia="Times New Roman" w:cs="Times New Roman"/>
          <w:color w:val="000000"/>
          <w:lang w:val="en-GB" w:eastAsia="en-GB"/>
        </w:rPr>
        <w:t> (Vol. 8, pp. 47–89). Academic Press. </w:t>
      </w:r>
      <w:hyperlink r:id="rId11" w:history="1">
        <w:r w:rsidR="00927E0C" w:rsidRPr="005A6FB5">
          <w:rPr>
            <w:rStyle w:val="Hyperlink"/>
            <w:rFonts w:eastAsia="Times New Roman" w:cs="Times New Roman"/>
            <w:lang w:val="en-GB" w:eastAsia="en-GB"/>
          </w:rPr>
          <w:t>https://www.sciencedirect.com/science/chapter/bookseries/abs/pii/S0079742108604521?via%3Dihub</w:t>
        </w:r>
      </w:hyperlink>
    </w:p>
    <w:p w14:paraId="7331DD5D" w14:textId="6BFEA504"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Baddeley, A. D., Thomson, N., &amp; Buchanan, M. (1975). Word length and the structure of short-term memory. </w:t>
      </w:r>
      <w:r w:rsidRPr="00F336CB">
        <w:rPr>
          <w:rFonts w:eastAsia="Times New Roman" w:cs="Times New Roman"/>
          <w:i/>
          <w:iCs/>
          <w:color w:val="000000"/>
          <w:lang w:val="en-GB" w:eastAsia="en-GB"/>
        </w:rPr>
        <w:t xml:space="preserve">Journal of Verbal Learning and Verbal </w:t>
      </w:r>
      <w:proofErr w:type="spellStart"/>
      <w:r w:rsidRPr="00F336CB">
        <w:rPr>
          <w:rFonts w:eastAsia="Times New Roman" w:cs="Times New Roman"/>
          <w:i/>
          <w:iCs/>
          <w:color w:val="000000"/>
          <w:lang w:val="en-GB" w:eastAsia="en-GB"/>
        </w:rPr>
        <w:t>Behavior</w:t>
      </w:r>
      <w:proofErr w:type="spellEnd"/>
      <w:r w:rsidRPr="00F336CB">
        <w:rPr>
          <w:rFonts w:eastAsia="Times New Roman" w:cs="Times New Roman"/>
          <w:i/>
          <w:iCs/>
          <w:color w:val="000000"/>
          <w:lang w:val="en-GB" w:eastAsia="en-GB"/>
        </w:rPr>
        <w:t>, 14</w:t>
      </w:r>
      <w:r w:rsidRPr="00F336CB">
        <w:rPr>
          <w:rFonts w:eastAsia="Times New Roman" w:cs="Times New Roman"/>
          <w:color w:val="000000"/>
          <w:lang w:val="en-GB" w:eastAsia="en-GB"/>
        </w:rPr>
        <w:t>(6), 575–589. </w:t>
      </w:r>
      <w:hyperlink r:id="rId12" w:history="1">
        <w:r w:rsidR="00927E0C" w:rsidRPr="005A6FB5">
          <w:rPr>
            <w:rStyle w:val="Hyperlink"/>
            <w:rFonts w:eastAsia="Times New Roman" w:cs="Times New Roman"/>
            <w:lang w:val="en-GB" w:eastAsia="en-GB"/>
          </w:rPr>
          <w:t>https://www.sciencedirect.com/science/article/abs/pii/S0022537175800454?via%3Dihub</w:t>
        </w:r>
      </w:hyperlink>
    </w:p>
    <w:p w14:paraId="09EC84DF" w14:textId="0D1D6B50" w:rsidR="00F336CB" w:rsidRPr="00F336CB" w:rsidRDefault="00F336CB" w:rsidP="00F336CB">
      <w:pPr>
        <w:spacing w:before="100" w:beforeAutospacing="1" w:after="100" w:afterAutospacing="1"/>
        <w:rPr>
          <w:rFonts w:eastAsia="Times New Roman" w:cs="Times New Roman"/>
          <w:color w:val="000000"/>
          <w:lang w:val="en-GB" w:eastAsia="en-GB"/>
        </w:rPr>
      </w:pPr>
      <w:proofErr w:type="spellStart"/>
      <w:r w:rsidRPr="00F336CB">
        <w:rPr>
          <w:rFonts w:eastAsia="Times New Roman" w:cs="Times New Roman"/>
          <w:color w:val="000000"/>
          <w:lang w:val="en-GB" w:eastAsia="en-GB"/>
        </w:rPr>
        <w:t>Carayon</w:t>
      </w:r>
      <w:proofErr w:type="spellEnd"/>
      <w:r w:rsidRPr="00F336CB">
        <w:rPr>
          <w:rFonts w:eastAsia="Times New Roman" w:cs="Times New Roman"/>
          <w:color w:val="000000"/>
          <w:lang w:val="en-GB" w:eastAsia="en-GB"/>
        </w:rPr>
        <w:t xml:space="preserve">, P., Schoofs Hundt, A., Karsh, B. T., </w:t>
      </w:r>
      <w:proofErr w:type="spellStart"/>
      <w:r w:rsidRPr="00F336CB">
        <w:rPr>
          <w:rFonts w:eastAsia="Times New Roman" w:cs="Times New Roman"/>
          <w:color w:val="000000"/>
          <w:lang w:val="en-GB" w:eastAsia="en-GB"/>
        </w:rPr>
        <w:t>Gurses</w:t>
      </w:r>
      <w:proofErr w:type="spellEnd"/>
      <w:r w:rsidRPr="00F336CB">
        <w:rPr>
          <w:rFonts w:eastAsia="Times New Roman" w:cs="Times New Roman"/>
          <w:color w:val="000000"/>
          <w:lang w:val="en-GB" w:eastAsia="en-GB"/>
        </w:rPr>
        <w:t>, A. P., Alvarado, C. J., Smith, M., &amp; Flatley Brennan, P. (2014). Work system design for patient safety: The SEIPS model. </w:t>
      </w:r>
      <w:r w:rsidRPr="00F336CB">
        <w:rPr>
          <w:rFonts w:eastAsia="Times New Roman" w:cs="Times New Roman"/>
          <w:i/>
          <w:iCs/>
          <w:color w:val="000000"/>
          <w:lang w:val="en-GB" w:eastAsia="en-GB"/>
        </w:rPr>
        <w:t>Quality &amp; Safety in Health Care, 15</w:t>
      </w:r>
      <w:r w:rsidRPr="00F336CB">
        <w:rPr>
          <w:rFonts w:eastAsia="Times New Roman" w:cs="Times New Roman"/>
          <w:color w:val="000000"/>
          <w:lang w:val="en-GB" w:eastAsia="en-GB"/>
        </w:rPr>
        <w:t>(</w:t>
      </w:r>
      <w:proofErr w:type="spellStart"/>
      <w:r w:rsidRPr="00F336CB">
        <w:rPr>
          <w:rFonts w:eastAsia="Times New Roman" w:cs="Times New Roman"/>
          <w:color w:val="000000"/>
          <w:lang w:val="en-GB" w:eastAsia="en-GB"/>
        </w:rPr>
        <w:t>Suppl</w:t>
      </w:r>
      <w:proofErr w:type="spellEnd"/>
      <w:r w:rsidRPr="00F336CB">
        <w:rPr>
          <w:rFonts w:eastAsia="Times New Roman" w:cs="Times New Roman"/>
          <w:color w:val="000000"/>
          <w:lang w:val="en-GB" w:eastAsia="en-GB"/>
        </w:rPr>
        <w:t xml:space="preserve"> 1), i50–i58. </w:t>
      </w:r>
      <w:hyperlink r:id="rId13" w:history="1">
        <w:r w:rsidR="00927E0C" w:rsidRPr="005A6FB5">
          <w:rPr>
            <w:rStyle w:val="Hyperlink"/>
            <w:rFonts w:eastAsia="Times New Roman" w:cs="Times New Roman"/>
            <w:lang w:val="en-GB" w:eastAsia="en-GB"/>
          </w:rPr>
          <w:t>https://qualitysafety.bmj.com/content/15/suppl_1/i50</w:t>
        </w:r>
      </w:hyperlink>
    </w:p>
    <w:p w14:paraId="2A136E8F" w14:textId="348D1C98"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Caruso, C. C. (2014). Negative impacts of shiftwork and long work hours. </w:t>
      </w:r>
      <w:r w:rsidRPr="00F336CB">
        <w:rPr>
          <w:rFonts w:eastAsia="Times New Roman" w:cs="Times New Roman"/>
          <w:i/>
          <w:iCs/>
          <w:color w:val="000000"/>
          <w:lang w:val="en-GB" w:eastAsia="en-GB"/>
        </w:rPr>
        <w:t>Rehabilitation Nursing, 39</w:t>
      </w:r>
      <w:r w:rsidRPr="00F336CB">
        <w:rPr>
          <w:rFonts w:eastAsia="Times New Roman" w:cs="Times New Roman"/>
          <w:color w:val="000000"/>
          <w:lang w:val="en-GB" w:eastAsia="en-GB"/>
        </w:rPr>
        <w:t>(1), 16–25. </w:t>
      </w:r>
      <w:hyperlink r:id="rId14" w:history="1">
        <w:r w:rsidR="00927E0C" w:rsidRPr="005A6FB5">
          <w:rPr>
            <w:rStyle w:val="Hyperlink"/>
            <w:rFonts w:eastAsia="Times New Roman" w:cs="Times New Roman"/>
            <w:lang w:val="en-GB" w:eastAsia="en-GB"/>
          </w:rPr>
          <w:t>https://journals.lww.com/rehabnursingjournal/abstract/2014/01000/negative_impacts_of_shiftwork_and_long_work_hours.3.aspx</w:t>
        </w:r>
      </w:hyperlink>
    </w:p>
    <w:p w14:paraId="5C40C6DF" w14:textId="33FD5720"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Engle, R. W. (2002). Working memory capacity as executive attention. </w:t>
      </w:r>
      <w:r w:rsidRPr="00F336CB">
        <w:rPr>
          <w:rFonts w:eastAsia="Times New Roman" w:cs="Times New Roman"/>
          <w:i/>
          <w:iCs/>
          <w:color w:val="000000"/>
          <w:lang w:val="en-GB" w:eastAsia="en-GB"/>
        </w:rPr>
        <w:t>Current Directions in Psychological Science, 11</w:t>
      </w:r>
      <w:r w:rsidRPr="00F336CB">
        <w:rPr>
          <w:rFonts w:eastAsia="Times New Roman" w:cs="Times New Roman"/>
          <w:color w:val="000000"/>
          <w:lang w:val="en-GB" w:eastAsia="en-GB"/>
        </w:rPr>
        <w:t>(1), 19–23. </w:t>
      </w:r>
      <w:hyperlink r:id="rId15" w:history="1">
        <w:r w:rsidR="00927E0C" w:rsidRPr="005A6FB5">
          <w:rPr>
            <w:rStyle w:val="Hyperlink"/>
            <w:rFonts w:eastAsia="Times New Roman" w:cs="Times New Roman"/>
            <w:lang w:val="en-GB" w:eastAsia="en-GB"/>
          </w:rPr>
          <w:t>https://journals.sagepub.com/doi/10.1111/1467-8721.00160</w:t>
        </w:r>
      </w:hyperlink>
    </w:p>
    <w:p w14:paraId="73ACEB7F" w14:textId="43958D4C"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Hancock, P. A., &amp; Warm, J. S. (1989). A dynamic model of stress and sustained attention. </w:t>
      </w:r>
      <w:r w:rsidRPr="00F336CB">
        <w:rPr>
          <w:rFonts w:eastAsia="Times New Roman" w:cs="Times New Roman"/>
          <w:i/>
          <w:iCs/>
          <w:color w:val="000000"/>
          <w:lang w:val="en-GB" w:eastAsia="en-GB"/>
        </w:rPr>
        <w:t>Human Factors, 31</w:t>
      </w:r>
      <w:r w:rsidRPr="00F336CB">
        <w:rPr>
          <w:rFonts w:eastAsia="Times New Roman" w:cs="Times New Roman"/>
          <w:color w:val="000000"/>
          <w:lang w:val="en-GB" w:eastAsia="en-GB"/>
        </w:rPr>
        <w:t>(5), 519–537. </w:t>
      </w:r>
      <w:hyperlink r:id="rId16" w:history="1">
        <w:r w:rsidR="00927E0C" w:rsidRPr="005A6FB5">
          <w:rPr>
            <w:rStyle w:val="Hyperlink"/>
            <w:rFonts w:eastAsia="Times New Roman" w:cs="Times New Roman"/>
            <w:lang w:val="en-GB" w:eastAsia="en-GB"/>
          </w:rPr>
          <w:t>https://journals.sagepub.com/doi/10.1177/001872088903100503</w:t>
        </w:r>
      </w:hyperlink>
    </w:p>
    <w:p w14:paraId="1F0D2AB1" w14:textId="480E1A0A"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Hockey, G. R. J. (1997). Compensatory control in the regulation of human performance under stress and high workload: A cognitive-energetical framework. </w:t>
      </w:r>
      <w:r w:rsidRPr="00F336CB">
        <w:rPr>
          <w:rFonts w:eastAsia="Times New Roman" w:cs="Times New Roman"/>
          <w:i/>
          <w:iCs/>
          <w:color w:val="000000"/>
          <w:lang w:val="en-GB" w:eastAsia="en-GB"/>
        </w:rPr>
        <w:t>Biological Psychology, 45</w:t>
      </w:r>
      <w:r w:rsidRPr="00F336CB">
        <w:rPr>
          <w:rFonts w:eastAsia="Times New Roman" w:cs="Times New Roman"/>
          <w:color w:val="000000"/>
          <w:lang w:val="en-GB" w:eastAsia="en-GB"/>
        </w:rPr>
        <w:t>(1–3), 73–93. </w:t>
      </w:r>
      <w:hyperlink r:id="rId17" w:history="1">
        <w:r w:rsidR="00927E0C" w:rsidRPr="005A6FB5">
          <w:rPr>
            <w:rStyle w:val="Hyperlink"/>
            <w:rFonts w:eastAsia="Times New Roman" w:cs="Times New Roman"/>
            <w:lang w:val="en-GB" w:eastAsia="en-GB"/>
          </w:rPr>
          <w:t>https://www.sciencedirect.com/science/article/abs/pii/S0301051196052234?via%3Dihub</w:t>
        </w:r>
      </w:hyperlink>
    </w:p>
    <w:p w14:paraId="2F5F934C" w14:textId="21D701E3" w:rsidR="00927E0C"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LeBlanc, V. R. (2009). The effects of acute stress on performance: Implications for health professions education. </w:t>
      </w:r>
      <w:r w:rsidRPr="00F336CB">
        <w:rPr>
          <w:rFonts w:eastAsia="Times New Roman" w:cs="Times New Roman"/>
          <w:i/>
          <w:iCs/>
          <w:color w:val="000000"/>
          <w:lang w:val="en-GB" w:eastAsia="en-GB"/>
        </w:rPr>
        <w:t>Academic Medicine, 84</w:t>
      </w:r>
      <w:r w:rsidRPr="00F336CB">
        <w:rPr>
          <w:rFonts w:eastAsia="Times New Roman" w:cs="Times New Roman"/>
          <w:color w:val="000000"/>
          <w:lang w:val="en-GB" w:eastAsia="en-GB"/>
        </w:rPr>
        <w:t>(10), S25–S33. </w:t>
      </w:r>
      <w:hyperlink r:id="rId18" w:history="1">
        <w:r w:rsidR="00927E0C" w:rsidRPr="005A6FB5">
          <w:rPr>
            <w:rStyle w:val="Hyperlink"/>
            <w:rFonts w:eastAsia="Times New Roman" w:cs="Times New Roman"/>
            <w:lang w:val="en-GB" w:eastAsia="en-GB"/>
          </w:rPr>
          <w:t>https://academic.oup.com/academicmedicine/article-abstract/84/Supplement_1/S25/8353618?redirectedFrom=fulltext</w:t>
        </w:r>
      </w:hyperlink>
    </w:p>
    <w:p w14:paraId="64787A93" w14:textId="36DBF555" w:rsidR="00F336CB" w:rsidRPr="00F336CB" w:rsidRDefault="00927E0C"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lastRenderedPageBreak/>
        <w:t xml:space="preserve"> </w:t>
      </w:r>
    </w:p>
    <w:p w14:paraId="60D24D6C" w14:textId="77777777" w:rsidR="00F336CB" w:rsidRPr="00F336CB" w:rsidRDefault="00F336CB" w:rsidP="00F336CB">
      <w:pPr>
        <w:spacing w:before="100" w:beforeAutospacing="1" w:after="100" w:afterAutospacing="1"/>
        <w:rPr>
          <w:rFonts w:eastAsia="Times New Roman" w:cs="Times New Roman"/>
          <w:color w:val="000000"/>
          <w:lang w:val="en-GB" w:eastAsia="en-GB"/>
        </w:rPr>
      </w:pPr>
      <w:proofErr w:type="spellStart"/>
      <w:r w:rsidRPr="00F336CB">
        <w:rPr>
          <w:rFonts w:eastAsia="Times New Roman" w:cs="Times New Roman"/>
          <w:color w:val="000000"/>
          <w:lang w:val="en-GB" w:eastAsia="en-GB"/>
        </w:rPr>
        <w:t>Logie</w:t>
      </w:r>
      <w:proofErr w:type="spellEnd"/>
      <w:r w:rsidRPr="00F336CB">
        <w:rPr>
          <w:rFonts w:eastAsia="Times New Roman" w:cs="Times New Roman"/>
          <w:color w:val="000000"/>
          <w:lang w:val="en-GB" w:eastAsia="en-GB"/>
        </w:rPr>
        <w:t>, R. H. (1995). </w:t>
      </w:r>
      <w:r w:rsidRPr="00F336CB">
        <w:rPr>
          <w:rFonts w:eastAsia="Times New Roman" w:cs="Times New Roman"/>
          <w:i/>
          <w:iCs/>
          <w:color w:val="000000"/>
          <w:lang w:val="en-GB" w:eastAsia="en-GB"/>
        </w:rPr>
        <w:t>Visuo-spatial working memory</w:t>
      </w:r>
      <w:r w:rsidRPr="00F336CB">
        <w:rPr>
          <w:rFonts w:eastAsia="Times New Roman" w:cs="Times New Roman"/>
          <w:color w:val="000000"/>
          <w:lang w:val="en-GB" w:eastAsia="en-GB"/>
        </w:rPr>
        <w:t>. Lawrence Erlbaum Associates.</w:t>
      </w:r>
    </w:p>
    <w:p w14:paraId="7EF1001F" w14:textId="77777777"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Matthews, G., Davies, D. R., Westerman, S. J., &amp; Stammers, R. B. (2000). </w:t>
      </w:r>
      <w:r w:rsidRPr="00F336CB">
        <w:rPr>
          <w:rFonts w:eastAsia="Times New Roman" w:cs="Times New Roman"/>
          <w:i/>
          <w:iCs/>
          <w:color w:val="000000"/>
          <w:lang w:val="en-GB" w:eastAsia="en-GB"/>
        </w:rPr>
        <w:t>Human performance: Cognition, stress, and individual differences</w:t>
      </w:r>
      <w:r w:rsidRPr="00F336CB">
        <w:rPr>
          <w:rFonts w:eastAsia="Times New Roman" w:cs="Times New Roman"/>
          <w:color w:val="000000"/>
          <w:lang w:val="en-GB" w:eastAsia="en-GB"/>
        </w:rPr>
        <w:t>. Psychology Press.</w:t>
      </w:r>
    </w:p>
    <w:p w14:paraId="7E9EA7EF" w14:textId="1BAD0165"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 xml:space="preserve">Miyake, A., Friedman, N. P., Emerson, M. J., </w:t>
      </w:r>
      <w:proofErr w:type="spellStart"/>
      <w:r w:rsidRPr="00F336CB">
        <w:rPr>
          <w:rFonts w:eastAsia="Times New Roman" w:cs="Times New Roman"/>
          <w:color w:val="000000"/>
          <w:lang w:val="en-GB" w:eastAsia="en-GB"/>
        </w:rPr>
        <w:t>Witzki</w:t>
      </w:r>
      <w:proofErr w:type="spellEnd"/>
      <w:r w:rsidRPr="00F336CB">
        <w:rPr>
          <w:rFonts w:eastAsia="Times New Roman" w:cs="Times New Roman"/>
          <w:color w:val="000000"/>
          <w:lang w:val="en-GB" w:eastAsia="en-GB"/>
        </w:rPr>
        <w:t>, A. H., Howerter, A., &amp; Wager, T. D. (2000). The unity and diversity of executive functions and their contributions to complex tasks. </w:t>
      </w:r>
      <w:r w:rsidRPr="00F336CB">
        <w:rPr>
          <w:rFonts w:eastAsia="Times New Roman" w:cs="Times New Roman"/>
          <w:i/>
          <w:iCs/>
          <w:color w:val="000000"/>
          <w:lang w:val="en-GB" w:eastAsia="en-GB"/>
        </w:rPr>
        <w:t>Cognitive Psychology, 41</w:t>
      </w:r>
      <w:r w:rsidRPr="00F336CB">
        <w:rPr>
          <w:rFonts w:eastAsia="Times New Roman" w:cs="Times New Roman"/>
          <w:color w:val="000000"/>
          <w:lang w:val="en-GB" w:eastAsia="en-GB"/>
        </w:rPr>
        <w:t>(1), 49–100. </w:t>
      </w:r>
      <w:hyperlink r:id="rId19" w:history="1">
        <w:r w:rsidR="00927E0C" w:rsidRPr="005A6FB5">
          <w:rPr>
            <w:rStyle w:val="Hyperlink"/>
            <w:rFonts w:eastAsia="Times New Roman" w:cs="Times New Roman"/>
            <w:lang w:val="en-GB" w:eastAsia="en-GB"/>
          </w:rPr>
          <w:t>https://www.sciencedirect.com/science/article/abs/pii/S001002859990734X?via%3Dihub</w:t>
        </w:r>
      </w:hyperlink>
    </w:p>
    <w:p w14:paraId="6141A9A6" w14:textId="044E0443"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 xml:space="preserve">Pronovost, P., Needham, D., </w:t>
      </w:r>
      <w:proofErr w:type="spellStart"/>
      <w:r w:rsidRPr="00F336CB">
        <w:rPr>
          <w:rFonts w:eastAsia="Times New Roman" w:cs="Times New Roman"/>
          <w:color w:val="000000"/>
          <w:lang w:val="en-GB" w:eastAsia="en-GB"/>
        </w:rPr>
        <w:t>Berenholtz</w:t>
      </w:r>
      <w:proofErr w:type="spellEnd"/>
      <w:r w:rsidRPr="00F336CB">
        <w:rPr>
          <w:rFonts w:eastAsia="Times New Roman" w:cs="Times New Roman"/>
          <w:color w:val="000000"/>
          <w:lang w:val="en-GB" w:eastAsia="en-GB"/>
        </w:rPr>
        <w:t xml:space="preserve">, S., Sinopoli, D., Chu, H., Cosgrove, S., Sexton, B., Hyzy, R., Welsh, R., Roth, G., Bander, J., </w:t>
      </w:r>
      <w:proofErr w:type="spellStart"/>
      <w:r w:rsidRPr="00F336CB">
        <w:rPr>
          <w:rFonts w:eastAsia="Times New Roman" w:cs="Times New Roman"/>
          <w:color w:val="000000"/>
          <w:lang w:val="en-GB" w:eastAsia="en-GB"/>
        </w:rPr>
        <w:t>Kepros</w:t>
      </w:r>
      <w:proofErr w:type="spellEnd"/>
      <w:r w:rsidRPr="00F336CB">
        <w:rPr>
          <w:rFonts w:eastAsia="Times New Roman" w:cs="Times New Roman"/>
          <w:color w:val="000000"/>
          <w:lang w:val="en-GB" w:eastAsia="en-GB"/>
        </w:rPr>
        <w:t>, J., &amp; Goeschel, C. (2006). An intervention to decrease catheter-related bloodstream infections in the ICU. </w:t>
      </w:r>
      <w:r w:rsidRPr="00F336CB">
        <w:rPr>
          <w:rFonts w:eastAsia="Times New Roman" w:cs="Times New Roman"/>
          <w:i/>
          <w:iCs/>
          <w:color w:val="000000"/>
          <w:lang w:val="en-GB" w:eastAsia="en-GB"/>
        </w:rPr>
        <w:t>New England Journal of Medicine, 355</w:t>
      </w:r>
      <w:r w:rsidRPr="00F336CB">
        <w:rPr>
          <w:rFonts w:eastAsia="Times New Roman" w:cs="Times New Roman"/>
          <w:color w:val="000000"/>
          <w:lang w:val="en-GB" w:eastAsia="en-GB"/>
        </w:rPr>
        <w:t>(26), 2725–2732. </w:t>
      </w:r>
      <w:hyperlink r:id="rId20" w:history="1">
        <w:r w:rsidR="00927E0C" w:rsidRPr="005A6FB5">
          <w:rPr>
            <w:rStyle w:val="Hyperlink"/>
            <w:rFonts w:eastAsia="Times New Roman" w:cs="Times New Roman"/>
            <w:lang w:val="en-GB" w:eastAsia="en-GB"/>
          </w:rPr>
          <w:t>https://www.nejm.org/doi/full/10.1056/NEJMoa061115</w:t>
        </w:r>
      </w:hyperlink>
    </w:p>
    <w:p w14:paraId="5E69F8C6" w14:textId="77777777" w:rsidR="00F336CB" w:rsidRPr="00F336CB" w:rsidRDefault="00F336CB" w:rsidP="00F336CB">
      <w:pPr>
        <w:spacing w:before="100" w:beforeAutospacing="1" w:after="100" w:afterAutospacing="1"/>
        <w:rPr>
          <w:rFonts w:eastAsia="Times New Roman" w:cs="Times New Roman"/>
          <w:color w:val="000000"/>
          <w:lang w:val="en-GB" w:eastAsia="en-GB"/>
        </w:rPr>
      </w:pPr>
      <w:r w:rsidRPr="00F336CB">
        <w:rPr>
          <w:rFonts w:eastAsia="Times New Roman" w:cs="Times New Roman"/>
          <w:color w:val="000000"/>
          <w:lang w:val="en-GB" w:eastAsia="en-GB"/>
        </w:rPr>
        <w:t>Reason, J. (1990). </w:t>
      </w:r>
      <w:r w:rsidRPr="00F336CB">
        <w:rPr>
          <w:rFonts w:eastAsia="Times New Roman" w:cs="Times New Roman"/>
          <w:i/>
          <w:iCs/>
          <w:color w:val="000000"/>
          <w:lang w:val="en-GB" w:eastAsia="en-GB"/>
        </w:rPr>
        <w:t>Human error</w:t>
      </w:r>
      <w:r w:rsidRPr="00F336CB">
        <w:rPr>
          <w:rFonts w:eastAsia="Times New Roman" w:cs="Times New Roman"/>
          <w:color w:val="000000"/>
          <w:lang w:val="en-GB" w:eastAsia="en-GB"/>
        </w:rPr>
        <w:t>. Cambridge University Press.</w:t>
      </w:r>
    </w:p>
    <w:p w14:paraId="18B7BD7B" w14:textId="52CB92B9" w:rsidR="00A81248" w:rsidRPr="003A798E" w:rsidRDefault="00C66528" w:rsidP="00F336CB">
      <w:pPr>
        <w:pStyle w:val="Heading2"/>
      </w:pPr>
      <w:r w:rsidRPr="003A798E">
        <w:rPr>
          <w:noProof/>
          <w:lang w:eastAsia="en-AU"/>
        </w:rPr>
        <mc:AlternateContent>
          <mc:Choice Requires="wps">
            <w:drawing>
              <wp:anchor distT="0" distB="0" distL="114300" distR="114300" simplePos="0" relativeHeight="251661312" behindDoc="1" locked="0" layoutInCell="1" allowOverlap="1" wp14:anchorId="6598AA6A" wp14:editId="1C28B894">
                <wp:simplePos x="0" y="0"/>
                <wp:positionH relativeFrom="column">
                  <wp:posOffset>-433449</wp:posOffset>
                </wp:positionH>
                <wp:positionV relativeFrom="paragraph">
                  <wp:posOffset>-8979487</wp:posOffset>
                </wp:positionV>
                <wp:extent cx="7771130" cy="11210307"/>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11210307"/>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06DB5D9D" id="Shape" o:spid="_x0000_s1026" alt="&quot;&quot;" style="position:absolute;margin-left:-34.15pt;margin-top:-707.05pt;width:611.9pt;height:882.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" path="m,14678r,6922l21600,3032,21600,,17075,,,14678xe" fillcolor="#123869 [3204]" stroked="f" strokeweight="1pt">
                <v:stroke miterlimit="4" joinstyle="miter"/>
                <v:path arrowok="t" o:extrusionok="f" o:connecttype="custom" o:connectlocs="3885565,5605154;3885565,5605154;3885565,5605154;3885565,5605154" o:connectangles="0,90,180,270"/>
              </v:shape>
            </w:pict>
          </mc:Fallback>
        </mc:AlternateContent>
      </w:r>
    </w:p>
    <w:sectPr w:rsidR="00A81248" w:rsidRPr="003A798E" w:rsidSect="00A24793">
      <w:footerReference w:type="even" r:id="rId21"/>
      <w:footerReference w:type="default" r:id="rId22"/>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AE45D3" w14:textId="77777777" w:rsidR="00813A4B" w:rsidRDefault="00813A4B" w:rsidP="001205A1">
      <w:r>
        <w:separator/>
      </w:r>
    </w:p>
  </w:endnote>
  <w:endnote w:type="continuationSeparator" w:id="0">
    <w:p w14:paraId="00D1D284" w14:textId="77777777" w:rsidR="00813A4B" w:rsidRDefault="00813A4B"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webkit-standard">
    <w:altName w:val="Cambria"/>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Content>
      <w:p w14:paraId="198F700F"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2ECA9D28"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358343"/>
      <w:docPartObj>
        <w:docPartGallery w:val="Page Numbers (Bottom of Page)"/>
        <w:docPartUnique/>
      </w:docPartObj>
    </w:sdtPr>
    <w:sdtContent>
      <w:p w14:paraId="31DC9860"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1EEB6C5" w14:textId="77777777" w:rsidTr="005F4F46">
      <w:tc>
        <w:tcPr>
          <w:tcW w:w="5395" w:type="dxa"/>
        </w:tcPr>
        <w:p w14:paraId="76CE729D" w14:textId="63E679B3" w:rsidR="001205A1" w:rsidRPr="001205A1" w:rsidRDefault="000A2B5E" w:rsidP="00C66528">
          <w:pPr>
            <w:pStyle w:val="Footer"/>
          </w:pPr>
          <w:r>
            <w:rPr>
              <w:color w:val="7F7F7F" w:themeColor="text1" w:themeTint="80"/>
            </w:rPr>
            <w:t>CASE REPORT</w:t>
          </w:r>
        </w:p>
      </w:tc>
      <w:tc>
        <w:tcPr>
          <w:tcW w:w="5395" w:type="dxa"/>
        </w:tcPr>
        <w:p w14:paraId="690FE5C5" w14:textId="77777777" w:rsidR="001205A1" w:rsidRPr="001205A1" w:rsidRDefault="001205A1" w:rsidP="001205A1">
          <w:pPr>
            <w:pStyle w:val="Footer"/>
          </w:pPr>
          <w:r w:rsidRPr="001205A1">
            <w:t xml:space="preserve">   </w:t>
          </w:r>
        </w:p>
      </w:tc>
    </w:tr>
  </w:tbl>
  <w:p w14:paraId="5DE6753D"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3B743" w14:textId="77777777" w:rsidR="00813A4B" w:rsidRDefault="00813A4B" w:rsidP="001205A1">
      <w:r>
        <w:separator/>
      </w:r>
    </w:p>
  </w:footnote>
  <w:footnote w:type="continuationSeparator" w:id="0">
    <w:p w14:paraId="57C1F911" w14:textId="77777777" w:rsidR="00813A4B" w:rsidRDefault="00813A4B"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66866"/>
    <w:rsid w:val="000A2B5E"/>
    <w:rsid w:val="000B0A4E"/>
    <w:rsid w:val="000C4ED1"/>
    <w:rsid w:val="000D5641"/>
    <w:rsid w:val="000E131D"/>
    <w:rsid w:val="000F0CE7"/>
    <w:rsid w:val="001205A1"/>
    <w:rsid w:val="00150074"/>
    <w:rsid w:val="00190FA9"/>
    <w:rsid w:val="001A5D89"/>
    <w:rsid w:val="00270B1F"/>
    <w:rsid w:val="002803FF"/>
    <w:rsid w:val="002877E8"/>
    <w:rsid w:val="002D03D7"/>
    <w:rsid w:val="002E7C4E"/>
    <w:rsid w:val="0031055C"/>
    <w:rsid w:val="0034143E"/>
    <w:rsid w:val="00356039"/>
    <w:rsid w:val="00371EE1"/>
    <w:rsid w:val="00387389"/>
    <w:rsid w:val="003A798E"/>
    <w:rsid w:val="003C15F1"/>
    <w:rsid w:val="00425A99"/>
    <w:rsid w:val="00450684"/>
    <w:rsid w:val="004920D5"/>
    <w:rsid w:val="004A1A14"/>
    <w:rsid w:val="005228C0"/>
    <w:rsid w:val="00540AEE"/>
    <w:rsid w:val="005E6B25"/>
    <w:rsid w:val="005F23F3"/>
    <w:rsid w:val="005F4F46"/>
    <w:rsid w:val="00605AF1"/>
    <w:rsid w:val="006175B6"/>
    <w:rsid w:val="00695A86"/>
    <w:rsid w:val="006B2F4E"/>
    <w:rsid w:val="006B7872"/>
    <w:rsid w:val="006C60E6"/>
    <w:rsid w:val="00766C02"/>
    <w:rsid w:val="007B0740"/>
    <w:rsid w:val="007C1BAB"/>
    <w:rsid w:val="007F5D93"/>
    <w:rsid w:val="00813A4B"/>
    <w:rsid w:val="00867615"/>
    <w:rsid w:val="00871889"/>
    <w:rsid w:val="00913380"/>
    <w:rsid w:val="00927E0C"/>
    <w:rsid w:val="0098239A"/>
    <w:rsid w:val="009B4F9A"/>
    <w:rsid w:val="009F0AF6"/>
    <w:rsid w:val="00A15CF7"/>
    <w:rsid w:val="00A24793"/>
    <w:rsid w:val="00A65495"/>
    <w:rsid w:val="00A81248"/>
    <w:rsid w:val="00AB1151"/>
    <w:rsid w:val="00AD3E33"/>
    <w:rsid w:val="00C175DE"/>
    <w:rsid w:val="00C66528"/>
    <w:rsid w:val="00C915F0"/>
    <w:rsid w:val="00D00181"/>
    <w:rsid w:val="00D720ED"/>
    <w:rsid w:val="00E904C6"/>
    <w:rsid w:val="00E90514"/>
    <w:rsid w:val="00ED2DC4"/>
    <w:rsid w:val="00F00899"/>
    <w:rsid w:val="00F21281"/>
    <w:rsid w:val="00F336CB"/>
    <w:rsid w:val="00F72E3E"/>
    <w:rsid w:val="00F95970"/>
    <w:rsid w:val="00FA38A4"/>
    <w:rsid w:val="00FB65B8"/>
    <w:rsid w:val="00FC49AE"/>
    <w:rsid w:val="00FD2FC3"/>
    <w:rsid w:val="00FF29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customStyle="1" w:styleId="apple-converted-space">
    <w:name w:val="apple-converted-space"/>
    <w:basedOn w:val="DefaultParagraphFont"/>
    <w:rsid w:val="006175B6"/>
  </w:style>
  <w:style w:type="paragraph" w:styleId="NormalWeb">
    <w:name w:val="Normal (Web)"/>
    <w:basedOn w:val="Normal"/>
    <w:uiPriority w:val="99"/>
    <w:semiHidden/>
    <w:unhideWhenUsed/>
    <w:rsid w:val="005F23F3"/>
    <w:pPr>
      <w:spacing w:before="100" w:beforeAutospacing="1" w:after="100" w:afterAutospacing="1"/>
    </w:pPr>
    <w:rPr>
      <w:rFonts w:ascii="Times New Roman" w:eastAsia="Times New Roman" w:hAnsi="Times New Roman" w:cs="Times New Roman"/>
      <w:lang w:val="en-GB" w:eastAsia="en-GB"/>
    </w:rPr>
  </w:style>
  <w:style w:type="character" w:styleId="Strong">
    <w:name w:val="Strong"/>
    <w:basedOn w:val="DefaultParagraphFont"/>
    <w:uiPriority w:val="22"/>
    <w:qFormat/>
    <w:rsid w:val="002D03D7"/>
    <w:rPr>
      <w:b/>
      <w:bCs/>
    </w:rPr>
  </w:style>
  <w:style w:type="character" w:styleId="Hyperlink">
    <w:name w:val="Hyperlink"/>
    <w:basedOn w:val="DefaultParagraphFont"/>
    <w:uiPriority w:val="99"/>
    <w:unhideWhenUsed/>
    <w:rsid w:val="00F336CB"/>
    <w:rPr>
      <w:color w:val="0000FF"/>
      <w:u w:val="single"/>
    </w:rPr>
  </w:style>
  <w:style w:type="character" w:styleId="UnresolvedMention">
    <w:name w:val="Unresolved Mention"/>
    <w:basedOn w:val="DefaultParagraphFont"/>
    <w:uiPriority w:val="99"/>
    <w:semiHidden/>
    <w:unhideWhenUsed/>
    <w:rsid w:val="00F336CB"/>
    <w:rPr>
      <w:color w:val="605E5C"/>
      <w:shd w:val="clear" w:color="auto" w:fill="E1DFDD"/>
    </w:rPr>
  </w:style>
  <w:style w:type="character" w:styleId="FollowedHyperlink">
    <w:name w:val="FollowedHyperlink"/>
    <w:basedOn w:val="DefaultParagraphFont"/>
    <w:uiPriority w:val="99"/>
    <w:semiHidden/>
    <w:rsid w:val="00F336CB"/>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qualitysafety.bmj.com/content/15/suppl_1/i50" TargetMode="External"/><Relationship Id="rId18" Type="http://schemas.openxmlformats.org/officeDocument/2006/relationships/hyperlink" Target="https://academic.oup.com/academicmedicine/article-abstract/84/Supplement_1/S25/8353618?redirectedFrom=fulltext"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sciencedirect.com/science/article/abs/pii/S0022537175800454?via%3Dihub" TargetMode="External"/><Relationship Id="rId17" Type="http://schemas.openxmlformats.org/officeDocument/2006/relationships/hyperlink" Target="https://www.sciencedirect.com/science/article/abs/pii/S0301051196052234?via%3Dihub" TargetMode="External"/><Relationship Id="rId2" Type="http://schemas.openxmlformats.org/officeDocument/2006/relationships/customXml" Target="../customXml/item2.xml"/><Relationship Id="rId16" Type="http://schemas.openxmlformats.org/officeDocument/2006/relationships/hyperlink" Target="https://journals.sagepub.com/doi/10.1177/001872088903100503" TargetMode="External"/><Relationship Id="rId20" Type="http://schemas.openxmlformats.org/officeDocument/2006/relationships/hyperlink" Target="https://www.nejm.org/doi/full/10.1056/NEJMoa06111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chapter/bookseries/abs/pii/S0079742108604521?via%3Dihub"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journals.sagepub.com/doi/10.1111/1467-8721.00160" TargetMode="External"/><Relationship Id="rId23" Type="http://schemas.openxmlformats.org/officeDocument/2006/relationships/fontTable" Target="fontTable.xml"/><Relationship Id="rId10" Type="http://schemas.openxmlformats.org/officeDocument/2006/relationships/hyperlink" Target="https://www.cell.com/trends/cognitive-sciences/fulltext/S1364-6613(00)01538-2?_returnURL=https%3A%2F%2Flinkinghub.elsevier.com%2Fretrieve%2Fpii%2FS1364661300015382%3Fshowall%3Dtrue" TargetMode="External"/><Relationship Id="rId19" Type="http://schemas.openxmlformats.org/officeDocument/2006/relationships/hyperlink" Target="https://www.sciencedirect.com/science/article/abs/pii/S001002859990734X?via%3Dihub" TargetMode="External"/><Relationship Id="rId4" Type="http://schemas.openxmlformats.org/officeDocument/2006/relationships/styles" Target="styles.xml"/><Relationship Id="rId9" Type="http://schemas.openxmlformats.org/officeDocument/2006/relationships/hyperlink" Target="https://journals.sagepub.com/doi/10.1080/713755608" TargetMode="External"/><Relationship Id="rId14" Type="http://schemas.openxmlformats.org/officeDocument/2006/relationships/hyperlink" Target="https://journals.lww.com/rehabnursingjournal/abstract/2014/01000/negative_impacts_of_shiftwork_and_long_work_hours.3.aspx" TargetMode="External"/><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C:\Users\edu-kw\AppData\Roaming\Microsoft\Templates\Jazzy student report.dotx</Template>
  <TotalTime>0</TotalTime>
  <Pages>14</Pages>
  <Words>3490</Words>
  <Characters>19893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2026-05-05T12:30:00Z</dcterms:created>
  <dcterms:modified xsi:type="dcterms:W3CDTF">2026-05-05T12:30:00Z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