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charts/chart1.xml" ContentType="application/vnd.openxmlformats-officedocument.drawingml.chart+xml"/>
  <Override PartName="/word/charts/chart2.xml" ContentType="application/vnd.openxmlformats-officedocument.drawingml.chart+xml"/>
  <Override PartName="/word/charts/chart3.xml" ContentType="application/vnd.openxmlformats-officedocument.drawingml.chart+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6D677B35" w14:textId="522AD944" w:rsidR="005B4451" w:rsidRDefault="00DD10E9" w:rsidP="00DD10E9">
      <w:pPr>
        <w:jc w:val="center"/>
      </w:pPr>
      <w:r w:rsidRPr="00F4799C">
        <w:rPr>
          <w:rFonts w:asciiTheme="minorBidi" w:hAnsiTheme="minorBidi"/>
          <w:noProof/>
        </w:rPr>
        <w:drawing>
          <wp:inline distT="0" distB="0" distL="0" distR="0" wp14:anchorId="50DDDFB1" wp14:editId="6ADB68E8">
            <wp:extent cx="3869055" cy="1352550"/>
            <wp:effectExtent l="0" t="0" r="0" b="0"/>
            <wp:docPr id="2114911125"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3869055" cy="1352550"/>
                    </a:xfrm>
                    <a:prstGeom prst="rect">
                      <a:avLst/>
                    </a:prstGeom>
                    <a:noFill/>
                  </pic:spPr>
                </pic:pic>
              </a:graphicData>
            </a:graphic>
          </wp:inline>
        </w:drawing>
      </w:r>
    </w:p>
    <w:p w14:paraId="1CABEA3B" w14:textId="77777777" w:rsidR="00DD10E9" w:rsidRDefault="00DD10E9" w:rsidP="00DD10E9">
      <w:pPr>
        <w:jc w:val="center"/>
      </w:pPr>
    </w:p>
    <w:p w14:paraId="4CFEA471" w14:textId="77777777" w:rsidR="00DD10E9" w:rsidRDefault="00DD10E9" w:rsidP="00DD10E9">
      <w:pPr>
        <w:jc w:val="center"/>
      </w:pPr>
    </w:p>
    <w:p w14:paraId="7C074FF9" w14:textId="77777777" w:rsidR="00A25D4A" w:rsidRDefault="00A25D4A" w:rsidP="00DD10E9">
      <w:pPr>
        <w:spacing w:line="240" w:lineRule="auto"/>
        <w:jc w:val="center"/>
        <w:rPr>
          <w:rFonts w:ascii="Arial" w:hAnsi="Arial" w:cs="Arial"/>
          <w:b/>
          <w:bCs/>
          <w:sz w:val="28"/>
          <w:szCs w:val="28"/>
        </w:rPr>
      </w:pPr>
    </w:p>
    <w:p w14:paraId="0C39E1F4" w14:textId="55FD9343" w:rsidR="00DD10E9" w:rsidRPr="00263B6D" w:rsidRDefault="00DD10E9" w:rsidP="00DD10E9">
      <w:pPr>
        <w:spacing w:line="240" w:lineRule="auto"/>
        <w:jc w:val="center"/>
        <w:rPr>
          <w:rFonts w:ascii="Arial" w:hAnsi="Arial" w:cs="Arial"/>
          <w:b/>
          <w:bCs/>
          <w:sz w:val="28"/>
          <w:szCs w:val="28"/>
        </w:rPr>
      </w:pPr>
      <w:r w:rsidRPr="00263B6D">
        <w:rPr>
          <w:rFonts w:ascii="Arial" w:hAnsi="Arial" w:cs="Arial"/>
          <w:b/>
          <w:bCs/>
          <w:sz w:val="28"/>
          <w:szCs w:val="28"/>
        </w:rPr>
        <w:t xml:space="preserve">Student Name: </w:t>
      </w:r>
      <w:r w:rsidRPr="00263B6D">
        <w:rPr>
          <w:rFonts w:ascii="Arial" w:eastAsia="Times New Roman" w:hAnsi="Arial" w:cs="Arial"/>
          <w:b/>
          <w:bCs/>
          <w:color w:val="000000"/>
          <w:sz w:val="28"/>
          <w:szCs w:val="28"/>
        </w:rPr>
        <w:t>Arpit Verma</w:t>
      </w:r>
    </w:p>
    <w:p w14:paraId="239E1280" w14:textId="77777777" w:rsidR="00DD10E9" w:rsidRDefault="00DD10E9" w:rsidP="00DD10E9">
      <w:pPr>
        <w:spacing w:line="240" w:lineRule="auto"/>
        <w:jc w:val="center"/>
        <w:rPr>
          <w:rFonts w:ascii="Arial" w:eastAsia="Times New Roman" w:hAnsi="Arial" w:cs="Arial"/>
          <w:b/>
          <w:bCs/>
          <w:color w:val="000000"/>
          <w:sz w:val="28"/>
          <w:szCs w:val="28"/>
        </w:rPr>
      </w:pPr>
      <w:r w:rsidRPr="00263B6D">
        <w:rPr>
          <w:rFonts w:ascii="Arial" w:hAnsi="Arial" w:cs="Arial"/>
          <w:b/>
          <w:bCs/>
          <w:sz w:val="28"/>
          <w:szCs w:val="28"/>
        </w:rPr>
        <w:t xml:space="preserve">Student ID: </w:t>
      </w:r>
      <w:r w:rsidRPr="00263B6D">
        <w:rPr>
          <w:rFonts w:ascii="Arial" w:eastAsia="Times New Roman" w:hAnsi="Arial" w:cs="Arial"/>
          <w:b/>
          <w:bCs/>
          <w:color w:val="000000"/>
          <w:sz w:val="28"/>
          <w:szCs w:val="28"/>
        </w:rPr>
        <w:t>2532968</w:t>
      </w:r>
    </w:p>
    <w:p w14:paraId="31DB4FAC" w14:textId="77777777" w:rsidR="00DD10E9" w:rsidRDefault="00DD10E9" w:rsidP="00DD10E9">
      <w:pPr>
        <w:spacing w:line="240" w:lineRule="auto"/>
        <w:jc w:val="center"/>
        <w:rPr>
          <w:rFonts w:ascii="Arial" w:eastAsia="Times New Roman" w:hAnsi="Arial" w:cs="Arial"/>
          <w:b/>
          <w:bCs/>
          <w:color w:val="000000"/>
          <w:sz w:val="28"/>
          <w:szCs w:val="28"/>
        </w:rPr>
      </w:pPr>
    </w:p>
    <w:p w14:paraId="2FBC52FC" w14:textId="2BB5E187" w:rsidR="00DD10E9" w:rsidRDefault="00DD10E9" w:rsidP="00DD10E9">
      <w:pPr>
        <w:spacing w:line="240" w:lineRule="auto"/>
        <w:jc w:val="center"/>
        <w:rPr>
          <w:rFonts w:ascii="Arial" w:hAnsi="Arial" w:cs="Arial"/>
          <w:b/>
          <w:bCs/>
          <w:sz w:val="28"/>
          <w:szCs w:val="28"/>
        </w:rPr>
      </w:pPr>
      <w:r w:rsidRPr="00263B6D">
        <w:rPr>
          <w:rFonts w:ascii="Arial" w:hAnsi="Arial" w:cs="Arial"/>
          <w:b/>
          <w:bCs/>
          <w:sz w:val="28"/>
          <w:szCs w:val="28"/>
        </w:rPr>
        <w:t>Module Name:</w:t>
      </w:r>
      <w:r>
        <w:rPr>
          <w:rFonts w:ascii="Arial" w:hAnsi="Arial" w:cs="Arial"/>
          <w:b/>
          <w:bCs/>
          <w:sz w:val="28"/>
          <w:szCs w:val="28"/>
        </w:rPr>
        <w:t xml:space="preserve"> </w:t>
      </w:r>
      <w:r w:rsidRPr="00DD10E9">
        <w:rPr>
          <w:rFonts w:ascii="Arial" w:hAnsi="Arial" w:cs="Arial"/>
          <w:b/>
          <w:bCs/>
          <w:sz w:val="28"/>
          <w:szCs w:val="28"/>
        </w:rPr>
        <w:t>Financial Management</w:t>
      </w:r>
    </w:p>
    <w:p w14:paraId="0C12E82A" w14:textId="403780AE" w:rsidR="00DD10E9" w:rsidRDefault="00DD10E9" w:rsidP="00DD10E9">
      <w:pPr>
        <w:spacing w:line="240" w:lineRule="auto"/>
        <w:jc w:val="center"/>
        <w:rPr>
          <w:rFonts w:ascii="Arial" w:hAnsi="Arial" w:cs="Arial"/>
          <w:b/>
          <w:bCs/>
          <w:sz w:val="28"/>
          <w:szCs w:val="28"/>
        </w:rPr>
      </w:pPr>
      <w:r w:rsidRPr="00263B6D">
        <w:rPr>
          <w:rFonts w:ascii="Arial" w:hAnsi="Arial" w:cs="Arial"/>
          <w:b/>
          <w:bCs/>
          <w:sz w:val="28"/>
          <w:szCs w:val="28"/>
        </w:rPr>
        <w:t>Module Code: LCMB70</w:t>
      </w:r>
      <w:r>
        <w:rPr>
          <w:rFonts w:ascii="Arial" w:hAnsi="Arial" w:cs="Arial"/>
          <w:b/>
          <w:bCs/>
          <w:sz w:val="28"/>
          <w:szCs w:val="28"/>
        </w:rPr>
        <w:t>02</w:t>
      </w:r>
    </w:p>
    <w:p w14:paraId="3B078222" w14:textId="77777777" w:rsidR="00DD10E9" w:rsidRDefault="00DD10E9" w:rsidP="00DD10E9">
      <w:pPr>
        <w:spacing w:line="240" w:lineRule="auto"/>
        <w:jc w:val="center"/>
        <w:rPr>
          <w:rFonts w:ascii="Arial" w:hAnsi="Arial" w:cs="Arial"/>
          <w:b/>
          <w:bCs/>
          <w:sz w:val="28"/>
          <w:szCs w:val="28"/>
        </w:rPr>
      </w:pPr>
    </w:p>
    <w:p w14:paraId="7B27F3B2" w14:textId="77777777" w:rsidR="00DD10E9" w:rsidRDefault="00DD10E9" w:rsidP="00DD10E9">
      <w:pPr>
        <w:spacing w:line="240" w:lineRule="auto"/>
        <w:jc w:val="center"/>
        <w:rPr>
          <w:rFonts w:ascii="Arial" w:hAnsi="Arial" w:cs="Arial"/>
          <w:b/>
          <w:bCs/>
          <w:sz w:val="28"/>
          <w:szCs w:val="28"/>
        </w:rPr>
      </w:pPr>
    </w:p>
    <w:p w14:paraId="155E6EFC" w14:textId="77777777" w:rsidR="00DD10E9" w:rsidRDefault="00DD10E9" w:rsidP="00DD10E9">
      <w:pPr>
        <w:spacing w:line="240" w:lineRule="auto"/>
        <w:jc w:val="center"/>
        <w:rPr>
          <w:rFonts w:ascii="Arial" w:hAnsi="Arial" w:cs="Arial"/>
          <w:b/>
          <w:bCs/>
          <w:sz w:val="28"/>
          <w:szCs w:val="28"/>
        </w:rPr>
      </w:pPr>
    </w:p>
    <w:p w14:paraId="184A9E68" w14:textId="1853D757" w:rsidR="00A25D4A" w:rsidRPr="00290F18" w:rsidRDefault="00A25D4A" w:rsidP="00A25D4A">
      <w:pPr>
        <w:spacing w:line="360" w:lineRule="auto"/>
        <w:jc w:val="center"/>
        <w:rPr>
          <w:rFonts w:ascii="Arial" w:eastAsia="Times New Roman" w:hAnsi="Arial" w:cs="Arial"/>
          <w:b/>
          <w:bCs/>
          <w:color w:val="000000"/>
          <w:sz w:val="28"/>
          <w:szCs w:val="28"/>
          <w:lang w:val="en-US"/>
        </w:rPr>
      </w:pPr>
      <w:r w:rsidRPr="00263B6D">
        <w:rPr>
          <w:rFonts w:ascii="Arial" w:hAnsi="Arial" w:cs="Arial"/>
          <w:b/>
          <w:bCs/>
          <w:sz w:val="28"/>
          <w:szCs w:val="28"/>
        </w:rPr>
        <w:t>Lecturer’s Name:</w:t>
      </w:r>
      <w:r w:rsidRPr="00263B6D">
        <w:rPr>
          <w:rFonts w:ascii="Arial" w:eastAsia="Times New Roman" w:hAnsi="Arial" w:cs="Arial"/>
          <w:b/>
          <w:bCs/>
          <w:color w:val="000000"/>
          <w:sz w:val="28"/>
          <w:szCs w:val="28"/>
          <w:lang w:val="en-US"/>
        </w:rPr>
        <w:t xml:space="preserve">. </w:t>
      </w:r>
      <w:r w:rsidRPr="00A25D4A">
        <w:rPr>
          <w:rFonts w:ascii="Arial" w:eastAsia="Times New Roman" w:hAnsi="Arial" w:cs="Arial"/>
          <w:b/>
          <w:bCs/>
          <w:color w:val="000000"/>
          <w:sz w:val="28"/>
          <w:szCs w:val="28"/>
          <w:lang w:val="en-US"/>
        </w:rPr>
        <w:t>Dr. Isaiah Oino</w:t>
      </w:r>
    </w:p>
    <w:p w14:paraId="0DEDE83F" w14:textId="77777777" w:rsidR="00DD10E9" w:rsidRDefault="00DD10E9" w:rsidP="00DD10E9">
      <w:pPr>
        <w:spacing w:line="240" w:lineRule="auto"/>
        <w:jc w:val="center"/>
        <w:rPr>
          <w:rFonts w:ascii="Arial" w:hAnsi="Arial" w:cs="Arial"/>
          <w:b/>
          <w:bCs/>
          <w:sz w:val="28"/>
          <w:szCs w:val="28"/>
        </w:rPr>
      </w:pPr>
    </w:p>
    <w:p w14:paraId="690C6C62" w14:textId="77777777" w:rsidR="00DD10E9" w:rsidRDefault="00DD10E9" w:rsidP="00DD10E9">
      <w:pPr>
        <w:spacing w:line="240" w:lineRule="auto"/>
        <w:jc w:val="center"/>
        <w:rPr>
          <w:rFonts w:ascii="Arial" w:hAnsi="Arial" w:cs="Arial"/>
          <w:b/>
          <w:bCs/>
          <w:sz w:val="28"/>
          <w:szCs w:val="28"/>
        </w:rPr>
      </w:pPr>
    </w:p>
    <w:p w14:paraId="499D1BEC" w14:textId="7FD91A3D" w:rsidR="00DD10E9" w:rsidRDefault="002275A3" w:rsidP="00DD10E9">
      <w:pPr>
        <w:spacing w:line="240" w:lineRule="auto"/>
        <w:jc w:val="center"/>
        <w:rPr>
          <w:rFonts w:ascii="Arial" w:hAnsi="Arial" w:cs="Arial"/>
          <w:b/>
          <w:bCs/>
          <w:sz w:val="28"/>
          <w:szCs w:val="28"/>
        </w:rPr>
      </w:pPr>
      <w:r>
        <w:rPr>
          <w:rFonts w:ascii="Arial" w:hAnsi="Arial" w:cs="Arial"/>
          <w:b/>
          <w:bCs/>
          <w:sz w:val="28"/>
          <w:szCs w:val="28"/>
        </w:rPr>
        <w:t xml:space="preserve">Topic - Strategic CFO Challenge </w:t>
      </w:r>
    </w:p>
    <w:p w14:paraId="13D4B329" w14:textId="77777777" w:rsidR="00DD10E9" w:rsidRDefault="00DD10E9" w:rsidP="00DD10E9">
      <w:pPr>
        <w:spacing w:line="240" w:lineRule="auto"/>
        <w:jc w:val="center"/>
        <w:rPr>
          <w:rFonts w:ascii="Arial" w:hAnsi="Arial" w:cs="Arial"/>
          <w:b/>
          <w:bCs/>
          <w:sz w:val="28"/>
          <w:szCs w:val="28"/>
        </w:rPr>
      </w:pPr>
    </w:p>
    <w:p w14:paraId="66BA73B2" w14:textId="77777777" w:rsidR="00DD10E9" w:rsidRDefault="00DD10E9" w:rsidP="00DD10E9">
      <w:pPr>
        <w:spacing w:line="240" w:lineRule="auto"/>
        <w:jc w:val="center"/>
        <w:rPr>
          <w:rFonts w:ascii="Arial" w:hAnsi="Arial" w:cs="Arial"/>
          <w:b/>
          <w:bCs/>
          <w:sz w:val="28"/>
          <w:szCs w:val="28"/>
        </w:rPr>
      </w:pPr>
    </w:p>
    <w:p w14:paraId="22FF5E2C" w14:textId="77777777" w:rsidR="00DD10E9" w:rsidRDefault="00DD10E9" w:rsidP="00DD10E9">
      <w:pPr>
        <w:spacing w:line="240" w:lineRule="auto"/>
        <w:rPr>
          <w:rFonts w:ascii="Arial" w:eastAsia="Times New Roman" w:hAnsi="Arial" w:cs="Arial"/>
          <w:b/>
          <w:bCs/>
          <w:color w:val="000000"/>
          <w:sz w:val="28"/>
          <w:szCs w:val="28"/>
        </w:rPr>
      </w:pPr>
    </w:p>
    <w:p w14:paraId="76514932" w14:textId="77777777" w:rsidR="00DD10E9" w:rsidRDefault="00DD10E9" w:rsidP="00DD10E9">
      <w:pPr>
        <w:spacing w:line="240" w:lineRule="auto"/>
        <w:rPr>
          <w:rFonts w:ascii="Arial" w:eastAsia="Times New Roman" w:hAnsi="Arial" w:cs="Arial"/>
          <w:b/>
          <w:bCs/>
          <w:color w:val="000000"/>
          <w:sz w:val="28"/>
          <w:szCs w:val="28"/>
        </w:rPr>
      </w:pPr>
    </w:p>
    <w:p w14:paraId="5AD5AC08" w14:textId="77777777" w:rsidR="00DD10E9" w:rsidRDefault="00DD10E9" w:rsidP="00DD10E9">
      <w:pPr>
        <w:spacing w:line="240" w:lineRule="auto"/>
        <w:rPr>
          <w:rFonts w:ascii="Arial" w:eastAsia="Times New Roman" w:hAnsi="Arial" w:cs="Arial"/>
          <w:b/>
          <w:bCs/>
          <w:color w:val="000000"/>
          <w:sz w:val="28"/>
          <w:szCs w:val="28"/>
        </w:rPr>
      </w:pPr>
    </w:p>
    <w:p w14:paraId="6BF3EBBC" w14:textId="77777777" w:rsidR="00DD10E9" w:rsidRDefault="00DD10E9" w:rsidP="00DD10E9">
      <w:pPr>
        <w:spacing w:line="240" w:lineRule="auto"/>
        <w:rPr>
          <w:rFonts w:ascii="Arial" w:eastAsia="Times New Roman" w:hAnsi="Arial" w:cs="Arial"/>
          <w:b/>
          <w:bCs/>
          <w:color w:val="000000"/>
          <w:sz w:val="28"/>
          <w:szCs w:val="28"/>
        </w:rPr>
      </w:pPr>
    </w:p>
    <w:p w14:paraId="75853EAF" w14:textId="45DE61CC" w:rsidR="00DD10E9" w:rsidRDefault="00DD10E9" w:rsidP="00DD10E9">
      <w:pPr>
        <w:spacing w:line="240" w:lineRule="auto"/>
        <w:rPr>
          <w:rFonts w:ascii="Arial" w:eastAsia="Times New Roman" w:hAnsi="Arial" w:cs="Arial"/>
          <w:b/>
          <w:bCs/>
          <w:color w:val="000000"/>
          <w:sz w:val="28"/>
          <w:szCs w:val="28"/>
        </w:rPr>
      </w:pPr>
      <w:r w:rsidRPr="00DD10E9">
        <w:rPr>
          <w:rFonts w:ascii="Arial" w:eastAsia="Times New Roman" w:hAnsi="Arial" w:cs="Arial"/>
          <w:b/>
          <w:bCs/>
          <w:color w:val="000000"/>
          <w:sz w:val="28"/>
          <w:szCs w:val="28"/>
        </w:rPr>
        <w:t>Word Count:</w:t>
      </w:r>
      <w:r>
        <w:rPr>
          <w:rFonts w:ascii="Arial" w:eastAsia="Times New Roman" w:hAnsi="Arial" w:cs="Arial"/>
          <w:b/>
          <w:bCs/>
          <w:color w:val="000000"/>
          <w:sz w:val="28"/>
          <w:szCs w:val="28"/>
        </w:rPr>
        <w:t xml:space="preserve"> 5000</w:t>
      </w:r>
    </w:p>
    <w:p w14:paraId="7F5AA6C6" w14:textId="77777777" w:rsidR="00DD10E9" w:rsidRDefault="00DD10E9">
      <w:pPr>
        <w:rPr>
          <w:rFonts w:ascii="Arial" w:eastAsia="Times New Roman" w:hAnsi="Arial" w:cs="Arial"/>
          <w:b/>
          <w:bCs/>
          <w:color w:val="000000"/>
          <w:sz w:val="28"/>
          <w:szCs w:val="28"/>
        </w:rPr>
      </w:pPr>
      <w:r>
        <w:rPr>
          <w:rFonts w:ascii="Arial" w:eastAsia="Times New Roman" w:hAnsi="Arial" w:cs="Arial"/>
          <w:b/>
          <w:bCs/>
          <w:color w:val="000000"/>
          <w:sz w:val="28"/>
          <w:szCs w:val="28"/>
        </w:rPr>
        <w:br w:type="page"/>
      </w:r>
    </w:p>
    <w:p w14:paraId="4755E927" w14:textId="77777777" w:rsidR="00DD10E9" w:rsidRPr="00DD10E9" w:rsidRDefault="00DD10E9" w:rsidP="00DD10E9">
      <w:pPr>
        <w:spacing w:line="240" w:lineRule="auto"/>
        <w:rPr>
          <w:rFonts w:ascii="Arial" w:hAnsi="Arial" w:cs="Arial"/>
          <w:b/>
          <w:bCs/>
          <w:sz w:val="28"/>
          <w:szCs w:val="28"/>
        </w:rPr>
      </w:pPr>
    </w:p>
    <w:p w14:paraId="6B972A56" w14:textId="380124DE" w:rsidR="00DD10E9" w:rsidRDefault="00DD10E9" w:rsidP="00DD10E9">
      <w:pPr>
        <w:jc w:val="center"/>
        <w:rPr>
          <w:rFonts w:ascii="Times New Roman" w:eastAsia="Times New Roman" w:hAnsi="Times New Roman" w:cs="Times New Roman"/>
          <w:b/>
          <w:bCs/>
          <w:color w:val="000000"/>
          <w:sz w:val="28"/>
          <w:szCs w:val="28"/>
          <w:lang w:val="en-US"/>
        </w:rPr>
      </w:pPr>
      <w:r>
        <w:rPr>
          <w:rFonts w:ascii="Times New Roman" w:eastAsia="Times New Roman" w:hAnsi="Times New Roman" w:cs="Times New Roman"/>
          <w:b/>
          <w:bCs/>
          <w:color w:val="000000"/>
          <w:sz w:val="28"/>
          <w:szCs w:val="28"/>
          <w:lang w:val="en-US"/>
        </w:rPr>
        <w:t>Table of Contents</w:t>
      </w:r>
    </w:p>
    <w:tbl>
      <w:tblPr>
        <w:tblStyle w:val="TableGrid"/>
        <w:tblW w:w="9025" w:type="dxa"/>
        <w:tblLook w:val="04A0" w:firstRow="1" w:lastRow="0" w:firstColumn="1" w:lastColumn="0" w:noHBand="0" w:noVBand="1"/>
      </w:tblPr>
      <w:tblGrid>
        <w:gridCol w:w="895"/>
        <w:gridCol w:w="6930"/>
        <w:gridCol w:w="1200"/>
      </w:tblGrid>
      <w:tr w:rsidR="00DD10E9" w14:paraId="4905FF43" w14:textId="77777777" w:rsidTr="00932E64">
        <w:trPr>
          <w:trHeight w:val="612"/>
        </w:trPr>
        <w:tc>
          <w:tcPr>
            <w:tcW w:w="895" w:type="dxa"/>
          </w:tcPr>
          <w:p w14:paraId="138F1634" w14:textId="4E5EFE6E" w:rsidR="00DD10E9" w:rsidRPr="002F7589" w:rsidRDefault="00DD10E9" w:rsidP="00DD10E9">
            <w:pPr>
              <w:rPr>
                <w:b/>
                <w:bCs/>
                <w:sz w:val="24"/>
                <w:szCs w:val="24"/>
              </w:rPr>
            </w:pPr>
            <w:r w:rsidRPr="002F7589">
              <w:rPr>
                <w:rFonts w:ascii="Arial" w:hAnsi="Arial" w:cs="Arial"/>
                <w:b/>
                <w:bCs/>
                <w:sz w:val="24"/>
                <w:szCs w:val="24"/>
              </w:rPr>
              <w:t>S.no</w:t>
            </w:r>
          </w:p>
        </w:tc>
        <w:tc>
          <w:tcPr>
            <w:tcW w:w="6930" w:type="dxa"/>
          </w:tcPr>
          <w:p w14:paraId="73537279" w14:textId="2D53A1F2" w:rsidR="00DD10E9" w:rsidRDefault="00DD10E9" w:rsidP="00DD10E9">
            <w:pPr>
              <w:jc w:val="center"/>
            </w:pPr>
            <w:r>
              <w:rPr>
                <w:rFonts w:ascii="Arial" w:hAnsi="Arial" w:cs="Arial"/>
                <w:b/>
                <w:bCs/>
                <w:sz w:val="24"/>
                <w:szCs w:val="24"/>
              </w:rPr>
              <w:t>Contents</w:t>
            </w:r>
          </w:p>
        </w:tc>
        <w:tc>
          <w:tcPr>
            <w:tcW w:w="1200" w:type="dxa"/>
          </w:tcPr>
          <w:p w14:paraId="635B84E4" w14:textId="7C788E89" w:rsidR="00DD10E9" w:rsidRDefault="00DD10E9" w:rsidP="00DD10E9">
            <w:proofErr w:type="spellStart"/>
            <w:r w:rsidRPr="00753116">
              <w:rPr>
                <w:rFonts w:ascii="Arial" w:hAnsi="Arial" w:cs="Arial"/>
                <w:b/>
                <w:bCs/>
                <w:sz w:val="24"/>
                <w:szCs w:val="24"/>
              </w:rPr>
              <w:t>Pg.No</w:t>
            </w:r>
            <w:proofErr w:type="spellEnd"/>
            <w:r w:rsidRPr="00753116">
              <w:rPr>
                <w:rFonts w:ascii="Arial" w:hAnsi="Arial" w:cs="Arial"/>
                <w:b/>
                <w:bCs/>
                <w:sz w:val="24"/>
                <w:szCs w:val="24"/>
              </w:rPr>
              <w:t xml:space="preserve">. </w:t>
            </w:r>
          </w:p>
        </w:tc>
      </w:tr>
      <w:tr w:rsidR="00DD10E9" w14:paraId="5F6B27C6" w14:textId="77777777" w:rsidTr="00932E64">
        <w:trPr>
          <w:trHeight w:val="586"/>
        </w:trPr>
        <w:tc>
          <w:tcPr>
            <w:tcW w:w="895" w:type="dxa"/>
          </w:tcPr>
          <w:p w14:paraId="061E7E6B" w14:textId="37076D93" w:rsidR="00DD10E9" w:rsidRPr="002F7589" w:rsidRDefault="00932E64" w:rsidP="00932E64">
            <w:pPr>
              <w:rPr>
                <w:b/>
                <w:bCs/>
                <w:sz w:val="24"/>
                <w:szCs w:val="24"/>
              </w:rPr>
            </w:pPr>
            <w:r w:rsidRPr="002F7589">
              <w:rPr>
                <w:b/>
                <w:bCs/>
                <w:sz w:val="24"/>
                <w:szCs w:val="24"/>
              </w:rPr>
              <w:t>1</w:t>
            </w:r>
          </w:p>
        </w:tc>
        <w:tc>
          <w:tcPr>
            <w:tcW w:w="6930" w:type="dxa"/>
          </w:tcPr>
          <w:p w14:paraId="5AE47083" w14:textId="1B44BCB0" w:rsidR="00DD10E9" w:rsidRPr="002F7589" w:rsidRDefault="00932E64" w:rsidP="00932E64">
            <w:pPr>
              <w:spacing w:line="360" w:lineRule="auto"/>
              <w:rPr>
                <w:rFonts w:ascii="Arial" w:hAnsi="Arial" w:cs="Arial"/>
                <w:sz w:val="24"/>
                <w:szCs w:val="24"/>
              </w:rPr>
            </w:pPr>
            <w:r w:rsidRPr="002F7589">
              <w:rPr>
                <w:rFonts w:ascii="Arial" w:hAnsi="Arial" w:cs="Arial"/>
                <w:sz w:val="24"/>
                <w:szCs w:val="24"/>
              </w:rPr>
              <w:t>TESLA - Checking the Financials</w:t>
            </w:r>
          </w:p>
        </w:tc>
        <w:tc>
          <w:tcPr>
            <w:tcW w:w="1200" w:type="dxa"/>
          </w:tcPr>
          <w:p w14:paraId="08BD40CA" w14:textId="70CC8774" w:rsidR="00DD10E9" w:rsidRPr="00932E64" w:rsidRDefault="00932E64" w:rsidP="00932E64">
            <w:pPr>
              <w:rPr>
                <w:b/>
                <w:bCs/>
                <w:sz w:val="24"/>
                <w:szCs w:val="24"/>
              </w:rPr>
            </w:pPr>
            <w:r w:rsidRPr="00932E64">
              <w:rPr>
                <w:b/>
                <w:bCs/>
                <w:sz w:val="24"/>
                <w:szCs w:val="24"/>
              </w:rPr>
              <w:t>3-8</w:t>
            </w:r>
          </w:p>
        </w:tc>
      </w:tr>
      <w:tr w:rsidR="00DD10E9" w14:paraId="6CFE6E2C" w14:textId="77777777" w:rsidTr="00932E64">
        <w:trPr>
          <w:trHeight w:val="586"/>
        </w:trPr>
        <w:tc>
          <w:tcPr>
            <w:tcW w:w="895" w:type="dxa"/>
          </w:tcPr>
          <w:p w14:paraId="2CE1BF15" w14:textId="717556DD" w:rsidR="00DD10E9" w:rsidRPr="002F7589" w:rsidRDefault="00932E64" w:rsidP="00932E64">
            <w:pPr>
              <w:rPr>
                <w:b/>
                <w:bCs/>
                <w:sz w:val="24"/>
                <w:szCs w:val="24"/>
              </w:rPr>
            </w:pPr>
            <w:r w:rsidRPr="002F7589">
              <w:rPr>
                <w:b/>
                <w:bCs/>
                <w:sz w:val="24"/>
                <w:szCs w:val="24"/>
              </w:rPr>
              <w:t>2</w:t>
            </w:r>
          </w:p>
        </w:tc>
        <w:tc>
          <w:tcPr>
            <w:tcW w:w="6930" w:type="dxa"/>
          </w:tcPr>
          <w:p w14:paraId="61A55C8C" w14:textId="77777777" w:rsidR="00932E64" w:rsidRPr="00932E64" w:rsidRDefault="00932E64" w:rsidP="00932E64">
            <w:pPr>
              <w:rPr>
                <w:sz w:val="24"/>
                <w:szCs w:val="24"/>
              </w:rPr>
            </w:pPr>
            <w:r w:rsidRPr="00932E64">
              <w:rPr>
                <w:sz w:val="24"/>
                <w:szCs w:val="24"/>
              </w:rPr>
              <w:t xml:space="preserve">Working Capital Management Analysis </w:t>
            </w:r>
          </w:p>
          <w:p w14:paraId="6B6C4E89" w14:textId="77777777" w:rsidR="00DD10E9" w:rsidRPr="002F7589" w:rsidRDefault="00DD10E9" w:rsidP="00932E64">
            <w:pPr>
              <w:rPr>
                <w:sz w:val="24"/>
                <w:szCs w:val="24"/>
              </w:rPr>
            </w:pPr>
          </w:p>
        </w:tc>
        <w:tc>
          <w:tcPr>
            <w:tcW w:w="1200" w:type="dxa"/>
          </w:tcPr>
          <w:p w14:paraId="350DC9AB" w14:textId="43E759BD" w:rsidR="00DD10E9" w:rsidRDefault="00932E64" w:rsidP="00932E64">
            <w:r>
              <w:t>8-</w:t>
            </w:r>
            <w:r w:rsidR="00975CD4">
              <w:t>11</w:t>
            </w:r>
          </w:p>
        </w:tc>
      </w:tr>
      <w:tr w:rsidR="00DD10E9" w14:paraId="7AC23087" w14:textId="77777777" w:rsidTr="00932E64">
        <w:trPr>
          <w:trHeight w:val="586"/>
        </w:trPr>
        <w:tc>
          <w:tcPr>
            <w:tcW w:w="895" w:type="dxa"/>
          </w:tcPr>
          <w:p w14:paraId="77D59201" w14:textId="59FCC11D" w:rsidR="00DD10E9" w:rsidRPr="002F7589" w:rsidRDefault="002F7589" w:rsidP="002F7589">
            <w:pPr>
              <w:rPr>
                <w:b/>
                <w:bCs/>
                <w:sz w:val="24"/>
                <w:szCs w:val="24"/>
              </w:rPr>
            </w:pPr>
            <w:r w:rsidRPr="002F7589">
              <w:rPr>
                <w:b/>
                <w:bCs/>
                <w:sz w:val="24"/>
                <w:szCs w:val="24"/>
              </w:rPr>
              <w:t>3</w:t>
            </w:r>
          </w:p>
        </w:tc>
        <w:tc>
          <w:tcPr>
            <w:tcW w:w="6930" w:type="dxa"/>
          </w:tcPr>
          <w:p w14:paraId="79E5DCD6" w14:textId="77777777" w:rsidR="002F7589" w:rsidRPr="002F7589" w:rsidRDefault="002F7589" w:rsidP="002F7589">
            <w:pPr>
              <w:rPr>
                <w:sz w:val="24"/>
                <w:szCs w:val="24"/>
              </w:rPr>
            </w:pPr>
            <w:r w:rsidRPr="002F7589">
              <w:rPr>
                <w:sz w:val="24"/>
                <w:szCs w:val="24"/>
              </w:rPr>
              <w:t xml:space="preserve">Strategic Financial Restructuring Plan </w:t>
            </w:r>
          </w:p>
          <w:p w14:paraId="574F32AA" w14:textId="77777777" w:rsidR="00DD10E9" w:rsidRPr="002F7589" w:rsidRDefault="00DD10E9" w:rsidP="002F7589">
            <w:pPr>
              <w:rPr>
                <w:sz w:val="24"/>
                <w:szCs w:val="24"/>
              </w:rPr>
            </w:pPr>
          </w:p>
        </w:tc>
        <w:tc>
          <w:tcPr>
            <w:tcW w:w="1200" w:type="dxa"/>
          </w:tcPr>
          <w:p w14:paraId="145778CE" w14:textId="6B8AB8FB" w:rsidR="00DD10E9" w:rsidRDefault="00975CD4" w:rsidP="00975CD4">
            <w:r>
              <w:t>11-</w:t>
            </w:r>
            <w:r w:rsidR="00DA3C00">
              <w:t>14</w:t>
            </w:r>
          </w:p>
        </w:tc>
      </w:tr>
      <w:tr w:rsidR="00DD10E9" w14:paraId="7E4B4786" w14:textId="77777777" w:rsidTr="00932E64">
        <w:trPr>
          <w:trHeight w:val="612"/>
        </w:trPr>
        <w:tc>
          <w:tcPr>
            <w:tcW w:w="895" w:type="dxa"/>
          </w:tcPr>
          <w:p w14:paraId="06CCA601" w14:textId="60E3B69A" w:rsidR="00DD10E9" w:rsidRPr="002F7589" w:rsidRDefault="002F7589" w:rsidP="002F7589">
            <w:pPr>
              <w:rPr>
                <w:b/>
                <w:bCs/>
                <w:sz w:val="24"/>
                <w:szCs w:val="24"/>
              </w:rPr>
            </w:pPr>
            <w:r w:rsidRPr="002F7589">
              <w:rPr>
                <w:b/>
                <w:bCs/>
                <w:sz w:val="24"/>
                <w:szCs w:val="24"/>
              </w:rPr>
              <w:t>4</w:t>
            </w:r>
          </w:p>
        </w:tc>
        <w:tc>
          <w:tcPr>
            <w:tcW w:w="6930" w:type="dxa"/>
          </w:tcPr>
          <w:p w14:paraId="74092AAF" w14:textId="3755FC01" w:rsidR="00DD10E9" w:rsidRPr="002F7589" w:rsidRDefault="002F7589" w:rsidP="002F7589">
            <w:pPr>
              <w:rPr>
                <w:sz w:val="24"/>
                <w:szCs w:val="24"/>
              </w:rPr>
            </w:pPr>
            <w:r w:rsidRPr="002F7589">
              <w:rPr>
                <w:sz w:val="24"/>
                <w:szCs w:val="24"/>
              </w:rPr>
              <w:t xml:space="preserve">Investment Appraisal and Capital Budgeting </w:t>
            </w:r>
          </w:p>
        </w:tc>
        <w:tc>
          <w:tcPr>
            <w:tcW w:w="1200" w:type="dxa"/>
          </w:tcPr>
          <w:p w14:paraId="1EB76FDE" w14:textId="1A05CCB3" w:rsidR="00DD10E9" w:rsidRDefault="00DA3C00" w:rsidP="00DA3C00">
            <w:r>
              <w:t>14-</w:t>
            </w:r>
            <w:r w:rsidR="004B6001">
              <w:t>18</w:t>
            </w:r>
          </w:p>
        </w:tc>
      </w:tr>
      <w:tr w:rsidR="00DD10E9" w14:paraId="196AF5E5" w14:textId="77777777" w:rsidTr="00932E64">
        <w:trPr>
          <w:trHeight w:val="586"/>
        </w:trPr>
        <w:tc>
          <w:tcPr>
            <w:tcW w:w="895" w:type="dxa"/>
          </w:tcPr>
          <w:p w14:paraId="2903E282" w14:textId="1AE10D49" w:rsidR="00DD10E9" w:rsidRPr="002F7589" w:rsidRDefault="002F7589" w:rsidP="002F7589">
            <w:pPr>
              <w:rPr>
                <w:b/>
                <w:bCs/>
                <w:sz w:val="24"/>
                <w:szCs w:val="24"/>
              </w:rPr>
            </w:pPr>
            <w:r w:rsidRPr="002F7589">
              <w:rPr>
                <w:b/>
                <w:bCs/>
                <w:sz w:val="24"/>
                <w:szCs w:val="24"/>
              </w:rPr>
              <w:t>5</w:t>
            </w:r>
          </w:p>
        </w:tc>
        <w:tc>
          <w:tcPr>
            <w:tcW w:w="6930" w:type="dxa"/>
          </w:tcPr>
          <w:p w14:paraId="7C07A496" w14:textId="77777777" w:rsidR="002F7589" w:rsidRPr="002F7589" w:rsidRDefault="002F7589" w:rsidP="002F7589">
            <w:pPr>
              <w:rPr>
                <w:sz w:val="24"/>
                <w:szCs w:val="24"/>
              </w:rPr>
            </w:pPr>
            <w:r w:rsidRPr="002F7589">
              <w:rPr>
                <w:sz w:val="24"/>
                <w:szCs w:val="24"/>
              </w:rPr>
              <w:t xml:space="preserve">Appendices </w:t>
            </w:r>
          </w:p>
          <w:p w14:paraId="15154E66" w14:textId="77777777" w:rsidR="00DD10E9" w:rsidRPr="002F7589" w:rsidRDefault="00DD10E9" w:rsidP="002F7589">
            <w:pPr>
              <w:rPr>
                <w:sz w:val="24"/>
                <w:szCs w:val="24"/>
              </w:rPr>
            </w:pPr>
          </w:p>
        </w:tc>
        <w:tc>
          <w:tcPr>
            <w:tcW w:w="1200" w:type="dxa"/>
          </w:tcPr>
          <w:p w14:paraId="75A6933D" w14:textId="77777777" w:rsidR="00DD10E9" w:rsidRDefault="00264E8C" w:rsidP="00264E8C">
            <w:r>
              <w:t>1</w:t>
            </w:r>
            <w:r w:rsidR="00AB1DB1">
              <w:t>9-21</w:t>
            </w:r>
          </w:p>
          <w:p w14:paraId="6D6D693B" w14:textId="33CC914E" w:rsidR="00AB1DB1" w:rsidRDefault="00AB1DB1" w:rsidP="00264E8C"/>
        </w:tc>
      </w:tr>
      <w:tr w:rsidR="00264E8C" w14:paraId="37E4B8CB" w14:textId="77777777" w:rsidTr="00932E64">
        <w:trPr>
          <w:trHeight w:val="586"/>
        </w:trPr>
        <w:tc>
          <w:tcPr>
            <w:tcW w:w="895" w:type="dxa"/>
          </w:tcPr>
          <w:p w14:paraId="5CEC016C" w14:textId="1BE110C8" w:rsidR="00264E8C" w:rsidRPr="002F7589" w:rsidRDefault="00264E8C" w:rsidP="002F7589">
            <w:pPr>
              <w:rPr>
                <w:b/>
                <w:bCs/>
                <w:sz w:val="24"/>
                <w:szCs w:val="24"/>
              </w:rPr>
            </w:pPr>
            <w:r>
              <w:rPr>
                <w:b/>
                <w:bCs/>
                <w:sz w:val="24"/>
                <w:szCs w:val="24"/>
              </w:rPr>
              <w:t>6</w:t>
            </w:r>
          </w:p>
        </w:tc>
        <w:tc>
          <w:tcPr>
            <w:tcW w:w="6930" w:type="dxa"/>
          </w:tcPr>
          <w:p w14:paraId="64FF6612" w14:textId="6C9EFEA0" w:rsidR="00264E8C" w:rsidRPr="002F7589" w:rsidRDefault="00264E8C" w:rsidP="002F7589">
            <w:pPr>
              <w:rPr>
                <w:sz w:val="24"/>
                <w:szCs w:val="24"/>
              </w:rPr>
            </w:pPr>
            <w:r>
              <w:rPr>
                <w:sz w:val="24"/>
                <w:szCs w:val="24"/>
              </w:rPr>
              <w:t>References</w:t>
            </w:r>
          </w:p>
        </w:tc>
        <w:tc>
          <w:tcPr>
            <w:tcW w:w="1200" w:type="dxa"/>
          </w:tcPr>
          <w:p w14:paraId="34FBB893" w14:textId="1C2E89FE" w:rsidR="00264E8C" w:rsidRDefault="00AB1DB1" w:rsidP="00AB1DB1">
            <w:r>
              <w:t>21-</w:t>
            </w:r>
            <w:r w:rsidR="00A03C9B">
              <w:t>22</w:t>
            </w:r>
            <w:r>
              <w:t xml:space="preserve"> </w:t>
            </w:r>
          </w:p>
        </w:tc>
      </w:tr>
    </w:tbl>
    <w:p w14:paraId="2C095328" w14:textId="77777777" w:rsidR="00DD10E9" w:rsidRDefault="00DD10E9" w:rsidP="00DD10E9"/>
    <w:p w14:paraId="1FCAAF1E" w14:textId="77777777" w:rsidR="00DD10E9" w:rsidRDefault="00DD10E9" w:rsidP="00DD10E9"/>
    <w:p w14:paraId="29AF3371" w14:textId="77777777" w:rsidR="00DD10E9" w:rsidRDefault="00DD10E9" w:rsidP="00DD10E9"/>
    <w:p w14:paraId="009BF2DE" w14:textId="77777777" w:rsidR="00DD10E9" w:rsidRDefault="00DD10E9" w:rsidP="00DD10E9"/>
    <w:p w14:paraId="766DC5C8" w14:textId="77777777" w:rsidR="00DD10E9" w:rsidRDefault="00DD10E9" w:rsidP="00DD10E9"/>
    <w:p w14:paraId="58523BAC" w14:textId="77777777" w:rsidR="00DD10E9" w:rsidRDefault="00DD10E9" w:rsidP="00DD10E9"/>
    <w:p w14:paraId="4A311018" w14:textId="77777777" w:rsidR="00DD10E9" w:rsidRDefault="00DD10E9" w:rsidP="00DD10E9"/>
    <w:p w14:paraId="4D2059CE" w14:textId="77777777" w:rsidR="00DD10E9" w:rsidRDefault="00DD10E9" w:rsidP="00DD10E9"/>
    <w:p w14:paraId="51AF5246" w14:textId="77777777" w:rsidR="00DD10E9" w:rsidRDefault="00DD10E9" w:rsidP="00DD10E9"/>
    <w:p w14:paraId="29FDA21E" w14:textId="77777777" w:rsidR="00DD10E9" w:rsidRDefault="00DD10E9" w:rsidP="00DD10E9"/>
    <w:p w14:paraId="1A278FA1" w14:textId="77777777" w:rsidR="00DD10E9" w:rsidRDefault="00DD10E9" w:rsidP="00DD10E9"/>
    <w:p w14:paraId="5DE2D644" w14:textId="77777777" w:rsidR="00DD10E9" w:rsidRDefault="00DD10E9" w:rsidP="00DD10E9"/>
    <w:p w14:paraId="38E5F938" w14:textId="77777777" w:rsidR="00DD10E9" w:rsidRDefault="00DD10E9" w:rsidP="00DD10E9"/>
    <w:p w14:paraId="53037F2A" w14:textId="77777777" w:rsidR="00DD10E9" w:rsidRDefault="00DD10E9" w:rsidP="00DD10E9"/>
    <w:p w14:paraId="4AA60888" w14:textId="77777777" w:rsidR="00DD10E9" w:rsidRDefault="00DD10E9" w:rsidP="00DD10E9"/>
    <w:p w14:paraId="0DB8F35B" w14:textId="4C69CFD8" w:rsidR="00DD10E9" w:rsidRDefault="00DD10E9" w:rsidP="00DD10E9"/>
    <w:p w14:paraId="125765EB" w14:textId="77777777" w:rsidR="00DD10E9" w:rsidRDefault="00DD10E9">
      <w:r>
        <w:br w:type="page"/>
      </w:r>
    </w:p>
    <w:p w14:paraId="51328E02" w14:textId="77777777" w:rsidR="00220817" w:rsidRPr="00932E64" w:rsidRDefault="00220817" w:rsidP="00932E64">
      <w:pPr>
        <w:spacing w:line="360" w:lineRule="auto"/>
        <w:ind w:left="360"/>
        <w:jc w:val="both"/>
        <w:rPr>
          <w:rFonts w:ascii="Arial" w:hAnsi="Arial" w:cs="Arial"/>
          <w:b/>
          <w:bCs/>
          <w:sz w:val="28"/>
          <w:szCs w:val="28"/>
        </w:rPr>
      </w:pPr>
      <w:r w:rsidRPr="00932E64">
        <w:rPr>
          <w:rFonts w:ascii="Arial" w:hAnsi="Arial" w:cs="Arial"/>
          <w:b/>
          <w:bCs/>
          <w:sz w:val="28"/>
          <w:szCs w:val="28"/>
        </w:rPr>
        <w:lastRenderedPageBreak/>
        <w:t>TESLA - Checking the Financials</w:t>
      </w:r>
    </w:p>
    <w:p w14:paraId="1B7EB513" w14:textId="77777777" w:rsidR="00220817" w:rsidRPr="00932E64" w:rsidRDefault="00220817" w:rsidP="00932E64">
      <w:pPr>
        <w:spacing w:line="360" w:lineRule="auto"/>
        <w:ind w:left="360"/>
        <w:jc w:val="both"/>
        <w:rPr>
          <w:rFonts w:ascii="Arial" w:hAnsi="Arial" w:cs="Arial"/>
          <w:b/>
          <w:bCs/>
          <w:sz w:val="26"/>
          <w:szCs w:val="26"/>
        </w:rPr>
      </w:pPr>
      <w:r w:rsidRPr="00932E64">
        <w:rPr>
          <w:rFonts w:ascii="Arial" w:hAnsi="Arial" w:cs="Arial"/>
          <w:b/>
          <w:bCs/>
          <w:sz w:val="26"/>
          <w:szCs w:val="26"/>
        </w:rPr>
        <w:t>Executive Summary</w:t>
      </w:r>
    </w:p>
    <w:p w14:paraId="66F56547" w14:textId="77777777" w:rsidR="00220817" w:rsidRPr="00932E64" w:rsidRDefault="00220817" w:rsidP="00932E64">
      <w:pPr>
        <w:spacing w:line="360" w:lineRule="auto"/>
        <w:ind w:left="360"/>
        <w:jc w:val="both"/>
        <w:rPr>
          <w:rFonts w:ascii="Arial" w:hAnsi="Arial" w:cs="Arial"/>
          <w:sz w:val="24"/>
          <w:szCs w:val="24"/>
        </w:rPr>
      </w:pPr>
      <w:r w:rsidRPr="00932E64">
        <w:rPr>
          <w:rFonts w:ascii="Arial" w:hAnsi="Arial" w:cs="Arial"/>
          <w:sz w:val="24"/>
          <w:szCs w:val="24"/>
        </w:rPr>
        <w:t xml:space="preserve">Tesla has been through a volatile half-decade, transitioning from a hyper-growth car manufacturer to a more mature, cash-rich entity, which is now increasingly focusing on AI and battery storage. This financial health check </w:t>
      </w:r>
      <w:proofErr w:type="spellStart"/>
      <w:r w:rsidRPr="00932E64">
        <w:rPr>
          <w:rFonts w:ascii="Arial" w:hAnsi="Arial" w:cs="Arial"/>
          <w:sz w:val="24"/>
          <w:szCs w:val="24"/>
        </w:rPr>
        <w:t>analyzes</w:t>
      </w:r>
      <w:proofErr w:type="spellEnd"/>
      <w:r w:rsidRPr="00932E64">
        <w:rPr>
          <w:rFonts w:ascii="Arial" w:hAnsi="Arial" w:cs="Arial"/>
          <w:sz w:val="24"/>
          <w:szCs w:val="24"/>
        </w:rPr>
        <w:t xml:space="preserve"> Tesla's financial performance between 2021-2025 based on its latest annual reports. While Tesla achieved record profits and revenues in 2021-2022, the period of 2023-2025 shows contracting margins and net income as well as declining revenue.</w:t>
      </w:r>
    </w:p>
    <w:p w14:paraId="6F3B4AA7" w14:textId="77777777" w:rsidR="00220817" w:rsidRPr="00932E64" w:rsidRDefault="00220817" w:rsidP="00932E64">
      <w:pPr>
        <w:spacing w:line="360" w:lineRule="auto"/>
        <w:ind w:left="360"/>
        <w:jc w:val="both"/>
        <w:rPr>
          <w:rFonts w:ascii="Arial" w:hAnsi="Arial" w:cs="Arial"/>
          <w:sz w:val="24"/>
          <w:szCs w:val="24"/>
        </w:rPr>
      </w:pPr>
      <w:r w:rsidRPr="00932E64">
        <w:rPr>
          <w:rFonts w:ascii="Arial" w:hAnsi="Arial" w:cs="Arial"/>
          <w:sz w:val="24"/>
          <w:szCs w:val="24"/>
        </w:rPr>
        <w:t>Despite the pressures on its income statement, Tesla's balance sheet is a fortress; its business holds vast cash reserves and uses negligible amounts of high-interest debt. Its free cash flow is exceptionally strong and its financial condition is fundamentally sound, but the current valuation and its potential growth depend on its pivot away from its traditional business model (car manufacturing) toward an AI, robotics and energy infrastructure model.</w:t>
      </w:r>
    </w:p>
    <w:p w14:paraId="6C76772D" w14:textId="77777777" w:rsidR="00220817" w:rsidRPr="00932E64" w:rsidRDefault="00220817" w:rsidP="00932E64">
      <w:pPr>
        <w:spacing w:line="360" w:lineRule="auto"/>
        <w:jc w:val="both"/>
        <w:rPr>
          <w:rFonts w:ascii="Arial" w:hAnsi="Arial" w:cs="Arial"/>
          <w:b/>
          <w:bCs/>
          <w:sz w:val="26"/>
          <w:szCs w:val="26"/>
        </w:rPr>
      </w:pPr>
      <w:r w:rsidRPr="00932E64">
        <w:rPr>
          <w:rFonts w:ascii="Arial" w:hAnsi="Arial" w:cs="Arial"/>
          <w:b/>
          <w:bCs/>
          <w:sz w:val="26"/>
          <w:szCs w:val="26"/>
        </w:rPr>
        <w:t>1. Financial Review (2021-2025)</w:t>
      </w:r>
    </w:p>
    <w:p w14:paraId="17C6E09A" w14:textId="77777777" w:rsidR="00220817" w:rsidRPr="00932E64" w:rsidRDefault="00220817" w:rsidP="00932E64">
      <w:pPr>
        <w:spacing w:line="360" w:lineRule="auto"/>
        <w:ind w:left="360"/>
        <w:jc w:val="both"/>
        <w:rPr>
          <w:rFonts w:ascii="Arial" w:hAnsi="Arial" w:cs="Arial"/>
          <w:sz w:val="24"/>
          <w:szCs w:val="24"/>
        </w:rPr>
      </w:pPr>
      <w:r w:rsidRPr="00932E64">
        <w:rPr>
          <w:rFonts w:ascii="Arial" w:hAnsi="Arial" w:cs="Arial"/>
          <w:sz w:val="24"/>
          <w:szCs w:val="24"/>
        </w:rPr>
        <w:t>Tesla’s financial performance in the 2021-2025 period may be considered as one of "booming and calibrating."</w:t>
      </w:r>
    </w:p>
    <w:p w14:paraId="43A3331C" w14:textId="77777777" w:rsidR="00220817" w:rsidRPr="00932E64" w:rsidRDefault="00220817" w:rsidP="00932E64">
      <w:pPr>
        <w:pStyle w:val="ListParagraph"/>
        <w:numPr>
          <w:ilvl w:val="0"/>
          <w:numId w:val="16"/>
        </w:numPr>
        <w:spacing w:line="360" w:lineRule="auto"/>
        <w:jc w:val="both"/>
        <w:rPr>
          <w:rFonts w:ascii="Arial" w:hAnsi="Arial" w:cs="Arial"/>
          <w:sz w:val="24"/>
          <w:szCs w:val="24"/>
        </w:rPr>
      </w:pPr>
      <w:r w:rsidRPr="00932E64">
        <w:rPr>
          <w:rFonts w:ascii="Arial" w:hAnsi="Arial" w:cs="Arial"/>
          <w:b/>
          <w:bCs/>
          <w:sz w:val="24"/>
          <w:szCs w:val="24"/>
        </w:rPr>
        <w:t>Revenue Evolution:</w:t>
      </w:r>
      <w:r w:rsidRPr="00932E64">
        <w:rPr>
          <w:rFonts w:ascii="Arial" w:hAnsi="Arial" w:cs="Arial"/>
          <w:sz w:val="24"/>
          <w:szCs w:val="24"/>
        </w:rPr>
        <w:t xml:space="preserve"> Tesla reported total revenues of $53.8 billion in 2021, which grew by 51% to $81.5 billion in 2022, and then rose again to $96.8 billion in 2023. However, growth halted in 2024, peaking at $97.7 billion before 2025's year-over-year contraction of 3% to $94.8 billion. This was mostly due to decreased automotive revenues in 2025 (affected by economic pressures, intense price wars, and older vehicles).</w:t>
      </w:r>
    </w:p>
    <w:p w14:paraId="66EC97BB" w14:textId="77777777" w:rsidR="00220817" w:rsidRPr="00932E64" w:rsidRDefault="00220817" w:rsidP="00932E64">
      <w:pPr>
        <w:pStyle w:val="ListParagraph"/>
        <w:numPr>
          <w:ilvl w:val="0"/>
          <w:numId w:val="16"/>
        </w:numPr>
        <w:spacing w:line="360" w:lineRule="auto"/>
        <w:jc w:val="both"/>
        <w:rPr>
          <w:rFonts w:ascii="Arial" w:hAnsi="Arial" w:cs="Arial"/>
          <w:sz w:val="24"/>
          <w:szCs w:val="24"/>
        </w:rPr>
      </w:pPr>
      <w:r w:rsidRPr="00932E64">
        <w:rPr>
          <w:rFonts w:ascii="Arial" w:hAnsi="Arial" w:cs="Arial"/>
          <w:b/>
          <w:bCs/>
          <w:sz w:val="24"/>
          <w:szCs w:val="24"/>
        </w:rPr>
        <w:t>Net Income Evolution:</w:t>
      </w:r>
      <w:r w:rsidRPr="00932E64">
        <w:rPr>
          <w:rFonts w:ascii="Arial" w:hAnsi="Arial" w:cs="Arial"/>
          <w:sz w:val="24"/>
          <w:szCs w:val="24"/>
        </w:rPr>
        <w:t xml:space="preserve"> Profitability showed a similar path, expanding significantly from $5.5 billion in 2021 to $12.5 billion in 2022, peaking at $15 billion in 2023. However, this sharp upturn turned into a significant reversal in 2024 (due to aggressively slashed vehicle prices) down to $7.1 billion, and then further declined in 2025 by 46% to $3.8 billion.</w:t>
      </w:r>
    </w:p>
    <w:p w14:paraId="1D85C39E" w14:textId="77777777" w:rsidR="00220817" w:rsidRPr="00932E64" w:rsidRDefault="00220817" w:rsidP="00932E64">
      <w:pPr>
        <w:pStyle w:val="ListParagraph"/>
        <w:numPr>
          <w:ilvl w:val="0"/>
          <w:numId w:val="16"/>
        </w:numPr>
        <w:spacing w:line="360" w:lineRule="auto"/>
        <w:jc w:val="both"/>
        <w:rPr>
          <w:rFonts w:ascii="Arial" w:hAnsi="Arial" w:cs="Arial"/>
          <w:sz w:val="24"/>
          <w:szCs w:val="24"/>
        </w:rPr>
      </w:pPr>
      <w:r w:rsidRPr="00932E64">
        <w:rPr>
          <w:rFonts w:ascii="Arial" w:hAnsi="Arial" w:cs="Arial"/>
          <w:b/>
          <w:bCs/>
          <w:sz w:val="24"/>
          <w:szCs w:val="24"/>
        </w:rPr>
        <w:t>Segment Dynamics:</w:t>
      </w:r>
      <w:r w:rsidRPr="00932E64">
        <w:rPr>
          <w:rFonts w:ascii="Arial" w:hAnsi="Arial" w:cs="Arial"/>
          <w:sz w:val="24"/>
          <w:szCs w:val="24"/>
        </w:rPr>
        <w:t xml:space="preserve"> While automotive revenues declined in 2025, the Energy Generation and Storage segment expanded significantly, adding </w:t>
      </w:r>
      <w:r w:rsidRPr="00932E64">
        <w:rPr>
          <w:rFonts w:ascii="Arial" w:hAnsi="Arial" w:cs="Arial"/>
          <w:sz w:val="24"/>
          <w:szCs w:val="24"/>
        </w:rPr>
        <w:lastRenderedPageBreak/>
        <w:t>27% more revenue to reach $12.8 billion in 2025, compensating for the weakness in the car manufacturing division.</w:t>
      </w:r>
    </w:p>
    <w:p w14:paraId="4AE72F6F" w14:textId="77777777" w:rsidR="00220817" w:rsidRPr="00932E64" w:rsidRDefault="00220817" w:rsidP="00932E64">
      <w:pPr>
        <w:spacing w:line="360" w:lineRule="auto"/>
        <w:jc w:val="both"/>
        <w:rPr>
          <w:rFonts w:ascii="Arial" w:hAnsi="Arial" w:cs="Arial"/>
          <w:b/>
          <w:bCs/>
          <w:sz w:val="26"/>
          <w:szCs w:val="26"/>
        </w:rPr>
      </w:pPr>
      <w:r w:rsidRPr="00932E64">
        <w:rPr>
          <w:rFonts w:ascii="Arial" w:hAnsi="Arial" w:cs="Arial"/>
          <w:b/>
          <w:bCs/>
          <w:sz w:val="26"/>
          <w:szCs w:val="26"/>
        </w:rPr>
        <w:t>2. Comprehensive Ratio Analysis</w:t>
      </w:r>
    </w:p>
    <w:p w14:paraId="22138965" w14:textId="77777777" w:rsidR="00220817" w:rsidRPr="00932E64" w:rsidRDefault="00220817" w:rsidP="00932E64">
      <w:pPr>
        <w:spacing w:line="360" w:lineRule="auto"/>
        <w:ind w:left="360"/>
        <w:jc w:val="both"/>
        <w:rPr>
          <w:rFonts w:ascii="Arial" w:hAnsi="Arial" w:cs="Arial"/>
          <w:b/>
          <w:bCs/>
          <w:sz w:val="24"/>
          <w:szCs w:val="24"/>
        </w:rPr>
      </w:pPr>
      <w:r w:rsidRPr="00932E64">
        <w:rPr>
          <w:rFonts w:ascii="Arial" w:hAnsi="Arial" w:cs="Arial"/>
          <w:b/>
          <w:bCs/>
          <w:sz w:val="24"/>
          <w:szCs w:val="24"/>
        </w:rPr>
        <w:t>2.1 Profitability Ratios</w:t>
      </w:r>
    </w:p>
    <w:p w14:paraId="628AB9E3" w14:textId="77777777" w:rsidR="00220817" w:rsidRPr="00932E64" w:rsidRDefault="00220817" w:rsidP="00932E64">
      <w:pPr>
        <w:spacing w:line="360" w:lineRule="auto"/>
        <w:ind w:left="360"/>
        <w:jc w:val="both"/>
        <w:rPr>
          <w:rFonts w:ascii="Arial" w:hAnsi="Arial" w:cs="Arial"/>
          <w:sz w:val="24"/>
          <w:szCs w:val="24"/>
        </w:rPr>
      </w:pPr>
      <w:r w:rsidRPr="00932E64">
        <w:rPr>
          <w:rFonts w:ascii="Arial" w:hAnsi="Arial" w:cs="Arial"/>
          <w:sz w:val="24"/>
          <w:szCs w:val="24"/>
        </w:rPr>
        <w:t>Profitability ratios demonstrate the cost of Tesla's strategy of pursuing market share and volume over margins amid a rising interest-rate environment.</w:t>
      </w:r>
    </w:p>
    <w:p w14:paraId="7F0A1D44" w14:textId="3CA883FA" w:rsidR="00220817" w:rsidRPr="00932E64" w:rsidRDefault="00220817" w:rsidP="00932E64">
      <w:pPr>
        <w:pStyle w:val="ListParagraph"/>
        <w:numPr>
          <w:ilvl w:val="0"/>
          <w:numId w:val="17"/>
        </w:numPr>
        <w:spacing w:line="360" w:lineRule="auto"/>
        <w:jc w:val="both"/>
        <w:rPr>
          <w:rFonts w:ascii="Arial" w:hAnsi="Arial" w:cs="Arial"/>
          <w:sz w:val="24"/>
          <w:szCs w:val="24"/>
        </w:rPr>
      </w:pPr>
      <w:r w:rsidRPr="00932E64">
        <w:rPr>
          <w:rFonts w:ascii="Arial" w:hAnsi="Arial" w:cs="Arial"/>
          <w:b/>
          <w:bCs/>
          <w:sz w:val="24"/>
          <w:szCs w:val="24"/>
        </w:rPr>
        <w:t>Gross Margin:</w:t>
      </w:r>
      <w:r w:rsidRPr="00932E64">
        <w:rPr>
          <w:rFonts w:ascii="Arial" w:hAnsi="Arial" w:cs="Arial"/>
          <w:sz w:val="24"/>
          <w:szCs w:val="24"/>
        </w:rPr>
        <w:t xml:space="preserve"> Tesla had industry-leading gross margins of 25.3% in 2021 and 25.6% in 2022. In 2023, the margins plunged to 18.2% as the company implemented aggressive discounting at the beginning of the year. In the last two years, this ratio fluctuated marginally between 17.9% and 18%.</w:t>
      </w:r>
    </w:p>
    <w:p w14:paraId="4211B7CF" w14:textId="1F59DE35" w:rsidR="00220817" w:rsidRPr="00932E64" w:rsidRDefault="00220817" w:rsidP="00932E64">
      <w:pPr>
        <w:pStyle w:val="ListParagraph"/>
        <w:numPr>
          <w:ilvl w:val="0"/>
          <w:numId w:val="17"/>
        </w:numPr>
        <w:spacing w:line="360" w:lineRule="auto"/>
        <w:jc w:val="both"/>
        <w:rPr>
          <w:rFonts w:ascii="Arial" w:hAnsi="Arial" w:cs="Arial"/>
          <w:sz w:val="24"/>
          <w:szCs w:val="24"/>
        </w:rPr>
      </w:pPr>
      <w:r w:rsidRPr="00932E64">
        <w:rPr>
          <w:rFonts w:ascii="Arial" w:hAnsi="Arial" w:cs="Arial"/>
          <w:b/>
          <w:bCs/>
          <w:sz w:val="24"/>
          <w:szCs w:val="24"/>
        </w:rPr>
        <w:t>Operating Margin:</w:t>
      </w:r>
      <w:r w:rsidRPr="00932E64">
        <w:rPr>
          <w:rFonts w:ascii="Arial" w:hAnsi="Arial" w:cs="Arial"/>
          <w:sz w:val="24"/>
          <w:szCs w:val="24"/>
        </w:rPr>
        <w:t xml:space="preserve"> Due to the growing investments in AI infrastructure and the developing next-gen technologies, the operating margin witnessed a steeper decline from its peak of 16.8% in 2022 down to 4.6% in 2025.</w:t>
      </w:r>
    </w:p>
    <w:p w14:paraId="3CC54EA6" w14:textId="55AE5FC9" w:rsidR="00220817" w:rsidRPr="00932E64" w:rsidRDefault="00220817" w:rsidP="00932E64">
      <w:pPr>
        <w:pStyle w:val="ListParagraph"/>
        <w:numPr>
          <w:ilvl w:val="0"/>
          <w:numId w:val="17"/>
        </w:numPr>
        <w:spacing w:line="360" w:lineRule="auto"/>
        <w:jc w:val="both"/>
        <w:rPr>
          <w:rFonts w:ascii="Arial" w:hAnsi="Arial" w:cs="Arial"/>
          <w:sz w:val="24"/>
          <w:szCs w:val="24"/>
        </w:rPr>
      </w:pPr>
      <w:r w:rsidRPr="00932E64">
        <w:rPr>
          <w:rFonts w:ascii="Arial" w:hAnsi="Arial" w:cs="Arial"/>
          <w:b/>
          <w:bCs/>
          <w:sz w:val="24"/>
          <w:szCs w:val="24"/>
        </w:rPr>
        <w:t>Net Profit Margin:</w:t>
      </w:r>
      <w:r w:rsidRPr="00932E64">
        <w:rPr>
          <w:rFonts w:ascii="Arial" w:hAnsi="Arial" w:cs="Arial"/>
          <w:sz w:val="24"/>
          <w:szCs w:val="24"/>
        </w:rPr>
        <w:t xml:space="preserve"> Similarly, the net profit margin fell from a high of 15.5% in 2023 to just 4% in 2025.</w:t>
      </w:r>
    </w:p>
    <w:p w14:paraId="786716F6" w14:textId="1D9D7544" w:rsidR="00220817" w:rsidRPr="00932E64" w:rsidRDefault="00220817" w:rsidP="00932E64">
      <w:pPr>
        <w:pStyle w:val="ListParagraph"/>
        <w:numPr>
          <w:ilvl w:val="0"/>
          <w:numId w:val="17"/>
        </w:numPr>
        <w:spacing w:line="360" w:lineRule="auto"/>
        <w:jc w:val="both"/>
        <w:rPr>
          <w:rFonts w:ascii="Arial" w:hAnsi="Arial" w:cs="Arial"/>
          <w:sz w:val="24"/>
          <w:szCs w:val="24"/>
        </w:rPr>
      </w:pPr>
      <w:r w:rsidRPr="00932E64">
        <w:rPr>
          <w:rFonts w:ascii="Arial" w:hAnsi="Arial" w:cs="Arial"/>
          <w:b/>
          <w:bCs/>
          <w:sz w:val="24"/>
          <w:szCs w:val="24"/>
        </w:rPr>
        <w:t>ROE &amp; ROA:</w:t>
      </w:r>
      <w:r w:rsidRPr="00932E64">
        <w:rPr>
          <w:rFonts w:ascii="Arial" w:hAnsi="Arial" w:cs="Arial"/>
          <w:sz w:val="24"/>
          <w:szCs w:val="24"/>
        </w:rPr>
        <w:t xml:space="preserve"> The return on equity fell from over 26% in 2022 to about 10% in 2025 as equity rose due to retained earnings while net income declined. Return on assets also declined from 17.4% in 2022 to a mere 2.9% in 2025.</w:t>
      </w:r>
    </w:p>
    <w:p w14:paraId="25E8C159" w14:textId="77777777" w:rsidR="00220817" w:rsidRPr="00932E64" w:rsidRDefault="00220817" w:rsidP="00932E64">
      <w:pPr>
        <w:spacing w:line="360" w:lineRule="auto"/>
        <w:ind w:left="360"/>
        <w:jc w:val="both"/>
        <w:rPr>
          <w:rFonts w:ascii="Arial" w:hAnsi="Arial" w:cs="Arial"/>
          <w:b/>
          <w:bCs/>
          <w:sz w:val="24"/>
          <w:szCs w:val="24"/>
        </w:rPr>
      </w:pPr>
      <w:r w:rsidRPr="00932E64">
        <w:rPr>
          <w:rFonts w:ascii="Arial" w:hAnsi="Arial" w:cs="Arial"/>
          <w:b/>
          <w:bCs/>
          <w:sz w:val="24"/>
          <w:szCs w:val="24"/>
        </w:rPr>
        <w:t>2.2 Liquidity Ratios</w:t>
      </w:r>
    </w:p>
    <w:p w14:paraId="6D4E2F0C" w14:textId="77777777" w:rsidR="00220817" w:rsidRPr="00D826F2" w:rsidRDefault="00220817" w:rsidP="00932E64">
      <w:pPr>
        <w:spacing w:line="360" w:lineRule="auto"/>
        <w:ind w:left="360"/>
        <w:jc w:val="both"/>
        <w:rPr>
          <w:rFonts w:ascii="Arial" w:hAnsi="Arial" w:cs="Arial"/>
          <w:sz w:val="24"/>
          <w:szCs w:val="24"/>
        </w:rPr>
      </w:pPr>
      <w:r w:rsidRPr="00D826F2">
        <w:rPr>
          <w:rFonts w:ascii="Arial" w:hAnsi="Arial" w:cs="Arial"/>
          <w:sz w:val="24"/>
          <w:szCs w:val="24"/>
        </w:rPr>
        <w:t>Tesla’s liquidity, while impacted by lower profits, remains unmatched by any other automaker globally.</w:t>
      </w:r>
    </w:p>
    <w:p w14:paraId="6B6FD6A5" w14:textId="068637EE" w:rsidR="00220817" w:rsidRPr="00932E64" w:rsidRDefault="00220817" w:rsidP="00932E64">
      <w:pPr>
        <w:pStyle w:val="ListParagraph"/>
        <w:numPr>
          <w:ilvl w:val="0"/>
          <w:numId w:val="18"/>
        </w:numPr>
        <w:spacing w:line="360" w:lineRule="auto"/>
        <w:jc w:val="both"/>
        <w:rPr>
          <w:rFonts w:ascii="Arial" w:hAnsi="Arial" w:cs="Arial"/>
          <w:sz w:val="24"/>
          <w:szCs w:val="24"/>
        </w:rPr>
      </w:pPr>
      <w:r w:rsidRPr="00932E64">
        <w:rPr>
          <w:rFonts w:ascii="Arial" w:hAnsi="Arial" w:cs="Arial"/>
          <w:b/>
          <w:bCs/>
          <w:sz w:val="24"/>
          <w:szCs w:val="24"/>
        </w:rPr>
        <w:t>Current Ratio:</w:t>
      </w:r>
      <w:r w:rsidRPr="00932E64">
        <w:rPr>
          <w:rFonts w:ascii="Arial" w:hAnsi="Arial" w:cs="Arial"/>
          <w:sz w:val="24"/>
          <w:szCs w:val="24"/>
        </w:rPr>
        <w:t xml:space="preserve"> From 1.4x in 2021, Tesla’s current ratio has increased every year to 1.5x (2022), 1.7x (2023), 2.0x (2024) and finally 2.2x (2025) ($68.6 billion current assets against $31.7 billion current liabilities). This implies a solid capacity to meet its short-term liabilities.</w:t>
      </w:r>
    </w:p>
    <w:p w14:paraId="3C8A5860" w14:textId="661C64C6" w:rsidR="00220817" w:rsidRPr="00932E64" w:rsidRDefault="00220817" w:rsidP="00932E64">
      <w:pPr>
        <w:pStyle w:val="ListParagraph"/>
        <w:numPr>
          <w:ilvl w:val="0"/>
          <w:numId w:val="18"/>
        </w:numPr>
        <w:spacing w:line="360" w:lineRule="auto"/>
        <w:jc w:val="both"/>
        <w:rPr>
          <w:rFonts w:ascii="Arial" w:hAnsi="Arial" w:cs="Arial"/>
          <w:sz w:val="28"/>
          <w:szCs w:val="28"/>
        </w:rPr>
      </w:pPr>
      <w:r w:rsidRPr="00932E64">
        <w:rPr>
          <w:rFonts w:ascii="Arial" w:hAnsi="Arial" w:cs="Arial"/>
          <w:b/>
          <w:bCs/>
          <w:sz w:val="24"/>
          <w:szCs w:val="24"/>
        </w:rPr>
        <w:t>Cash &amp; Investments:</w:t>
      </w:r>
      <w:r w:rsidRPr="00932E64">
        <w:rPr>
          <w:rFonts w:ascii="Arial" w:hAnsi="Arial" w:cs="Arial"/>
          <w:sz w:val="24"/>
          <w:szCs w:val="24"/>
        </w:rPr>
        <w:t xml:space="preserve"> Tesla's cash reserves have grown substantially from $17.7 billion in 2021 to $44.1 billion in 2025, which serves as an important buffer against downturns or capital needs for R&amp;D and production ramp-up without resorting to borrowing</w:t>
      </w:r>
      <w:r w:rsidRPr="00932E64">
        <w:rPr>
          <w:rFonts w:ascii="Arial" w:hAnsi="Arial" w:cs="Arial"/>
          <w:sz w:val="28"/>
          <w:szCs w:val="28"/>
        </w:rPr>
        <w:t>.</w:t>
      </w:r>
    </w:p>
    <w:p w14:paraId="226D2C06" w14:textId="77777777" w:rsidR="00220817" w:rsidRPr="00932E64" w:rsidRDefault="00220817" w:rsidP="00932E64">
      <w:pPr>
        <w:spacing w:line="360" w:lineRule="auto"/>
        <w:ind w:left="360"/>
        <w:jc w:val="both"/>
        <w:rPr>
          <w:rFonts w:ascii="Arial" w:hAnsi="Arial" w:cs="Arial"/>
          <w:b/>
          <w:bCs/>
          <w:sz w:val="24"/>
          <w:szCs w:val="24"/>
        </w:rPr>
      </w:pPr>
      <w:r w:rsidRPr="00932E64">
        <w:rPr>
          <w:rFonts w:ascii="Arial" w:hAnsi="Arial" w:cs="Arial"/>
          <w:b/>
          <w:bCs/>
          <w:sz w:val="24"/>
          <w:szCs w:val="24"/>
        </w:rPr>
        <w:t>2.3 Efficiency Ratios</w:t>
      </w:r>
    </w:p>
    <w:p w14:paraId="513EB127" w14:textId="77777777" w:rsidR="00220817" w:rsidRPr="00D826F2" w:rsidRDefault="00220817" w:rsidP="00932E64">
      <w:pPr>
        <w:spacing w:line="360" w:lineRule="auto"/>
        <w:ind w:left="360"/>
        <w:jc w:val="both"/>
        <w:rPr>
          <w:rFonts w:ascii="Arial" w:hAnsi="Arial" w:cs="Arial"/>
          <w:sz w:val="24"/>
          <w:szCs w:val="24"/>
        </w:rPr>
      </w:pPr>
      <w:r w:rsidRPr="00D826F2">
        <w:rPr>
          <w:rFonts w:ascii="Arial" w:hAnsi="Arial" w:cs="Arial"/>
          <w:sz w:val="24"/>
          <w:szCs w:val="24"/>
        </w:rPr>
        <w:lastRenderedPageBreak/>
        <w:t>Efficiency ratios showcase how well Tesla uses its assets to generate revenues. Some of these have declined over the last couple of years due to the challenging market environment.</w:t>
      </w:r>
    </w:p>
    <w:p w14:paraId="6D1F103D" w14:textId="3F11CE13" w:rsidR="00220817" w:rsidRPr="00932E64" w:rsidRDefault="00220817" w:rsidP="00932E64">
      <w:pPr>
        <w:pStyle w:val="ListParagraph"/>
        <w:numPr>
          <w:ilvl w:val="0"/>
          <w:numId w:val="19"/>
        </w:numPr>
        <w:spacing w:line="360" w:lineRule="auto"/>
        <w:jc w:val="both"/>
        <w:rPr>
          <w:rFonts w:ascii="Arial" w:hAnsi="Arial" w:cs="Arial"/>
          <w:sz w:val="24"/>
          <w:szCs w:val="24"/>
        </w:rPr>
      </w:pPr>
      <w:r w:rsidRPr="00932E64">
        <w:rPr>
          <w:rFonts w:ascii="Arial" w:hAnsi="Arial" w:cs="Arial"/>
          <w:b/>
          <w:bCs/>
          <w:sz w:val="24"/>
          <w:szCs w:val="24"/>
        </w:rPr>
        <w:t>Asset Turnover:</w:t>
      </w:r>
      <w:r w:rsidRPr="00932E64">
        <w:rPr>
          <w:rFonts w:ascii="Arial" w:hAnsi="Arial" w:cs="Arial"/>
          <w:sz w:val="24"/>
          <w:szCs w:val="24"/>
        </w:rPr>
        <w:t xml:space="preserve"> Tesla’s asset turnover ratio, a measure of how efficiently its assets generate revenue, decreased from 0.99x in 2022 to approximately 0.69x in 2025. This decline is primarily because Tesla has been massively expanding its asset base while revenues stagnated.</w:t>
      </w:r>
    </w:p>
    <w:p w14:paraId="5BBEE3A7" w14:textId="291B8213" w:rsidR="00220817" w:rsidRPr="00932E64" w:rsidRDefault="00220817" w:rsidP="00932E64">
      <w:pPr>
        <w:pStyle w:val="ListParagraph"/>
        <w:numPr>
          <w:ilvl w:val="0"/>
          <w:numId w:val="19"/>
        </w:numPr>
        <w:spacing w:line="360" w:lineRule="auto"/>
        <w:jc w:val="both"/>
        <w:rPr>
          <w:rFonts w:ascii="Arial" w:hAnsi="Arial" w:cs="Arial"/>
          <w:b/>
          <w:bCs/>
          <w:sz w:val="28"/>
          <w:szCs w:val="28"/>
        </w:rPr>
      </w:pPr>
      <w:r w:rsidRPr="00932E64">
        <w:rPr>
          <w:rFonts w:ascii="Arial" w:hAnsi="Arial" w:cs="Arial"/>
          <w:b/>
          <w:bCs/>
          <w:sz w:val="24"/>
          <w:szCs w:val="24"/>
        </w:rPr>
        <w:t>Inventory Turnover:</w:t>
      </w:r>
      <w:r w:rsidRPr="00932E64">
        <w:rPr>
          <w:rFonts w:ascii="Arial" w:hAnsi="Arial" w:cs="Arial"/>
          <w:sz w:val="24"/>
          <w:szCs w:val="24"/>
        </w:rPr>
        <w:t xml:space="preserve"> Demand has become a problem in 2024-2025 and hence the days' sales in inventory have increased as the cars remain in inventory for longer before being sold. This reflects the transition from a period of restricted production to a situation where demand is a constraint.</w:t>
      </w:r>
    </w:p>
    <w:p w14:paraId="4530624C" w14:textId="77777777" w:rsidR="00220817" w:rsidRPr="00D826F2" w:rsidRDefault="00220817" w:rsidP="00932E64">
      <w:pPr>
        <w:spacing w:line="360" w:lineRule="auto"/>
        <w:ind w:left="360"/>
        <w:jc w:val="both"/>
        <w:rPr>
          <w:rFonts w:ascii="Arial" w:hAnsi="Arial" w:cs="Arial"/>
          <w:b/>
          <w:bCs/>
          <w:sz w:val="24"/>
          <w:szCs w:val="24"/>
        </w:rPr>
      </w:pPr>
      <w:r w:rsidRPr="00D826F2">
        <w:rPr>
          <w:rFonts w:ascii="Arial" w:hAnsi="Arial" w:cs="Arial"/>
          <w:b/>
          <w:bCs/>
          <w:sz w:val="24"/>
          <w:szCs w:val="24"/>
        </w:rPr>
        <w:t>2.4 Gearing (Leverage) Analysis</w:t>
      </w:r>
    </w:p>
    <w:p w14:paraId="6C37D546" w14:textId="77777777" w:rsidR="00220817" w:rsidRPr="00D826F2" w:rsidRDefault="00220817" w:rsidP="00932E64">
      <w:pPr>
        <w:spacing w:line="360" w:lineRule="auto"/>
        <w:ind w:left="360"/>
        <w:jc w:val="both"/>
        <w:rPr>
          <w:rFonts w:ascii="Arial" w:hAnsi="Arial" w:cs="Arial"/>
          <w:sz w:val="24"/>
          <w:szCs w:val="24"/>
        </w:rPr>
      </w:pPr>
      <w:r w:rsidRPr="00D826F2">
        <w:rPr>
          <w:rFonts w:ascii="Arial" w:hAnsi="Arial" w:cs="Arial"/>
          <w:sz w:val="24"/>
          <w:szCs w:val="24"/>
        </w:rPr>
        <w:t>Tesla's debt level is negligible, which sets it apart from many of its rivals and mitigates its risk.</w:t>
      </w:r>
    </w:p>
    <w:p w14:paraId="34FDCC33" w14:textId="0F52C981" w:rsidR="00220817" w:rsidRPr="00932E64" w:rsidRDefault="00220817" w:rsidP="00932E64">
      <w:pPr>
        <w:pStyle w:val="ListParagraph"/>
        <w:numPr>
          <w:ilvl w:val="0"/>
          <w:numId w:val="20"/>
        </w:numPr>
        <w:spacing w:line="360" w:lineRule="auto"/>
        <w:jc w:val="both"/>
        <w:rPr>
          <w:rFonts w:ascii="Arial" w:hAnsi="Arial" w:cs="Arial"/>
          <w:sz w:val="24"/>
          <w:szCs w:val="24"/>
        </w:rPr>
      </w:pPr>
      <w:r w:rsidRPr="00932E64">
        <w:rPr>
          <w:rFonts w:ascii="Arial" w:hAnsi="Arial" w:cs="Arial"/>
          <w:b/>
          <w:bCs/>
          <w:sz w:val="24"/>
          <w:szCs w:val="24"/>
        </w:rPr>
        <w:t>Debt to Equity Ratio:</w:t>
      </w:r>
      <w:r w:rsidRPr="00932E64">
        <w:rPr>
          <w:rFonts w:ascii="Arial" w:hAnsi="Arial" w:cs="Arial"/>
          <w:sz w:val="24"/>
          <w:szCs w:val="24"/>
        </w:rPr>
        <w:t xml:space="preserve"> Long-term debt as a ratio of equity has remained very low (approx. 0.14 in 2025). Tesla has been paying off its traditional debts systematically.</w:t>
      </w:r>
    </w:p>
    <w:p w14:paraId="078F9E6B" w14:textId="76092517" w:rsidR="00220817" w:rsidRPr="00932E64" w:rsidRDefault="00220817" w:rsidP="00932E64">
      <w:pPr>
        <w:pStyle w:val="ListParagraph"/>
        <w:numPr>
          <w:ilvl w:val="0"/>
          <w:numId w:val="20"/>
        </w:numPr>
        <w:spacing w:line="360" w:lineRule="auto"/>
        <w:jc w:val="both"/>
        <w:rPr>
          <w:rFonts w:ascii="Arial" w:hAnsi="Arial" w:cs="Arial"/>
          <w:sz w:val="24"/>
          <w:szCs w:val="24"/>
        </w:rPr>
      </w:pPr>
      <w:r w:rsidRPr="00932E64">
        <w:rPr>
          <w:rFonts w:ascii="Arial" w:hAnsi="Arial" w:cs="Arial"/>
          <w:b/>
          <w:bCs/>
          <w:sz w:val="24"/>
          <w:szCs w:val="24"/>
        </w:rPr>
        <w:t>Interest Coverage:</w:t>
      </w:r>
      <w:r w:rsidRPr="00932E64">
        <w:rPr>
          <w:rFonts w:ascii="Arial" w:hAnsi="Arial" w:cs="Arial"/>
          <w:sz w:val="24"/>
          <w:szCs w:val="24"/>
        </w:rPr>
        <w:t xml:space="preserve"> Due to its huge cash reserves and very little debt, Tesla's interest expenses are negligible compared to its income from interest on its cash deposits, rendering it insensitive to current high-interest rates. The company has essentially zero leverage risk.</w:t>
      </w:r>
    </w:p>
    <w:p w14:paraId="2BBD12D7" w14:textId="1B985C18" w:rsidR="00220817" w:rsidRPr="00D826F2" w:rsidRDefault="00D826F2" w:rsidP="00932E64">
      <w:pPr>
        <w:spacing w:line="360" w:lineRule="auto"/>
        <w:jc w:val="both"/>
        <w:rPr>
          <w:rFonts w:ascii="Arial" w:hAnsi="Arial" w:cs="Arial"/>
          <w:b/>
          <w:bCs/>
          <w:sz w:val="24"/>
          <w:szCs w:val="24"/>
        </w:rPr>
      </w:pPr>
      <w:r>
        <w:rPr>
          <w:rFonts w:ascii="Arial" w:hAnsi="Arial" w:cs="Arial"/>
          <w:b/>
          <w:bCs/>
          <w:sz w:val="24"/>
          <w:szCs w:val="24"/>
        </w:rPr>
        <w:t xml:space="preserve">     </w:t>
      </w:r>
      <w:r w:rsidR="00220817" w:rsidRPr="00D826F2">
        <w:rPr>
          <w:rFonts w:ascii="Arial" w:hAnsi="Arial" w:cs="Arial"/>
          <w:b/>
          <w:bCs/>
          <w:sz w:val="24"/>
          <w:szCs w:val="24"/>
        </w:rPr>
        <w:t>2.5 Investment (Market) Ratios</w:t>
      </w:r>
    </w:p>
    <w:p w14:paraId="0F887CC7" w14:textId="77777777" w:rsidR="00220817" w:rsidRPr="00D826F2" w:rsidRDefault="00220817" w:rsidP="00932E64">
      <w:pPr>
        <w:spacing w:line="360" w:lineRule="auto"/>
        <w:ind w:left="360"/>
        <w:jc w:val="both"/>
        <w:rPr>
          <w:rFonts w:ascii="Arial" w:hAnsi="Arial" w:cs="Arial"/>
          <w:sz w:val="24"/>
          <w:szCs w:val="24"/>
        </w:rPr>
      </w:pPr>
      <w:r w:rsidRPr="00D826F2">
        <w:rPr>
          <w:rFonts w:ascii="Arial" w:hAnsi="Arial" w:cs="Arial"/>
          <w:sz w:val="24"/>
          <w:szCs w:val="24"/>
        </w:rPr>
        <w:t>Tesla's market valuation is higher than the company's actual financial performance.</w:t>
      </w:r>
    </w:p>
    <w:p w14:paraId="02279A64" w14:textId="75A9C0B0" w:rsidR="00220817" w:rsidRPr="00932E64" w:rsidRDefault="00220817" w:rsidP="00932E64">
      <w:pPr>
        <w:pStyle w:val="ListParagraph"/>
        <w:numPr>
          <w:ilvl w:val="0"/>
          <w:numId w:val="21"/>
        </w:numPr>
        <w:spacing w:line="360" w:lineRule="auto"/>
        <w:jc w:val="both"/>
        <w:rPr>
          <w:rFonts w:ascii="Arial" w:hAnsi="Arial" w:cs="Arial"/>
          <w:sz w:val="24"/>
          <w:szCs w:val="24"/>
        </w:rPr>
      </w:pPr>
      <w:r w:rsidRPr="00932E64">
        <w:rPr>
          <w:rFonts w:ascii="Arial" w:hAnsi="Arial" w:cs="Arial"/>
          <w:b/>
          <w:bCs/>
          <w:sz w:val="24"/>
          <w:szCs w:val="24"/>
        </w:rPr>
        <w:t>EPS:</w:t>
      </w:r>
      <w:r w:rsidRPr="00932E64">
        <w:rPr>
          <w:rFonts w:ascii="Arial" w:hAnsi="Arial" w:cs="Arial"/>
          <w:sz w:val="24"/>
          <w:szCs w:val="24"/>
        </w:rPr>
        <w:t xml:space="preserve"> Diluted GAAP EPS fell from $4.30 in 2023 to $1.08 in 2025.</w:t>
      </w:r>
    </w:p>
    <w:p w14:paraId="445A955E" w14:textId="33C05C82" w:rsidR="00220817" w:rsidRPr="00932E64" w:rsidRDefault="00220817" w:rsidP="00932E64">
      <w:pPr>
        <w:pStyle w:val="ListParagraph"/>
        <w:numPr>
          <w:ilvl w:val="0"/>
          <w:numId w:val="21"/>
        </w:numPr>
        <w:spacing w:line="360" w:lineRule="auto"/>
        <w:jc w:val="both"/>
        <w:rPr>
          <w:rFonts w:ascii="Arial" w:hAnsi="Arial" w:cs="Arial"/>
          <w:sz w:val="24"/>
          <w:szCs w:val="24"/>
        </w:rPr>
      </w:pPr>
      <w:r w:rsidRPr="00932E64">
        <w:rPr>
          <w:rFonts w:ascii="Arial" w:hAnsi="Arial" w:cs="Arial"/>
          <w:b/>
          <w:bCs/>
          <w:sz w:val="24"/>
          <w:szCs w:val="24"/>
        </w:rPr>
        <w:t>P/E Ratio:</w:t>
      </w:r>
      <w:r w:rsidRPr="00932E64">
        <w:rPr>
          <w:rFonts w:ascii="Arial" w:hAnsi="Arial" w:cs="Arial"/>
          <w:sz w:val="24"/>
          <w:szCs w:val="24"/>
        </w:rPr>
        <w:t xml:space="preserve"> The Price to Earnings ratio for Tesla is always in triple digits (over 300x), indicating that the market is factoring in tremendous future growth of AI and software ventures at the expense of the current car business. This can also indicate that the market expects absolute perfection in the company's execution.</w:t>
      </w:r>
    </w:p>
    <w:p w14:paraId="622102FA" w14:textId="0C521B7F" w:rsidR="00220817" w:rsidRPr="00932E64" w:rsidRDefault="00220817" w:rsidP="00932E64">
      <w:pPr>
        <w:pStyle w:val="ListParagraph"/>
        <w:numPr>
          <w:ilvl w:val="0"/>
          <w:numId w:val="21"/>
        </w:numPr>
        <w:spacing w:line="360" w:lineRule="auto"/>
        <w:jc w:val="both"/>
        <w:rPr>
          <w:rFonts w:ascii="Arial" w:hAnsi="Arial" w:cs="Arial"/>
          <w:sz w:val="24"/>
          <w:szCs w:val="24"/>
        </w:rPr>
      </w:pPr>
      <w:r w:rsidRPr="00932E64">
        <w:rPr>
          <w:rFonts w:ascii="Arial" w:hAnsi="Arial" w:cs="Arial"/>
          <w:b/>
          <w:bCs/>
          <w:sz w:val="24"/>
          <w:szCs w:val="24"/>
        </w:rPr>
        <w:lastRenderedPageBreak/>
        <w:t>P/S Ratio:</w:t>
      </w:r>
      <w:r w:rsidRPr="00932E64">
        <w:rPr>
          <w:rFonts w:ascii="Arial" w:hAnsi="Arial" w:cs="Arial"/>
          <w:sz w:val="24"/>
          <w:szCs w:val="24"/>
        </w:rPr>
        <w:t xml:space="preserve"> As expected, the price to sales ratio for Tesla is far greater than for its traditional competitors (which often trade below 1x sales), due to the belief that future growth is hinged on the high-margin revenue streams of software and energy services.</w:t>
      </w:r>
    </w:p>
    <w:p w14:paraId="277C1AC5" w14:textId="77777777" w:rsidR="00220817" w:rsidRPr="00D826F2" w:rsidRDefault="00220817" w:rsidP="00932E64">
      <w:pPr>
        <w:spacing w:line="360" w:lineRule="auto"/>
        <w:ind w:left="360"/>
        <w:jc w:val="both"/>
        <w:rPr>
          <w:rFonts w:ascii="Arial" w:hAnsi="Arial" w:cs="Arial"/>
          <w:b/>
          <w:bCs/>
          <w:sz w:val="24"/>
          <w:szCs w:val="24"/>
        </w:rPr>
      </w:pPr>
      <w:r w:rsidRPr="00D826F2">
        <w:rPr>
          <w:rFonts w:ascii="Arial" w:hAnsi="Arial" w:cs="Arial"/>
          <w:b/>
          <w:bCs/>
          <w:sz w:val="24"/>
          <w:szCs w:val="24"/>
        </w:rPr>
        <w:t>2.6 Cash Flow Analysis</w:t>
      </w:r>
    </w:p>
    <w:p w14:paraId="5F1BCB42" w14:textId="77777777" w:rsidR="00220817" w:rsidRPr="00D826F2" w:rsidRDefault="00220817" w:rsidP="00932E64">
      <w:pPr>
        <w:spacing w:line="360" w:lineRule="auto"/>
        <w:ind w:left="360"/>
        <w:jc w:val="both"/>
        <w:rPr>
          <w:rFonts w:ascii="Arial" w:hAnsi="Arial" w:cs="Arial"/>
          <w:sz w:val="24"/>
          <w:szCs w:val="24"/>
        </w:rPr>
      </w:pPr>
      <w:r w:rsidRPr="00D826F2">
        <w:rPr>
          <w:rFonts w:ascii="Arial" w:hAnsi="Arial" w:cs="Arial"/>
          <w:sz w:val="24"/>
          <w:szCs w:val="24"/>
        </w:rPr>
        <w:t>Cash flow generation remains a key strength and testament to the underlying operational efficiency and health of the business model.</w:t>
      </w:r>
    </w:p>
    <w:p w14:paraId="48519F0F" w14:textId="54247B9F" w:rsidR="00220817" w:rsidRPr="00932E64" w:rsidRDefault="00220817" w:rsidP="00932E64">
      <w:pPr>
        <w:pStyle w:val="ListParagraph"/>
        <w:numPr>
          <w:ilvl w:val="0"/>
          <w:numId w:val="22"/>
        </w:numPr>
        <w:spacing w:line="360" w:lineRule="auto"/>
        <w:jc w:val="both"/>
        <w:rPr>
          <w:rFonts w:ascii="Arial" w:hAnsi="Arial" w:cs="Arial"/>
          <w:sz w:val="24"/>
          <w:szCs w:val="24"/>
        </w:rPr>
      </w:pPr>
      <w:r w:rsidRPr="00932E64">
        <w:rPr>
          <w:rFonts w:ascii="Arial" w:hAnsi="Arial" w:cs="Arial"/>
          <w:b/>
          <w:bCs/>
          <w:sz w:val="24"/>
          <w:szCs w:val="24"/>
        </w:rPr>
        <w:t>Operating Cash Flow:</w:t>
      </w:r>
      <w:r w:rsidRPr="00932E64">
        <w:rPr>
          <w:rFonts w:ascii="Arial" w:hAnsi="Arial" w:cs="Arial"/>
          <w:sz w:val="24"/>
          <w:szCs w:val="24"/>
        </w:rPr>
        <w:t xml:space="preserve"> OCF has been strong throughout the five-year period and has even been more stable than net income, resting around $14 billion in 2024-2025.</w:t>
      </w:r>
    </w:p>
    <w:p w14:paraId="7E4FD47E" w14:textId="16A75EDA" w:rsidR="00220817" w:rsidRPr="00932E64" w:rsidRDefault="00220817" w:rsidP="00932E64">
      <w:pPr>
        <w:pStyle w:val="ListParagraph"/>
        <w:numPr>
          <w:ilvl w:val="0"/>
          <w:numId w:val="22"/>
        </w:numPr>
        <w:spacing w:line="360" w:lineRule="auto"/>
        <w:jc w:val="both"/>
        <w:rPr>
          <w:rFonts w:ascii="Arial" w:hAnsi="Arial" w:cs="Arial"/>
          <w:sz w:val="24"/>
          <w:szCs w:val="24"/>
        </w:rPr>
      </w:pPr>
      <w:proofErr w:type="spellStart"/>
      <w:r w:rsidRPr="00932E64">
        <w:rPr>
          <w:rFonts w:ascii="Arial" w:hAnsi="Arial" w:cs="Arial"/>
          <w:b/>
          <w:bCs/>
          <w:sz w:val="24"/>
          <w:szCs w:val="24"/>
        </w:rPr>
        <w:t>CapEx</w:t>
      </w:r>
      <w:proofErr w:type="spellEnd"/>
      <w:r w:rsidRPr="00932E64">
        <w:rPr>
          <w:rFonts w:ascii="Arial" w:hAnsi="Arial" w:cs="Arial"/>
          <w:b/>
          <w:bCs/>
          <w:sz w:val="24"/>
          <w:szCs w:val="24"/>
        </w:rPr>
        <w:t>:</w:t>
      </w:r>
      <w:r w:rsidRPr="00932E64">
        <w:rPr>
          <w:rFonts w:ascii="Arial" w:hAnsi="Arial" w:cs="Arial"/>
          <w:sz w:val="24"/>
          <w:szCs w:val="24"/>
        </w:rPr>
        <w:t xml:space="preserve"> Capital expenditures were massive, as the company invested in AI infrastructure and new factories, climbing to $11.3 billion in 2024 before retreating slightly to $8.5 billion in 2025.</w:t>
      </w:r>
    </w:p>
    <w:p w14:paraId="5797E201" w14:textId="2DEE8DBD" w:rsidR="00220817" w:rsidRPr="00932E64" w:rsidRDefault="00220817" w:rsidP="00932E64">
      <w:pPr>
        <w:pStyle w:val="ListParagraph"/>
        <w:numPr>
          <w:ilvl w:val="0"/>
          <w:numId w:val="22"/>
        </w:numPr>
        <w:spacing w:line="360" w:lineRule="auto"/>
        <w:jc w:val="both"/>
        <w:rPr>
          <w:rFonts w:ascii="Arial" w:hAnsi="Arial" w:cs="Arial"/>
          <w:sz w:val="24"/>
          <w:szCs w:val="24"/>
        </w:rPr>
      </w:pPr>
      <w:r w:rsidRPr="00932E64">
        <w:rPr>
          <w:rFonts w:ascii="Arial" w:hAnsi="Arial" w:cs="Arial"/>
          <w:b/>
          <w:bCs/>
          <w:sz w:val="24"/>
          <w:szCs w:val="24"/>
        </w:rPr>
        <w:t>FCF:</w:t>
      </w:r>
      <w:r w:rsidRPr="00932E64">
        <w:rPr>
          <w:rFonts w:ascii="Arial" w:hAnsi="Arial" w:cs="Arial"/>
          <w:sz w:val="24"/>
          <w:szCs w:val="24"/>
        </w:rPr>
        <w:t xml:space="preserve"> Free Cash Flow stood at $6.2 billion in 2025 (a 74% increase year over year), even after substantial capital expenditures. This will fuel Tesla's ongoing cash build-up.</w:t>
      </w:r>
    </w:p>
    <w:p w14:paraId="63D983B2" w14:textId="77777777" w:rsidR="00220817" w:rsidRPr="00D826F2" w:rsidRDefault="00220817" w:rsidP="00932E64">
      <w:pPr>
        <w:spacing w:line="360" w:lineRule="auto"/>
        <w:jc w:val="both"/>
        <w:rPr>
          <w:rFonts w:ascii="Arial" w:hAnsi="Arial" w:cs="Arial"/>
          <w:b/>
          <w:bCs/>
          <w:sz w:val="24"/>
          <w:szCs w:val="24"/>
        </w:rPr>
      </w:pPr>
      <w:r w:rsidRPr="00D826F2">
        <w:rPr>
          <w:rFonts w:ascii="Arial" w:hAnsi="Arial" w:cs="Arial"/>
          <w:b/>
          <w:bCs/>
          <w:sz w:val="24"/>
          <w:szCs w:val="24"/>
        </w:rPr>
        <w:t>3. Trends, Strengths, and Threats</w:t>
      </w:r>
    </w:p>
    <w:p w14:paraId="2A9E42AB" w14:textId="77777777" w:rsidR="00220817" w:rsidRPr="00D826F2" w:rsidRDefault="00220817" w:rsidP="00932E64">
      <w:pPr>
        <w:spacing w:line="360" w:lineRule="auto"/>
        <w:ind w:left="360"/>
        <w:jc w:val="both"/>
        <w:rPr>
          <w:rFonts w:ascii="Arial" w:hAnsi="Arial" w:cs="Arial"/>
          <w:b/>
          <w:bCs/>
          <w:sz w:val="24"/>
          <w:szCs w:val="24"/>
        </w:rPr>
      </w:pPr>
      <w:r w:rsidRPr="00D826F2">
        <w:rPr>
          <w:rFonts w:ascii="Arial" w:hAnsi="Arial" w:cs="Arial"/>
          <w:b/>
          <w:bCs/>
          <w:sz w:val="24"/>
          <w:szCs w:val="24"/>
        </w:rPr>
        <w:t>Key Trends</w:t>
      </w:r>
    </w:p>
    <w:p w14:paraId="14706F64" w14:textId="785F4841" w:rsidR="00220817" w:rsidRPr="00D826F2" w:rsidRDefault="00220817" w:rsidP="00932E64">
      <w:pPr>
        <w:pStyle w:val="ListParagraph"/>
        <w:numPr>
          <w:ilvl w:val="0"/>
          <w:numId w:val="15"/>
        </w:numPr>
        <w:spacing w:line="360" w:lineRule="auto"/>
        <w:jc w:val="both"/>
        <w:rPr>
          <w:rFonts w:ascii="Arial" w:hAnsi="Arial" w:cs="Arial"/>
          <w:sz w:val="24"/>
          <w:szCs w:val="24"/>
        </w:rPr>
      </w:pPr>
      <w:r w:rsidRPr="00D826F2">
        <w:rPr>
          <w:rFonts w:ascii="Arial" w:hAnsi="Arial" w:cs="Arial"/>
          <w:b/>
          <w:bCs/>
          <w:sz w:val="24"/>
          <w:szCs w:val="24"/>
        </w:rPr>
        <w:t>Pivot from hardware to AI</w:t>
      </w:r>
      <w:r w:rsidRPr="00D826F2">
        <w:rPr>
          <w:rFonts w:ascii="Arial" w:hAnsi="Arial" w:cs="Arial"/>
          <w:sz w:val="24"/>
          <w:szCs w:val="24"/>
        </w:rPr>
        <w:t>: Tesla is transforming its identity from a hardware manufacturer toward being an AI entity; with the Robotaxi and the investments in FSD infrastructure (which already represents significant costs) its future value is projected to rely on the higher margins that this strategy promises to deliver.</w:t>
      </w:r>
    </w:p>
    <w:p w14:paraId="386E1DEE" w14:textId="7A63E6F0" w:rsidR="00220817" w:rsidRPr="00D826F2" w:rsidRDefault="00220817" w:rsidP="00932E64">
      <w:pPr>
        <w:pStyle w:val="ListParagraph"/>
        <w:numPr>
          <w:ilvl w:val="0"/>
          <w:numId w:val="15"/>
        </w:numPr>
        <w:spacing w:line="360" w:lineRule="auto"/>
        <w:jc w:val="both"/>
        <w:rPr>
          <w:rFonts w:ascii="Arial" w:hAnsi="Arial" w:cs="Arial"/>
          <w:sz w:val="24"/>
          <w:szCs w:val="24"/>
        </w:rPr>
      </w:pPr>
      <w:r w:rsidRPr="00D826F2">
        <w:rPr>
          <w:rFonts w:ascii="Arial" w:hAnsi="Arial" w:cs="Arial"/>
          <w:b/>
          <w:bCs/>
          <w:sz w:val="24"/>
          <w:szCs w:val="24"/>
        </w:rPr>
        <w:t>Energy storage as a driver</w:t>
      </w:r>
      <w:r w:rsidRPr="00D826F2">
        <w:rPr>
          <w:rFonts w:ascii="Arial" w:hAnsi="Arial" w:cs="Arial"/>
          <w:sz w:val="24"/>
          <w:szCs w:val="24"/>
        </w:rPr>
        <w:t>: The rise of the energy storage business is one of the most significant trends, as this segment has demonstrated steady high-growth revenues and expanding margins over the past few years, thereby reducing the dependence on the automotive segment which suffered decline in 2025.</w:t>
      </w:r>
    </w:p>
    <w:p w14:paraId="737EFBB0" w14:textId="659F72CE" w:rsidR="00220817" w:rsidRPr="00D826F2" w:rsidRDefault="00220817" w:rsidP="00932E64">
      <w:pPr>
        <w:pStyle w:val="ListParagraph"/>
        <w:numPr>
          <w:ilvl w:val="0"/>
          <w:numId w:val="15"/>
        </w:numPr>
        <w:spacing w:line="360" w:lineRule="auto"/>
        <w:jc w:val="both"/>
        <w:rPr>
          <w:rFonts w:ascii="Arial" w:hAnsi="Arial" w:cs="Arial"/>
          <w:b/>
          <w:bCs/>
          <w:sz w:val="28"/>
          <w:szCs w:val="28"/>
        </w:rPr>
      </w:pPr>
      <w:r w:rsidRPr="00D826F2">
        <w:rPr>
          <w:rFonts w:ascii="Arial" w:hAnsi="Arial" w:cs="Arial"/>
          <w:b/>
          <w:bCs/>
          <w:sz w:val="24"/>
          <w:szCs w:val="24"/>
        </w:rPr>
        <w:t>Deflation of EV prices</w:t>
      </w:r>
      <w:r w:rsidRPr="00D826F2">
        <w:rPr>
          <w:rFonts w:ascii="Arial" w:hAnsi="Arial" w:cs="Arial"/>
          <w:sz w:val="24"/>
          <w:szCs w:val="24"/>
        </w:rPr>
        <w:t xml:space="preserve">: The global EV prices have consistently decreased over the last three years, leading to lower automotive margins, which might </w:t>
      </w:r>
      <w:r w:rsidRPr="00D826F2">
        <w:rPr>
          <w:rFonts w:ascii="Arial" w:hAnsi="Arial" w:cs="Arial"/>
          <w:sz w:val="24"/>
          <w:szCs w:val="24"/>
        </w:rPr>
        <w:lastRenderedPageBreak/>
        <w:t>continue into the future, as demand and supply balance and competition among EV manufacturers increases.</w:t>
      </w:r>
    </w:p>
    <w:p w14:paraId="698A9309" w14:textId="77777777" w:rsidR="00220817" w:rsidRPr="00D826F2" w:rsidRDefault="00220817" w:rsidP="00932E64">
      <w:pPr>
        <w:spacing w:line="360" w:lineRule="auto"/>
        <w:ind w:left="360"/>
        <w:jc w:val="both"/>
        <w:rPr>
          <w:rFonts w:ascii="Arial" w:hAnsi="Arial" w:cs="Arial"/>
          <w:b/>
          <w:bCs/>
          <w:sz w:val="24"/>
          <w:szCs w:val="24"/>
        </w:rPr>
      </w:pPr>
      <w:r w:rsidRPr="00D826F2">
        <w:rPr>
          <w:rFonts w:ascii="Arial" w:hAnsi="Arial" w:cs="Arial"/>
          <w:b/>
          <w:bCs/>
          <w:sz w:val="24"/>
          <w:szCs w:val="24"/>
        </w:rPr>
        <w:t>Major Strengths</w:t>
      </w:r>
    </w:p>
    <w:p w14:paraId="0437A31B" w14:textId="71B5DB67" w:rsidR="00220817" w:rsidRPr="00220817" w:rsidRDefault="00220817" w:rsidP="00932E64">
      <w:pPr>
        <w:pStyle w:val="ListParagraph"/>
        <w:numPr>
          <w:ilvl w:val="0"/>
          <w:numId w:val="14"/>
        </w:numPr>
        <w:spacing w:line="360" w:lineRule="auto"/>
        <w:jc w:val="both"/>
        <w:rPr>
          <w:rFonts w:ascii="Arial" w:hAnsi="Arial" w:cs="Arial"/>
          <w:sz w:val="24"/>
          <w:szCs w:val="24"/>
        </w:rPr>
      </w:pPr>
      <w:r w:rsidRPr="00D826F2">
        <w:rPr>
          <w:rFonts w:ascii="Arial" w:hAnsi="Arial" w:cs="Arial"/>
          <w:b/>
          <w:bCs/>
          <w:sz w:val="24"/>
          <w:szCs w:val="24"/>
        </w:rPr>
        <w:t>Financial stability</w:t>
      </w:r>
      <w:r w:rsidRPr="00220817">
        <w:rPr>
          <w:rFonts w:ascii="Arial" w:hAnsi="Arial" w:cs="Arial"/>
          <w:sz w:val="24"/>
          <w:szCs w:val="24"/>
        </w:rPr>
        <w:t>: Tesla's balance sheet is perhaps its greatest operational advantage in the car industry. Billions of dollars in cash, minimal debt, and consistent free cash flow will allow Tesla to outcompete on price and invest in new technology without fear of bankruptcy.</w:t>
      </w:r>
    </w:p>
    <w:p w14:paraId="6578E653" w14:textId="7BB534C1" w:rsidR="00220817" w:rsidRPr="00220817" w:rsidRDefault="00220817" w:rsidP="00932E64">
      <w:pPr>
        <w:pStyle w:val="ListParagraph"/>
        <w:numPr>
          <w:ilvl w:val="0"/>
          <w:numId w:val="14"/>
        </w:numPr>
        <w:spacing w:line="360" w:lineRule="auto"/>
        <w:jc w:val="both"/>
        <w:rPr>
          <w:rFonts w:ascii="Arial" w:hAnsi="Arial" w:cs="Arial"/>
          <w:sz w:val="24"/>
          <w:szCs w:val="24"/>
        </w:rPr>
      </w:pPr>
      <w:r w:rsidRPr="00D826F2">
        <w:rPr>
          <w:rFonts w:ascii="Arial" w:hAnsi="Arial" w:cs="Arial"/>
          <w:b/>
          <w:bCs/>
          <w:sz w:val="24"/>
          <w:szCs w:val="24"/>
        </w:rPr>
        <w:t>Resilient Free Cash Flow generation</w:t>
      </w:r>
      <w:r w:rsidRPr="00220817">
        <w:rPr>
          <w:rFonts w:ascii="Arial" w:hAnsi="Arial" w:cs="Arial"/>
          <w:sz w:val="24"/>
          <w:szCs w:val="24"/>
        </w:rPr>
        <w:t>: Tesla has demonstrated its ability to generate approximately $6.2 billion of free cash flow even in 2025 when net income was down. This resilience signifies a fundamentally sound and robust business model.</w:t>
      </w:r>
    </w:p>
    <w:p w14:paraId="6A28DBBC" w14:textId="77777777" w:rsidR="00220817" w:rsidRPr="00220817" w:rsidRDefault="00220817" w:rsidP="00932E64">
      <w:pPr>
        <w:pStyle w:val="ListParagraph"/>
        <w:numPr>
          <w:ilvl w:val="0"/>
          <w:numId w:val="14"/>
        </w:numPr>
        <w:spacing w:line="360" w:lineRule="auto"/>
        <w:jc w:val="both"/>
        <w:rPr>
          <w:rFonts w:ascii="Arial" w:hAnsi="Arial" w:cs="Arial"/>
          <w:sz w:val="24"/>
          <w:szCs w:val="24"/>
        </w:rPr>
      </w:pPr>
      <w:r w:rsidRPr="00D826F2">
        <w:rPr>
          <w:rFonts w:ascii="Arial" w:hAnsi="Arial" w:cs="Arial"/>
          <w:b/>
          <w:bCs/>
          <w:sz w:val="24"/>
          <w:szCs w:val="24"/>
        </w:rPr>
        <w:t>Cost Leadership</w:t>
      </w:r>
      <w:r w:rsidRPr="00220817">
        <w:rPr>
          <w:rFonts w:ascii="Arial" w:hAnsi="Arial" w:cs="Arial"/>
          <w:sz w:val="24"/>
          <w:szCs w:val="24"/>
        </w:rPr>
        <w:t>: Even though its margins are shrinking, Tesla has still managed to undercut almost all western competitors by manufacturing vehicles cost-efficiently due to its vertical integration and automation strategy.</w:t>
      </w:r>
    </w:p>
    <w:p w14:paraId="3C82B67B" w14:textId="77777777" w:rsidR="00220817" w:rsidRPr="00220817" w:rsidRDefault="00220817" w:rsidP="00932E64">
      <w:pPr>
        <w:spacing w:line="360" w:lineRule="auto"/>
        <w:ind w:left="360"/>
        <w:jc w:val="both"/>
        <w:rPr>
          <w:rFonts w:ascii="Arial" w:hAnsi="Arial" w:cs="Arial"/>
          <w:b/>
          <w:bCs/>
          <w:sz w:val="24"/>
          <w:szCs w:val="24"/>
        </w:rPr>
      </w:pPr>
      <w:r w:rsidRPr="00220817">
        <w:rPr>
          <w:rFonts w:ascii="Arial" w:hAnsi="Arial" w:cs="Arial"/>
          <w:b/>
          <w:bCs/>
          <w:sz w:val="24"/>
          <w:szCs w:val="24"/>
        </w:rPr>
        <w:t>Significant Threats</w:t>
      </w:r>
    </w:p>
    <w:p w14:paraId="7D9F57D5" w14:textId="38973C8B" w:rsidR="00220817" w:rsidRPr="00220817" w:rsidRDefault="00220817" w:rsidP="00932E64">
      <w:pPr>
        <w:pStyle w:val="ListParagraph"/>
        <w:numPr>
          <w:ilvl w:val="0"/>
          <w:numId w:val="13"/>
        </w:numPr>
        <w:spacing w:line="360" w:lineRule="auto"/>
        <w:jc w:val="both"/>
        <w:rPr>
          <w:rFonts w:ascii="Arial" w:hAnsi="Arial" w:cs="Arial"/>
          <w:sz w:val="24"/>
          <w:szCs w:val="24"/>
        </w:rPr>
      </w:pPr>
      <w:r w:rsidRPr="00220817">
        <w:rPr>
          <w:rFonts w:ascii="Arial" w:hAnsi="Arial" w:cs="Arial"/>
          <w:b/>
          <w:bCs/>
          <w:sz w:val="24"/>
          <w:szCs w:val="24"/>
        </w:rPr>
        <w:t>Increasing Competition</w:t>
      </w:r>
      <w:r w:rsidRPr="00220817">
        <w:rPr>
          <w:rFonts w:ascii="Arial" w:hAnsi="Arial" w:cs="Arial"/>
          <w:sz w:val="24"/>
          <w:szCs w:val="24"/>
        </w:rPr>
        <w:t>: Tesla’s most significant competitive threat comes from the likes of Chinese manufacturers such as BYD who have structural cost advantages and superior manufacturing scale. This has compelled Tesla to continuously reduce prices to remain competitive, eroding its profit margins.</w:t>
      </w:r>
    </w:p>
    <w:p w14:paraId="64F98DB3" w14:textId="546090DC" w:rsidR="00220817" w:rsidRPr="00220817" w:rsidRDefault="00220817" w:rsidP="00932E64">
      <w:pPr>
        <w:pStyle w:val="ListParagraph"/>
        <w:numPr>
          <w:ilvl w:val="0"/>
          <w:numId w:val="13"/>
        </w:numPr>
        <w:spacing w:line="360" w:lineRule="auto"/>
        <w:jc w:val="both"/>
        <w:rPr>
          <w:rFonts w:ascii="Arial" w:hAnsi="Arial" w:cs="Arial"/>
          <w:sz w:val="24"/>
          <w:szCs w:val="24"/>
        </w:rPr>
      </w:pPr>
      <w:r w:rsidRPr="00220817">
        <w:rPr>
          <w:rFonts w:ascii="Arial" w:hAnsi="Arial" w:cs="Arial"/>
          <w:b/>
          <w:bCs/>
          <w:sz w:val="24"/>
          <w:szCs w:val="24"/>
        </w:rPr>
        <w:t>Ageing Product Line-up</w:t>
      </w:r>
      <w:r w:rsidRPr="00220817">
        <w:rPr>
          <w:rFonts w:ascii="Arial" w:hAnsi="Arial" w:cs="Arial"/>
          <w:sz w:val="24"/>
          <w:szCs w:val="24"/>
        </w:rPr>
        <w:t>: Tesla is very dependent on the sales figures for the Model 3 and Model Y (which accounted for the bulk of its revenues in 2025), but as its capital investments were focused toward developing futuristic projects such as the Cybertruck and Robotaxi, no new mainstream vehicles are coming into the market, which consumer fatigue and price cuts contributing to revenue declines in 2025.</w:t>
      </w:r>
    </w:p>
    <w:p w14:paraId="54BDE7AA" w14:textId="35A809AE" w:rsidR="00220817" w:rsidRPr="00220817" w:rsidRDefault="00220817" w:rsidP="00932E64">
      <w:pPr>
        <w:pStyle w:val="ListParagraph"/>
        <w:numPr>
          <w:ilvl w:val="0"/>
          <w:numId w:val="13"/>
        </w:numPr>
        <w:spacing w:line="360" w:lineRule="auto"/>
        <w:jc w:val="both"/>
        <w:rPr>
          <w:rFonts w:ascii="Arial" w:hAnsi="Arial" w:cs="Arial"/>
          <w:sz w:val="24"/>
          <w:szCs w:val="24"/>
        </w:rPr>
      </w:pPr>
      <w:r w:rsidRPr="00220817">
        <w:rPr>
          <w:rFonts w:ascii="Arial" w:hAnsi="Arial" w:cs="Arial"/>
          <w:b/>
          <w:bCs/>
          <w:sz w:val="24"/>
          <w:szCs w:val="24"/>
        </w:rPr>
        <w:t>Execution risk in autonomy development</w:t>
      </w:r>
      <w:r w:rsidRPr="00220817">
        <w:rPr>
          <w:rFonts w:ascii="Arial" w:hAnsi="Arial" w:cs="Arial"/>
          <w:sz w:val="24"/>
          <w:szCs w:val="24"/>
        </w:rPr>
        <w:t>: Tesla's current valuation is predicated on its success in autonomous driving and the launch of the Robotaxi service; therefore, any setbacks or failures in achieving its milestones would lead to a significant drop in share price and investor disappointment.</w:t>
      </w:r>
    </w:p>
    <w:p w14:paraId="3EDEDB8E" w14:textId="2AD54E2A" w:rsidR="00220817" w:rsidRPr="00932E64" w:rsidRDefault="00D826F2" w:rsidP="00932E64">
      <w:pPr>
        <w:spacing w:line="360" w:lineRule="auto"/>
        <w:jc w:val="both"/>
        <w:rPr>
          <w:rFonts w:ascii="Arial" w:hAnsi="Arial" w:cs="Arial"/>
          <w:b/>
          <w:bCs/>
          <w:sz w:val="26"/>
          <w:szCs w:val="26"/>
        </w:rPr>
      </w:pPr>
      <w:r>
        <w:rPr>
          <w:rFonts w:ascii="Arial" w:hAnsi="Arial" w:cs="Arial"/>
          <w:b/>
          <w:bCs/>
          <w:sz w:val="28"/>
          <w:szCs w:val="28"/>
        </w:rPr>
        <w:lastRenderedPageBreak/>
        <w:t xml:space="preserve">    </w:t>
      </w:r>
      <w:r w:rsidR="00220817" w:rsidRPr="00932E64">
        <w:rPr>
          <w:rFonts w:ascii="Arial" w:hAnsi="Arial" w:cs="Arial"/>
          <w:b/>
          <w:bCs/>
          <w:sz w:val="26"/>
          <w:szCs w:val="26"/>
        </w:rPr>
        <w:t>Conclusion</w:t>
      </w:r>
    </w:p>
    <w:p w14:paraId="4E564BFC" w14:textId="0699ADCE" w:rsidR="00F60AE1" w:rsidRDefault="00220817" w:rsidP="00932E64">
      <w:pPr>
        <w:spacing w:line="360" w:lineRule="auto"/>
        <w:ind w:left="360"/>
        <w:jc w:val="both"/>
        <w:rPr>
          <w:rFonts w:ascii="Arial" w:hAnsi="Arial" w:cs="Arial"/>
          <w:sz w:val="24"/>
          <w:szCs w:val="24"/>
        </w:rPr>
      </w:pPr>
      <w:r w:rsidRPr="00220817">
        <w:rPr>
          <w:rFonts w:ascii="Arial" w:hAnsi="Arial" w:cs="Arial"/>
          <w:sz w:val="24"/>
          <w:szCs w:val="24"/>
        </w:rPr>
        <w:t>The period from 2021 to 2025 marks a transition phase for Tesla, from an era defined by hyper-growth and expanding margins to one characterized by slowing market growth and strategic restructuring. Although the company's profitability indicators have taken a hit – with the operating margin declining significantly from a peak of 16.8% to just 4.6% – Tesla’s overall financial position remains remarkably strong. Its unmatched liquidity, absence of debt, and robust free cash flow generation capability insulate it from financial instability. However, Tesla's biggest challenge now shifts from survival to justifying its extraordinary valuation, as it relies heavily on the successful commercialization of its AI ambitions and autonomous transport ventures, using the energy storage business and its substantial cash reserves to navigate the current automotive slowdown.</w:t>
      </w:r>
    </w:p>
    <w:p w14:paraId="7AEA7E6A" w14:textId="77777777" w:rsidR="00AF6A68" w:rsidRDefault="00AF6A68" w:rsidP="00932E64">
      <w:pPr>
        <w:spacing w:line="360" w:lineRule="auto"/>
        <w:ind w:left="360"/>
        <w:jc w:val="both"/>
        <w:rPr>
          <w:rFonts w:ascii="Arial" w:hAnsi="Arial" w:cs="Arial"/>
          <w:sz w:val="24"/>
          <w:szCs w:val="24"/>
        </w:rPr>
      </w:pPr>
    </w:p>
    <w:p w14:paraId="700FF4CD" w14:textId="77777777" w:rsidR="00AF6A68" w:rsidRPr="006850D2" w:rsidRDefault="00AF6A68" w:rsidP="00AF6A68">
      <w:pPr>
        <w:jc w:val="both"/>
        <w:rPr>
          <w:rFonts w:ascii="Arial" w:hAnsi="Arial" w:cs="Arial"/>
          <w:b/>
          <w:bCs/>
          <w:sz w:val="28"/>
          <w:szCs w:val="28"/>
        </w:rPr>
      </w:pPr>
      <w:r w:rsidRPr="006850D2">
        <w:rPr>
          <w:rFonts w:ascii="Arial" w:hAnsi="Arial" w:cs="Arial"/>
          <w:b/>
          <w:bCs/>
          <w:sz w:val="28"/>
          <w:szCs w:val="28"/>
        </w:rPr>
        <w:t xml:space="preserve">Working Capital Management Analysis </w:t>
      </w:r>
    </w:p>
    <w:p w14:paraId="478D2463" w14:textId="2C979373" w:rsidR="00AF6A68" w:rsidRPr="006850D2" w:rsidRDefault="00AF6A68" w:rsidP="00975CD4">
      <w:pPr>
        <w:spacing w:line="360" w:lineRule="auto"/>
        <w:jc w:val="both"/>
        <w:rPr>
          <w:rFonts w:ascii="Arial" w:hAnsi="Arial" w:cs="Arial"/>
          <w:sz w:val="24"/>
          <w:szCs w:val="24"/>
        </w:rPr>
      </w:pPr>
      <w:r w:rsidRPr="006850D2">
        <w:rPr>
          <w:rFonts w:ascii="Arial" w:hAnsi="Arial" w:cs="Arial"/>
          <w:sz w:val="24"/>
          <w:szCs w:val="24"/>
        </w:rPr>
        <w:t xml:space="preserve">The effective management of working capital is the nerve of any commercial venture; it dictates the daily working liquidity, or the ability to </w:t>
      </w:r>
      <w:proofErr w:type="spellStart"/>
      <w:r w:rsidRPr="006850D2">
        <w:rPr>
          <w:rFonts w:ascii="Arial" w:hAnsi="Arial" w:cs="Arial"/>
          <w:sz w:val="24"/>
          <w:szCs w:val="24"/>
        </w:rPr>
        <w:t>honor</w:t>
      </w:r>
      <w:proofErr w:type="spellEnd"/>
      <w:r w:rsidRPr="006850D2">
        <w:rPr>
          <w:rFonts w:ascii="Arial" w:hAnsi="Arial" w:cs="Arial"/>
          <w:sz w:val="24"/>
          <w:szCs w:val="24"/>
        </w:rPr>
        <w:t xml:space="preserve"> short-term debts and facilitate running operation. A well thought out strategy will maintain the profitable trade-off between liquidity-solvency on the one hand and opportunity cost of idle </w:t>
      </w:r>
      <w:proofErr w:type="spellStart"/>
      <w:r w:rsidRPr="006850D2">
        <w:rPr>
          <w:rFonts w:ascii="Arial" w:hAnsi="Arial" w:cs="Arial"/>
          <w:sz w:val="24"/>
          <w:szCs w:val="24"/>
        </w:rPr>
        <w:t>idle</w:t>
      </w:r>
      <w:proofErr w:type="spellEnd"/>
      <w:r w:rsidRPr="006850D2">
        <w:rPr>
          <w:rFonts w:ascii="Arial" w:hAnsi="Arial" w:cs="Arial"/>
          <w:sz w:val="24"/>
          <w:szCs w:val="24"/>
        </w:rPr>
        <w:t xml:space="preserve"> cash on the other. </w:t>
      </w:r>
    </w:p>
    <w:p w14:paraId="22EA2198" w14:textId="196AB63C" w:rsidR="006850D2" w:rsidRPr="006850D2" w:rsidRDefault="006850D2" w:rsidP="00975CD4">
      <w:pPr>
        <w:spacing w:line="360" w:lineRule="auto"/>
        <w:jc w:val="both"/>
        <w:rPr>
          <w:rFonts w:ascii="Arial" w:hAnsi="Arial" w:cs="Arial"/>
          <w:b/>
          <w:bCs/>
          <w:sz w:val="26"/>
          <w:szCs w:val="26"/>
        </w:rPr>
      </w:pPr>
      <w:r w:rsidRPr="006850D2">
        <w:rPr>
          <w:rFonts w:ascii="Arial" w:hAnsi="Arial" w:cs="Arial"/>
          <w:b/>
          <w:bCs/>
          <w:sz w:val="26"/>
          <w:szCs w:val="26"/>
        </w:rPr>
        <w:t>Assessing the Cash Operating Cycle</w:t>
      </w:r>
    </w:p>
    <w:p w14:paraId="61B5B1AF" w14:textId="78E3BC1A" w:rsidR="006850D2" w:rsidRDefault="006850D2" w:rsidP="00975CD4">
      <w:pPr>
        <w:spacing w:line="360" w:lineRule="auto"/>
        <w:jc w:val="both"/>
        <w:rPr>
          <w:rFonts w:ascii="Arial" w:hAnsi="Arial" w:cs="Arial"/>
          <w:sz w:val="24"/>
          <w:szCs w:val="24"/>
        </w:rPr>
      </w:pPr>
      <w:r w:rsidRPr="006850D2">
        <w:rPr>
          <w:rFonts w:ascii="Arial" w:hAnsi="Arial" w:cs="Arial"/>
          <w:sz w:val="24"/>
          <w:szCs w:val="24"/>
        </w:rPr>
        <w:t>The Cash Operating Cycle (COC)-or most commonly, the Cash Conversion Cycle (CCC)-is the primary measure of working capital management efficiency for a business. It is defined as the number of days the firm is required to tie up cash to finance its inputs and outputs (materials in, products out).</w:t>
      </w:r>
    </w:p>
    <w:p w14:paraId="1D2EB202" w14:textId="77777777" w:rsidR="006850D2" w:rsidRDefault="006850D2" w:rsidP="00975CD4">
      <w:pPr>
        <w:spacing w:line="360" w:lineRule="auto"/>
        <w:jc w:val="both"/>
        <w:rPr>
          <w:rFonts w:ascii="Arial" w:hAnsi="Arial" w:cs="Arial"/>
          <w:sz w:val="24"/>
          <w:szCs w:val="24"/>
        </w:rPr>
      </w:pPr>
      <w:r w:rsidRPr="006850D2">
        <w:rPr>
          <w:rFonts w:ascii="Arial" w:hAnsi="Arial" w:cs="Arial"/>
          <w:sz w:val="24"/>
          <w:szCs w:val="24"/>
        </w:rPr>
        <w:t xml:space="preserve">Mathematically, the cycle is expressed as: </w:t>
      </w:r>
    </w:p>
    <w:p w14:paraId="04A6CBFD" w14:textId="5F716B4F" w:rsidR="006850D2" w:rsidRDefault="006850D2" w:rsidP="00975CD4">
      <w:pPr>
        <w:spacing w:line="360" w:lineRule="auto"/>
        <w:jc w:val="both"/>
        <w:rPr>
          <w:rFonts w:ascii="Arial" w:hAnsi="Arial" w:cs="Arial"/>
          <w:sz w:val="24"/>
          <w:szCs w:val="24"/>
        </w:rPr>
      </w:pPr>
      <w:r w:rsidRPr="006850D2">
        <w:rPr>
          <w:rFonts w:ascii="Arial" w:hAnsi="Arial" w:cs="Arial"/>
          <w:sz w:val="24"/>
          <w:szCs w:val="24"/>
        </w:rPr>
        <w:t>$COC = \text{Inventory Days} + \text{Receivables Days} - \text{Payables Days}$</w:t>
      </w:r>
    </w:p>
    <w:p w14:paraId="50396704" w14:textId="77777777" w:rsidR="006850D2" w:rsidRPr="006850D2" w:rsidRDefault="006850D2" w:rsidP="00975CD4">
      <w:pPr>
        <w:spacing w:line="360" w:lineRule="auto"/>
        <w:jc w:val="both"/>
        <w:rPr>
          <w:rFonts w:ascii="Arial" w:hAnsi="Arial" w:cs="Arial"/>
          <w:sz w:val="24"/>
          <w:szCs w:val="24"/>
        </w:rPr>
      </w:pPr>
      <w:r w:rsidRPr="006850D2">
        <w:rPr>
          <w:rFonts w:ascii="Arial" w:hAnsi="Arial" w:cs="Arial"/>
          <w:sz w:val="24"/>
          <w:szCs w:val="24"/>
        </w:rPr>
        <w:t>When considering the COC, a detailed diagnostic evaluation of the three components are necessary:</w:t>
      </w:r>
    </w:p>
    <w:p w14:paraId="24801C8D" w14:textId="2B63C5A5" w:rsidR="006850D2" w:rsidRPr="00975CD4" w:rsidRDefault="006850D2" w:rsidP="00975CD4">
      <w:pPr>
        <w:pStyle w:val="ListParagraph"/>
        <w:numPr>
          <w:ilvl w:val="0"/>
          <w:numId w:val="25"/>
        </w:numPr>
        <w:spacing w:line="360" w:lineRule="auto"/>
        <w:jc w:val="both"/>
        <w:rPr>
          <w:rFonts w:ascii="Arial" w:hAnsi="Arial" w:cs="Arial"/>
          <w:sz w:val="24"/>
          <w:szCs w:val="24"/>
        </w:rPr>
      </w:pPr>
      <w:r w:rsidRPr="00975CD4">
        <w:rPr>
          <w:rFonts w:ascii="Arial" w:hAnsi="Arial" w:cs="Arial"/>
          <w:b/>
          <w:bCs/>
          <w:sz w:val="24"/>
          <w:szCs w:val="24"/>
        </w:rPr>
        <w:t xml:space="preserve">Inventory Days (Days Inventory Outstanding): </w:t>
      </w:r>
      <w:r w:rsidRPr="00975CD4">
        <w:rPr>
          <w:rFonts w:ascii="Arial" w:hAnsi="Arial" w:cs="Arial"/>
          <w:sz w:val="24"/>
          <w:szCs w:val="24"/>
        </w:rPr>
        <w:t xml:space="preserve">This represents how long it takes for inventory to be processed </w:t>
      </w:r>
      <w:proofErr w:type="spellStart"/>
      <w:r w:rsidRPr="00975CD4">
        <w:rPr>
          <w:rFonts w:ascii="Arial" w:hAnsi="Arial" w:cs="Arial"/>
          <w:sz w:val="24"/>
          <w:szCs w:val="24"/>
        </w:rPr>
        <w:t>fromraw</w:t>
      </w:r>
      <w:proofErr w:type="spellEnd"/>
      <w:r w:rsidRPr="00975CD4">
        <w:rPr>
          <w:rFonts w:ascii="Arial" w:hAnsi="Arial" w:cs="Arial"/>
          <w:sz w:val="24"/>
          <w:szCs w:val="24"/>
        </w:rPr>
        <w:t xml:space="preserve"> materials to finished goods, and </w:t>
      </w:r>
      <w:r w:rsidRPr="00975CD4">
        <w:rPr>
          <w:rFonts w:ascii="Arial" w:hAnsi="Arial" w:cs="Arial"/>
          <w:sz w:val="24"/>
          <w:szCs w:val="24"/>
        </w:rPr>
        <w:lastRenderedPageBreak/>
        <w:t>then to be sold. Higher values signal internal problems, such as over-purchasing, obsolescence, and low sales velocity, tying up the firm’s cash in storage.</w:t>
      </w:r>
    </w:p>
    <w:p w14:paraId="1F0BAF1B" w14:textId="77777777" w:rsidR="006850D2" w:rsidRPr="00975CD4" w:rsidRDefault="006850D2" w:rsidP="00975CD4">
      <w:pPr>
        <w:pStyle w:val="ListParagraph"/>
        <w:numPr>
          <w:ilvl w:val="0"/>
          <w:numId w:val="25"/>
        </w:numPr>
        <w:spacing w:line="360" w:lineRule="auto"/>
        <w:jc w:val="both"/>
        <w:rPr>
          <w:rFonts w:ascii="Arial" w:hAnsi="Arial" w:cs="Arial"/>
          <w:sz w:val="24"/>
          <w:szCs w:val="24"/>
        </w:rPr>
      </w:pPr>
      <w:r w:rsidRPr="00975CD4">
        <w:rPr>
          <w:rFonts w:ascii="Arial" w:hAnsi="Arial" w:cs="Arial"/>
          <w:b/>
          <w:bCs/>
          <w:sz w:val="24"/>
          <w:szCs w:val="24"/>
        </w:rPr>
        <w:t>Receivables Days (Days Sales Outstanding):</w:t>
      </w:r>
      <w:r w:rsidRPr="00975CD4">
        <w:rPr>
          <w:rFonts w:ascii="Arial" w:hAnsi="Arial" w:cs="Arial"/>
          <w:sz w:val="24"/>
          <w:szCs w:val="24"/>
        </w:rPr>
        <w:t xml:space="preserve"> This represents how long on average it takes to collect receivables. Offering long, liberal credit terms to encourage customers and increase top line may lead to considerable delay in cash inflows and increase statistically bad debt potential.</w:t>
      </w:r>
    </w:p>
    <w:p w14:paraId="557D6475" w14:textId="2DA20636" w:rsidR="006850D2" w:rsidRPr="00975CD4" w:rsidRDefault="006850D2" w:rsidP="00975CD4">
      <w:pPr>
        <w:pStyle w:val="ListParagraph"/>
        <w:numPr>
          <w:ilvl w:val="0"/>
          <w:numId w:val="25"/>
        </w:numPr>
        <w:spacing w:line="360" w:lineRule="auto"/>
        <w:jc w:val="both"/>
        <w:rPr>
          <w:rFonts w:ascii="Arial" w:hAnsi="Arial" w:cs="Arial"/>
          <w:sz w:val="24"/>
          <w:szCs w:val="24"/>
        </w:rPr>
      </w:pPr>
      <w:r w:rsidRPr="00975CD4">
        <w:rPr>
          <w:rFonts w:ascii="Arial" w:hAnsi="Arial" w:cs="Arial"/>
          <w:b/>
          <w:bCs/>
          <w:sz w:val="24"/>
          <w:szCs w:val="24"/>
        </w:rPr>
        <w:t xml:space="preserve">Payables Days (Days Payable Outstanding): </w:t>
      </w:r>
      <w:r w:rsidRPr="00975CD4">
        <w:rPr>
          <w:rFonts w:ascii="Arial" w:hAnsi="Arial" w:cs="Arial"/>
          <w:sz w:val="24"/>
          <w:szCs w:val="24"/>
        </w:rPr>
        <w:t>This measures how long a firm delays payment to its own suppliers. Lengthening this term increases the availability of cash within the company, while effectively utilizing it as a short-term interest-free loan from suppliers. Excessive terms may damage key vendor relationships and lose valuable cash discounts.</w:t>
      </w:r>
    </w:p>
    <w:p w14:paraId="6DF9ED90" w14:textId="77777777" w:rsidR="006850D2" w:rsidRPr="006850D2" w:rsidRDefault="006850D2" w:rsidP="00975CD4">
      <w:pPr>
        <w:spacing w:line="360" w:lineRule="auto"/>
        <w:jc w:val="both"/>
        <w:rPr>
          <w:rFonts w:ascii="Arial" w:hAnsi="Arial" w:cs="Arial"/>
          <w:b/>
          <w:bCs/>
          <w:sz w:val="24"/>
          <w:szCs w:val="24"/>
        </w:rPr>
      </w:pPr>
      <w:r w:rsidRPr="006850D2">
        <w:rPr>
          <w:rFonts w:ascii="Arial" w:hAnsi="Arial" w:cs="Arial"/>
          <w:b/>
          <w:bCs/>
          <w:sz w:val="24"/>
          <w:szCs w:val="24"/>
        </w:rPr>
        <w:t>Reforms to working capital to enhance liquidity</w:t>
      </w:r>
    </w:p>
    <w:p w14:paraId="4B298F6E" w14:textId="281B99F6" w:rsidR="006850D2" w:rsidRDefault="006850D2" w:rsidP="00975CD4">
      <w:pPr>
        <w:spacing w:line="360" w:lineRule="auto"/>
        <w:jc w:val="both"/>
        <w:rPr>
          <w:rFonts w:ascii="Arial" w:hAnsi="Arial" w:cs="Arial"/>
          <w:sz w:val="24"/>
          <w:szCs w:val="24"/>
        </w:rPr>
      </w:pPr>
      <w:r w:rsidRPr="006850D2">
        <w:rPr>
          <w:rFonts w:ascii="Arial" w:hAnsi="Arial" w:cs="Arial"/>
          <w:sz w:val="24"/>
          <w:szCs w:val="24"/>
        </w:rPr>
        <w:t>A focused approach and a set of reforms are needed to enhance liquidity across the working capital, or cash operating, cycle. In doing so the business can free up capital and produce an extremely sturdy balance sheet by managing inventory, receivables, and payables.</w:t>
      </w:r>
    </w:p>
    <w:p w14:paraId="2FD8C5D3" w14:textId="77777777" w:rsidR="006850D2" w:rsidRPr="006850D2" w:rsidRDefault="006850D2" w:rsidP="00975CD4">
      <w:pPr>
        <w:spacing w:line="360" w:lineRule="auto"/>
        <w:jc w:val="both"/>
        <w:rPr>
          <w:rFonts w:ascii="Arial" w:hAnsi="Arial" w:cs="Arial"/>
          <w:b/>
          <w:bCs/>
          <w:sz w:val="24"/>
          <w:szCs w:val="24"/>
        </w:rPr>
      </w:pPr>
      <w:r w:rsidRPr="006850D2">
        <w:rPr>
          <w:rFonts w:ascii="Arial" w:hAnsi="Arial" w:cs="Arial"/>
          <w:b/>
          <w:bCs/>
          <w:sz w:val="24"/>
          <w:szCs w:val="24"/>
        </w:rPr>
        <w:t>1. Stock Control Reforms</w:t>
      </w:r>
    </w:p>
    <w:p w14:paraId="2A29EAFF" w14:textId="77777777" w:rsidR="006850D2" w:rsidRPr="006850D2" w:rsidRDefault="006850D2" w:rsidP="00975CD4">
      <w:pPr>
        <w:spacing w:line="360" w:lineRule="auto"/>
        <w:jc w:val="both"/>
        <w:rPr>
          <w:rFonts w:ascii="Arial" w:hAnsi="Arial" w:cs="Arial"/>
          <w:sz w:val="24"/>
          <w:szCs w:val="24"/>
        </w:rPr>
      </w:pPr>
      <w:r w:rsidRPr="006850D2">
        <w:rPr>
          <w:rFonts w:ascii="Arial" w:hAnsi="Arial" w:cs="Arial"/>
          <w:sz w:val="24"/>
          <w:szCs w:val="24"/>
        </w:rPr>
        <w:t>Stock tends to be the least liquid element of current assets and stock control reforms should therefore concentrate on optimum levels so that the business meets demand and yet inventory costs are not increased due to overstocking.</w:t>
      </w:r>
    </w:p>
    <w:p w14:paraId="32E7AD4E" w14:textId="77777777" w:rsidR="006850D2" w:rsidRPr="006850D2" w:rsidRDefault="006850D2" w:rsidP="00975CD4">
      <w:pPr>
        <w:pStyle w:val="ListParagraph"/>
        <w:numPr>
          <w:ilvl w:val="0"/>
          <w:numId w:val="23"/>
        </w:numPr>
        <w:spacing w:line="360" w:lineRule="auto"/>
        <w:jc w:val="both"/>
        <w:rPr>
          <w:rFonts w:ascii="Arial" w:hAnsi="Arial" w:cs="Arial"/>
          <w:sz w:val="24"/>
          <w:szCs w:val="24"/>
        </w:rPr>
      </w:pPr>
      <w:r w:rsidRPr="006850D2">
        <w:rPr>
          <w:rFonts w:ascii="Arial" w:hAnsi="Arial" w:cs="Arial"/>
          <w:sz w:val="24"/>
          <w:szCs w:val="24"/>
        </w:rPr>
        <w:t>Just In Time System: A JIT system synchronizes the purchasing of raw materials with the production process, eliminating the need for storage and the risk of obsolescence.</w:t>
      </w:r>
    </w:p>
    <w:p w14:paraId="2B815963" w14:textId="77777777" w:rsidR="006850D2" w:rsidRPr="006850D2" w:rsidRDefault="006850D2" w:rsidP="00975CD4">
      <w:pPr>
        <w:pStyle w:val="ListParagraph"/>
        <w:numPr>
          <w:ilvl w:val="0"/>
          <w:numId w:val="23"/>
        </w:numPr>
        <w:spacing w:line="360" w:lineRule="auto"/>
        <w:jc w:val="both"/>
        <w:rPr>
          <w:rFonts w:ascii="Arial" w:hAnsi="Arial" w:cs="Arial"/>
          <w:sz w:val="24"/>
          <w:szCs w:val="24"/>
        </w:rPr>
      </w:pPr>
      <w:r w:rsidRPr="006850D2">
        <w:rPr>
          <w:rFonts w:ascii="Arial" w:hAnsi="Arial" w:cs="Arial"/>
          <w:sz w:val="24"/>
          <w:szCs w:val="24"/>
        </w:rPr>
        <w:t>Economic Order Quantity (EOQ): The EOQ model is a mathematical method for determining the quantity which should be ordered by management which balances purchasing costs and holding costs.</w:t>
      </w:r>
    </w:p>
    <w:p w14:paraId="5E6207CB" w14:textId="1A1CD6B0" w:rsidR="006850D2" w:rsidRDefault="006850D2" w:rsidP="00975CD4">
      <w:pPr>
        <w:pStyle w:val="ListParagraph"/>
        <w:numPr>
          <w:ilvl w:val="0"/>
          <w:numId w:val="23"/>
        </w:numPr>
        <w:spacing w:line="360" w:lineRule="auto"/>
        <w:jc w:val="both"/>
        <w:rPr>
          <w:rFonts w:ascii="Arial" w:hAnsi="Arial" w:cs="Arial"/>
          <w:sz w:val="24"/>
          <w:szCs w:val="24"/>
        </w:rPr>
      </w:pPr>
      <w:r w:rsidRPr="006850D2">
        <w:rPr>
          <w:rFonts w:ascii="Arial" w:hAnsi="Arial" w:cs="Arial"/>
          <w:sz w:val="24"/>
          <w:szCs w:val="24"/>
        </w:rPr>
        <w:t>ABC Classification: Stock can be classified based on its value and rate of turnover. A high value and high turnover "A" stock requires tight control and a minimum quantity; the "C" stock would have least controls and stock levels would be less strict.</w:t>
      </w:r>
    </w:p>
    <w:p w14:paraId="711AB930" w14:textId="77777777" w:rsidR="006850D2" w:rsidRPr="006850D2" w:rsidRDefault="006850D2" w:rsidP="00975CD4">
      <w:pPr>
        <w:spacing w:line="360" w:lineRule="auto"/>
        <w:ind w:left="360"/>
        <w:jc w:val="both"/>
        <w:rPr>
          <w:rFonts w:ascii="Arial" w:hAnsi="Arial" w:cs="Arial"/>
          <w:b/>
          <w:bCs/>
          <w:sz w:val="24"/>
          <w:szCs w:val="24"/>
        </w:rPr>
      </w:pPr>
      <w:r w:rsidRPr="006850D2">
        <w:rPr>
          <w:rFonts w:ascii="Arial" w:hAnsi="Arial" w:cs="Arial"/>
          <w:b/>
          <w:bCs/>
          <w:sz w:val="24"/>
          <w:szCs w:val="24"/>
        </w:rPr>
        <w:lastRenderedPageBreak/>
        <w:t xml:space="preserve">2. Receivables And Credit Policy Reform </w:t>
      </w:r>
    </w:p>
    <w:p w14:paraId="2FF6F085" w14:textId="307FBE3C" w:rsidR="006850D2" w:rsidRDefault="006850D2" w:rsidP="00975CD4">
      <w:pPr>
        <w:spacing w:line="360" w:lineRule="auto"/>
        <w:ind w:left="360"/>
        <w:jc w:val="both"/>
        <w:rPr>
          <w:rFonts w:ascii="Arial" w:hAnsi="Arial" w:cs="Arial"/>
          <w:sz w:val="24"/>
          <w:szCs w:val="24"/>
        </w:rPr>
      </w:pPr>
      <w:r w:rsidRPr="006850D2">
        <w:rPr>
          <w:rFonts w:ascii="Arial" w:hAnsi="Arial" w:cs="Arial"/>
          <w:sz w:val="24"/>
          <w:szCs w:val="24"/>
        </w:rPr>
        <w:t xml:space="preserve">Late Payments A business will lose all cash if customers pay on time. We must adopt an uncompromisingly tough policy for collecting late receivables, as business must enforce an honest credit system. </w:t>
      </w:r>
    </w:p>
    <w:p w14:paraId="25788519" w14:textId="77777777" w:rsidR="00975CD4" w:rsidRPr="00975CD4" w:rsidRDefault="00975CD4" w:rsidP="00975CD4">
      <w:pPr>
        <w:spacing w:line="360" w:lineRule="auto"/>
        <w:ind w:left="360"/>
        <w:jc w:val="both"/>
        <w:rPr>
          <w:rFonts w:ascii="Arial" w:hAnsi="Arial" w:cs="Arial"/>
          <w:b/>
          <w:bCs/>
          <w:sz w:val="24"/>
          <w:szCs w:val="24"/>
        </w:rPr>
      </w:pPr>
      <w:r w:rsidRPr="00975CD4">
        <w:rPr>
          <w:rFonts w:ascii="Arial" w:hAnsi="Arial" w:cs="Arial"/>
          <w:b/>
          <w:bCs/>
          <w:sz w:val="24"/>
          <w:szCs w:val="24"/>
        </w:rPr>
        <w:t>3. Reforming Payables Management</w:t>
      </w:r>
    </w:p>
    <w:p w14:paraId="1B96D1CC" w14:textId="77777777" w:rsidR="00975CD4" w:rsidRPr="00975CD4" w:rsidRDefault="00975CD4" w:rsidP="00975CD4">
      <w:pPr>
        <w:spacing w:line="360" w:lineRule="auto"/>
        <w:ind w:left="360"/>
        <w:jc w:val="both"/>
        <w:rPr>
          <w:rFonts w:ascii="Arial" w:hAnsi="Arial" w:cs="Arial"/>
          <w:sz w:val="24"/>
          <w:szCs w:val="24"/>
        </w:rPr>
      </w:pPr>
      <w:r w:rsidRPr="00975CD4">
        <w:rPr>
          <w:rFonts w:ascii="Arial" w:hAnsi="Arial" w:cs="Arial"/>
          <w:sz w:val="24"/>
          <w:szCs w:val="24"/>
        </w:rPr>
        <w:t>Cash retention is important, however it needs to be handled through payables management without causing the supply chain to break.</w:t>
      </w:r>
    </w:p>
    <w:p w14:paraId="03FB3E0E" w14:textId="77777777" w:rsidR="00975CD4" w:rsidRPr="00975CD4" w:rsidRDefault="00975CD4" w:rsidP="00975CD4">
      <w:pPr>
        <w:pStyle w:val="ListParagraph"/>
        <w:numPr>
          <w:ilvl w:val="0"/>
          <w:numId w:val="24"/>
        </w:numPr>
        <w:spacing w:line="360" w:lineRule="auto"/>
        <w:jc w:val="both"/>
        <w:rPr>
          <w:rFonts w:ascii="Arial" w:hAnsi="Arial" w:cs="Arial"/>
          <w:sz w:val="24"/>
          <w:szCs w:val="24"/>
        </w:rPr>
      </w:pPr>
      <w:r w:rsidRPr="00975CD4">
        <w:rPr>
          <w:rFonts w:ascii="Arial" w:hAnsi="Arial" w:cs="Arial"/>
          <w:b/>
          <w:bCs/>
          <w:sz w:val="24"/>
          <w:szCs w:val="24"/>
        </w:rPr>
        <w:t>Terms renegotiation:</w:t>
      </w:r>
      <w:r w:rsidRPr="00975CD4">
        <w:rPr>
          <w:rFonts w:ascii="Arial" w:hAnsi="Arial" w:cs="Arial"/>
          <w:sz w:val="24"/>
          <w:szCs w:val="24"/>
        </w:rPr>
        <w:t xml:space="preserve"> A key principle is to try to negotiate the longest standard credit terms possible from suppliers.</w:t>
      </w:r>
    </w:p>
    <w:p w14:paraId="49ADD5B1" w14:textId="216628BE" w:rsidR="00975CD4" w:rsidRDefault="00975CD4" w:rsidP="00975CD4">
      <w:pPr>
        <w:pStyle w:val="ListParagraph"/>
        <w:numPr>
          <w:ilvl w:val="0"/>
          <w:numId w:val="24"/>
        </w:numPr>
        <w:spacing w:line="360" w:lineRule="auto"/>
        <w:jc w:val="both"/>
        <w:rPr>
          <w:rFonts w:ascii="Arial" w:hAnsi="Arial" w:cs="Arial"/>
          <w:sz w:val="24"/>
          <w:szCs w:val="24"/>
        </w:rPr>
      </w:pPr>
      <w:r w:rsidRPr="00975CD4">
        <w:rPr>
          <w:rFonts w:ascii="Arial" w:hAnsi="Arial" w:cs="Arial"/>
          <w:b/>
          <w:bCs/>
          <w:sz w:val="24"/>
          <w:szCs w:val="24"/>
        </w:rPr>
        <w:t>Strategic deferral:</w:t>
      </w:r>
      <w:r w:rsidRPr="00975CD4">
        <w:rPr>
          <w:rFonts w:ascii="Arial" w:hAnsi="Arial" w:cs="Arial"/>
          <w:sz w:val="24"/>
          <w:szCs w:val="24"/>
        </w:rPr>
        <w:t xml:space="preserve"> Companies should take the maximum credit period allowable to their last breath, i.e. Paid on the very last day and no earlier, unless a discount for early payment can yield an annualised return significantly higher than the companies own cost of funds</w:t>
      </w:r>
      <w:r>
        <w:rPr>
          <w:rFonts w:ascii="Arial" w:hAnsi="Arial" w:cs="Arial"/>
          <w:sz w:val="24"/>
          <w:szCs w:val="24"/>
        </w:rPr>
        <w:t>.</w:t>
      </w:r>
    </w:p>
    <w:p w14:paraId="71906042" w14:textId="77777777" w:rsidR="00561468" w:rsidRPr="00561468" w:rsidRDefault="00561468" w:rsidP="00561468">
      <w:pPr>
        <w:spacing w:line="360" w:lineRule="auto"/>
        <w:jc w:val="both"/>
        <w:rPr>
          <w:rFonts w:ascii="Arial" w:hAnsi="Arial" w:cs="Arial"/>
          <w:sz w:val="24"/>
          <w:szCs w:val="24"/>
        </w:rPr>
      </w:pPr>
      <w:r w:rsidRPr="00561468">
        <w:rPr>
          <w:rFonts w:ascii="Arial" w:hAnsi="Arial" w:cs="Arial"/>
          <w:b/>
          <w:bCs/>
          <w:sz w:val="24"/>
          <w:szCs w:val="24"/>
        </w:rPr>
        <w:t>Comparison of Short-term vs Long-term financing</w:t>
      </w:r>
      <w:r w:rsidRPr="00561468">
        <w:rPr>
          <w:rFonts w:ascii="Arial" w:hAnsi="Arial" w:cs="Arial"/>
          <w:sz w:val="24"/>
          <w:szCs w:val="24"/>
        </w:rPr>
        <w:t>:</w:t>
      </w:r>
    </w:p>
    <w:p w14:paraId="362DB06D" w14:textId="77777777" w:rsidR="00561468" w:rsidRPr="00561468" w:rsidRDefault="00561468" w:rsidP="00561468">
      <w:pPr>
        <w:spacing w:line="360" w:lineRule="auto"/>
        <w:jc w:val="both"/>
        <w:rPr>
          <w:rFonts w:ascii="Arial" w:hAnsi="Arial" w:cs="Arial"/>
          <w:sz w:val="24"/>
          <w:szCs w:val="24"/>
        </w:rPr>
      </w:pPr>
      <w:r w:rsidRPr="00561468">
        <w:rPr>
          <w:rFonts w:ascii="Arial" w:hAnsi="Arial" w:cs="Arial"/>
          <w:b/>
          <w:bCs/>
          <w:sz w:val="24"/>
          <w:szCs w:val="24"/>
        </w:rPr>
        <w:t>Short-term financing</w:t>
      </w:r>
      <w:r w:rsidRPr="00561468">
        <w:rPr>
          <w:rFonts w:ascii="Arial" w:hAnsi="Arial" w:cs="Arial"/>
          <w:sz w:val="24"/>
          <w:szCs w:val="24"/>
        </w:rPr>
        <w:t>. Sources of funds which are for less than one year. Trade credit, bank overdrafts and short-term loans are examples of these kinds of financing and are commonly used for working capital, like stock or accounts receivable.</w:t>
      </w:r>
    </w:p>
    <w:p w14:paraId="5D8108DE" w14:textId="77777777" w:rsidR="00561468" w:rsidRPr="00561468" w:rsidRDefault="00561468" w:rsidP="00561468">
      <w:pPr>
        <w:spacing w:line="360" w:lineRule="auto"/>
        <w:jc w:val="both"/>
        <w:rPr>
          <w:rFonts w:ascii="Arial" w:hAnsi="Arial" w:cs="Arial"/>
          <w:b/>
          <w:bCs/>
          <w:sz w:val="24"/>
          <w:szCs w:val="24"/>
        </w:rPr>
      </w:pPr>
      <w:r w:rsidRPr="00561468">
        <w:rPr>
          <w:rFonts w:ascii="Arial" w:hAnsi="Arial" w:cs="Arial"/>
          <w:b/>
          <w:bCs/>
          <w:sz w:val="24"/>
          <w:szCs w:val="24"/>
        </w:rPr>
        <w:t>Pros of short-term financing.</w:t>
      </w:r>
    </w:p>
    <w:p w14:paraId="3A3E1B8B" w14:textId="77777777" w:rsidR="00561468" w:rsidRPr="00561468" w:rsidRDefault="00561468" w:rsidP="00561468">
      <w:pPr>
        <w:pStyle w:val="ListParagraph"/>
        <w:numPr>
          <w:ilvl w:val="0"/>
          <w:numId w:val="43"/>
        </w:numPr>
        <w:spacing w:line="360" w:lineRule="auto"/>
        <w:jc w:val="both"/>
        <w:rPr>
          <w:rFonts w:ascii="Arial" w:hAnsi="Arial" w:cs="Arial"/>
          <w:sz w:val="24"/>
          <w:szCs w:val="24"/>
        </w:rPr>
      </w:pPr>
      <w:r w:rsidRPr="00561468">
        <w:rPr>
          <w:rFonts w:ascii="Arial" w:hAnsi="Arial" w:cs="Arial"/>
          <w:sz w:val="24"/>
          <w:szCs w:val="24"/>
        </w:rPr>
        <w:t>Lower interest rate than long-term financing</w:t>
      </w:r>
    </w:p>
    <w:p w14:paraId="7BB376BD" w14:textId="77777777" w:rsidR="00561468" w:rsidRPr="00561468" w:rsidRDefault="00561468" w:rsidP="00561468">
      <w:pPr>
        <w:pStyle w:val="ListParagraph"/>
        <w:numPr>
          <w:ilvl w:val="0"/>
          <w:numId w:val="43"/>
        </w:numPr>
        <w:spacing w:line="360" w:lineRule="auto"/>
        <w:jc w:val="both"/>
        <w:rPr>
          <w:rFonts w:ascii="Arial" w:hAnsi="Arial" w:cs="Arial"/>
          <w:sz w:val="24"/>
          <w:szCs w:val="24"/>
        </w:rPr>
      </w:pPr>
      <w:r w:rsidRPr="00561468">
        <w:rPr>
          <w:rFonts w:ascii="Arial" w:hAnsi="Arial" w:cs="Arial"/>
          <w:sz w:val="24"/>
          <w:szCs w:val="24"/>
        </w:rPr>
        <w:t>It can be readily accessed and flexible.</w:t>
      </w:r>
    </w:p>
    <w:p w14:paraId="2EDF294C" w14:textId="77777777" w:rsidR="00561468" w:rsidRPr="00561468" w:rsidRDefault="00561468" w:rsidP="00561468">
      <w:pPr>
        <w:pStyle w:val="ListParagraph"/>
        <w:numPr>
          <w:ilvl w:val="0"/>
          <w:numId w:val="43"/>
        </w:numPr>
        <w:spacing w:line="360" w:lineRule="auto"/>
        <w:jc w:val="both"/>
        <w:rPr>
          <w:rFonts w:ascii="Arial" w:hAnsi="Arial" w:cs="Arial"/>
          <w:sz w:val="24"/>
          <w:szCs w:val="24"/>
        </w:rPr>
      </w:pPr>
      <w:r w:rsidRPr="00561468">
        <w:rPr>
          <w:rFonts w:ascii="Arial" w:hAnsi="Arial" w:cs="Arial"/>
          <w:sz w:val="24"/>
          <w:szCs w:val="24"/>
        </w:rPr>
        <w:t>It is well suited for asset life cycle.</w:t>
      </w:r>
    </w:p>
    <w:p w14:paraId="2E460C2E" w14:textId="77777777" w:rsidR="00561468" w:rsidRPr="00561468" w:rsidRDefault="00561468" w:rsidP="00561468">
      <w:pPr>
        <w:spacing w:line="360" w:lineRule="auto"/>
        <w:jc w:val="both"/>
        <w:rPr>
          <w:rFonts w:ascii="Arial" w:hAnsi="Arial" w:cs="Arial"/>
          <w:b/>
          <w:bCs/>
          <w:sz w:val="24"/>
          <w:szCs w:val="24"/>
        </w:rPr>
      </w:pPr>
      <w:r w:rsidRPr="00561468">
        <w:rPr>
          <w:rFonts w:ascii="Arial" w:hAnsi="Arial" w:cs="Arial"/>
          <w:b/>
          <w:bCs/>
          <w:sz w:val="24"/>
          <w:szCs w:val="24"/>
        </w:rPr>
        <w:t>Cons of short-term financing.</w:t>
      </w:r>
    </w:p>
    <w:p w14:paraId="504E0738" w14:textId="77777777" w:rsidR="00561468" w:rsidRPr="00561468" w:rsidRDefault="00561468" w:rsidP="00561468">
      <w:pPr>
        <w:pStyle w:val="ListParagraph"/>
        <w:numPr>
          <w:ilvl w:val="0"/>
          <w:numId w:val="44"/>
        </w:numPr>
        <w:spacing w:line="360" w:lineRule="auto"/>
        <w:jc w:val="both"/>
        <w:rPr>
          <w:rFonts w:ascii="Arial" w:hAnsi="Arial" w:cs="Arial"/>
          <w:sz w:val="24"/>
          <w:szCs w:val="24"/>
        </w:rPr>
      </w:pPr>
      <w:r w:rsidRPr="00561468">
        <w:rPr>
          <w:rFonts w:ascii="Arial" w:hAnsi="Arial" w:cs="Arial"/>
          <w:sz w:val="24"/>
          <w:szCs w:val="24"/>
        </w:rPr>
        <w:t>Higher refinancing risk.</w:t>
      </w:r>
    </w:p>
    <w:p w14:paraId="5C77C642" w14:textId="77777777" w:rsidR="00561468" w:rsidRPr="00561468" w:rsidRDefault="00561468" w:rsidP="00561468">
      <w:pPr>
        <w:pStyle w:val="ListParagraph"/>
        <w:numPr>
          <w:ilvl w:val="0"/>
          <w:numId w:val="44"/>
        </w:numPr>
        <w:spacing w:line="360" w:lineRule="auto"/>
        <w:jc w:val="both"/>
        <w:rPr>
          <w:rFonts w:ascii="Arial" w:hAnsi="Arial" w:cs="Arial"/>
          <w:sz w:val="24"/>
          <w:szCs w:val="24"/>
        </w:rPr>
      </w:pPr>
      <w:r w:rsidRPr="00561468">
        <w:rPr>
          <w:rFonts w:ascii="Arial" w:hAnsi="Arial" w:cs="Arial"/>
          <w:sz w:val="24"/>
          <w:szCs w:val="24"/>
        </w:rPr>
        <w:t>Volatility of the interest rate.</w:t>
      </w:r>
    </w:p>
    <w:p w14:paraId="7B900367" w14:textId="4445389C" w:rsidR="00561468" w:rsidRPr="00561468" w:rsidRDefault="00561468" w:rsidP="00561468">
      <w:pPr>
        <w:pStyle w:val="ListParagraph"/>
        <w:numPr>
          <w:ilvl w:val="0"/>
          <w:numId w:val="44"/>
        </w:numPr>
        <w:spacing w:line="360" w:lineRule="auto"/>
        <w:jc w:val="both"/>
        <w:rPr>
          <w:rFonts w:ascii="Arial" w:hAnsi="Arial" w:cs="Arial"/>
          <w:sz w:val="24"/>
          <w:szCs w:val="24"/>
        </w:rPr>
      </w:pPr>
      <w:r w:rsidRPr="00561468">
        <w:rPr>
          <w:rFonts w:ascii="Arial" w:hAnsi="Arial" w:cs="Arial"/>
          <w:sz w:val="24"/>
          <w:szCs w:val="24"/>
        </w:rPr>
        <w:t>Liquidity problem.</w:t>
      </w:r>
    </w:p>
    <w:p w14:paraId="3ECDA9C3" w14:textId="2019098C" w:rsidR="00561468" w:rsidRPr="00561468" w:rsidRDefault="00561468" w:rsidP="00561468">
      <w:pPr>
        <w:spacing w:line="360" w:lineRule="auto"/>
        <w:jc w:val="both"/>
        <w:rPr>
          <w:rFonts w:ascii="Arial" w:hAnsi="Arial" w:cs="Arial"/>
          <w:sz w:val="24"/>
          <w:szCs w:val="24"/>
        </w:rPr>
      </w:pPr>
      <w:r w:rsidRPr="00561468">
        <w:rPr>
          <w:rFonts w:ascii="Arial" w:hAnsi="Arial" w:cs="Arial"/>
          <w:b/>
          <w:bCs/>
          <w:sz w:val="24"/>
          <w:szCs w:val="24"/>
        </w:rPr>
        <w:t>Long-term financing</w:t>
      </w:r>
      <w:r w:rsidRPr="00561468">
        <w:rPr>
          <w:rFonts w:ascii="Arial" w:hAnsi="Arial" w:cs="Arial"/>
          <w:sz w:val="24"/>
          <w:szCs w:val="24"/>
        </w:rPr>
        <w:t>. The sources of funds like equity, loan or bonds, and are usually intended to cover investment in assets which are less liquid like strategic projects, plant and equipment or the cost for expansion in terms of research and development, or any capital-intensive projects.</w:t>
      </w:r>
    </w:p>
    <w:p w14:paraId="71EA5BF2" w14:textId="77777777" w:rsidR="00561468" w:rsidRPr="00561468" w:rsidRDefault="00561468" w:rsidP="00561468">
      <w:pPr>
        <w:spacing w:line="360" w:lineRule="auto"/>
        <w:jc w:val="both"/>
        <w:rPr>
          <w:rFonts w:ascii="Arial" w:hAnsi="Arial" w:cs="Arial"/>
          <w:b/>
          <w:bCs/>
          <w:sz w:val="24"/>
          <w:szCs w:val="24"/>
        </w:rPr>
      </w:pPr>
      <w:r w:rsidRPr="00561468">
        <w:rPr>
          <w:rFonts w:ascii="Arial" w:hAnsi="Arial" w:cs="Arial"/>
          <w:b/>
          <w:bCs/>
          <w:sz w:val="24"/>
          <w:szCs w:val="24"/>
        </w:rPr>
        <w:lastRenderedPageBreak/>
        <w:t>Pros of long-term financing.</w:t>
      </w:r>
    </w:p>
    <w:p w14:paraId="46D6384B" w14:textId="77777777" w:rsidR="00561468" w:rsidRPr="00561468" w:rsidRDefault="00561468" w:rsidP="00561468">
      <w:pPr>
        <w:pStyle w:val="ListParagraph"/>
        <w:numPr>
          <w:ilvl w:val="0"/>
          <w:numId w:val="42"/>
        </w:numPr>
        <w:spacing w:line="360" w:lineRule="auto"/>
        <w:jc w:val="both"/>
        <w:rPr>
          <w:rFonts w:ascii="Arial" w:hAnsi="Arial" w:cs="Arial"/>
          <w:sz w:val="24"/>
          <w:szCs w:val="24"/>
        </w:rPr>
      </w:pPr>
      <w:r w:rsidRPr="00561468">
        <w:rPr>
          <w:rFonts w:ascii="Arial" w:hAnsi="Arial" w:cs="Arial"/>
          <w:sz w:val="24"/>
          <w:szCs w:val="24"/>
        </w:rPr>
        <w:t>No refinancing risk.</w:t>
      </w:r>
    </w:p>
    <w:p w14:paraId="233A65F2" w14:textId="77777777" w:rsidR="00561468" w:rsidRPr="00561468" w:rsidRDefault="00561468" w:rsidP="00561468">
      <w:pPr>
        <w:pStyle w:val="ListParagraph"/>
        <w:numPr>
          <w:ilvl w:val="0"/>
          <w:numId w:val="42"/>
        </w:numPr>
        <w:spacing w:line="360" w:lineRule="auto"/>
        <w:jc w:val="both"/>
        <w:rPr>
          <w:rFonts w:ascii="Arial" w:hAnsi="Arial" w:cs="Arial"/>
          <w:sz w:val="24"/>
          <w:szCs w:val="24"/>
        </w:rPr>
      </w:pPr>
      <w:r w:rsidRPr="00561468">
        <w:rPr>
          <w:rFonts w:ascii="Arial" w:hAnsi="Arial" w:cs="Arial"/>
          <w:sz w:val="24"/>
          <w:szCs w:val="24"/>
        </w:rPr>
        <w:t>Suited for the investment in assets that lasts for a long time period.</w:t>
      </w:r>
    </w:p>
    <w:p w14:paraId="1265C072" w14:textId="77777777" w:rsidR="00561468" w:rsidRPr="00561468" w:rsidRDefault="00561468" w:rsidP="00561468">
      <w:pPr>
        <w:pStyle w:val="ListParagraph"/>
        <w:numPr>
          <w:ilvl w:val="0"/>
          <w:numId w:val="42"/>
        </w:numPr>
        <w:spacing w:line="360" w:lineRule="auto"/>
        <w:jc w:val="both"/>
        <w:rPr>
          <w:rFonts w:ascii="Arial" w:hAnsi="Arial" w:cs="Arial"/>
          <w:sz w:val="24"/>
          <w:szCs w:val="24"/>
        </w:rPr>
      </w:pPr>
      <w:r w:rsidRPr="00561468">
        <w:rPr>
          <w:rFonts w:ascii="Arial" w:hAnsi="Arial" w:cs="Arial"/>
          <w:sz w:val="24"/>
          <w:szCs w:val="24"/>
        </w:rPr>
        <w:t>Better liquidity position.</w:t>
      </w:r>
    </w:p>
    <w:p w14:paraId="31DE5E4B" w14:textId="77777777" w:rsidR="00561468" w:rsidRPr="00561468" w:rsidRDefault="00561468" w:rsidP="00561468">
      <w:pPr>
        <w:spacing w:line="360" w:lineRule="auto"/>
        <w:jc w:val="both"/>
        <w:rPr>
          <w:rFonts w:ascii="Arial" w:hAnsi="Arial" w:cs="Arial"/>
          <w:sz w:val="24"/>
          <w:szCs w:val="24"/>
        </w:rPr>
      </w:pPr>
      <w:r w:rsidRPr="00561468">
        <w:rPr>
          <w:rFonts w:ascii="Arial" w:hAnsi="Arial" w:cs="Arial"/>
          <w:b/>
          <w:bCs/>
          <w:sz w:val="24"/>
          <w:szCs w:val="24"/>
        </w:rPr>
        <w:t>Cons of long-term financing</w:t>
      </w:r>
      <w:r w:rsidRPr="00561468">
        <w:rPr>
          <w:rFonts w:ascii="Arial" w:hAnsi="Arial" w:cs="Arial"/>
          <w:sz w:val="24"/>
          <w:szCs w:val="24"/>
        </w:rPr>
        <w:t>.</w:t>
      </w:r>
    </w:p>
    <w:p w14:paraId="3AD436A4" w14:textId="77777777" w:rsidR="00561468" w:rsidRPr="00561468" w:rsidRDefault="00561468" w:rsidP="00561468">
      <w:pPr>
        <w:pStyle w:val="ListParagraph"/>
        <w:numPr>
          <w:ilvl w:val="0"/>
          <w:numId w:val="41"/>
        </w:numPr>
        <w:spacing w:line="360" w:lineRule="auto"/>
        <w:jc w:val="both"/>
        <w:rPr>
          <w:rFonts w:ascii="Arial" w:hAnsi="Arial" w:cs="Arial"/>
          <w:sz w:val="24"/>
          <w:szCs w:val="24"/>
        </w:rPr>
      </w:pPr>
      <w:r w:rsidRPr="00561468">
        <w:rPr>
          <w:rFonts w:ascii="Arial" w:hAnsi="Arial" w:cs="Arial"/>
          <w:sz w:val="24"/>
          <w:szCs w:val="24"/>
        </w:rPr>
        <w:t>Higher cost of capital.</w:t>
      </w:r>
    </w:p>
    <w:p w14:paraId="7A4111C8" w14:textId="77777777" w:rsidR="00561468" w:rsidRPr="00561468" w:rsidRDefault="00561468" w:rsidP="00561468">
      <w:pPr>
        <w:pStyle w:val="ListParagraph"/>
        <w:numPr>
          <w:ilvl w:val="0"/>
          <w:numId w:val="41"/>
        </w:numPr>
        <w:spacing w:line="360" w:lineRule="auto"/>
        <w:jc w:val="both"/>
        <w:rPr>
          <w:rFonts w:ascii="Arial" w:hAnsi="Arial" w:cs="Arial"/>
          <w:sz w:val="24"/>
          <w:szCs w:val="24"/>
        </w:rPr>
      </w:pPr>
      <w:r w:rsidRPr="00561468">
        <w:rPr>
          <w:rFonts w:ascii="Arial" w:hAnsi="Arial" w:cs="Arial"/>
          <w:sz w:val="24"/>
          <w:szCs w:val="24"/>
        </w:rPr>
        <w:t>Inflexibility.</w:t>
      </w:r>
    </w:p>
    <w:p w14:paraId="2D542E8D" w14:textId="77777777" w:rsidR="00561468" w:rsidRPr="00561468" w:rsidRDefault="00561468" w:rsidP="00561468">
      <w:pPr>
        <w:pStyle w:val="ListParagraph"/>
        <w:numPr>
          <w:ilvl w:val="0"/>
          <w:numId w:val="41"/>
        </w:numPr>
        <w:spacing w:line="360" w:lineRule="auto"/>
        <w:jc w:val="both"/>
        <w:rPr>
          <w:rFonts w:ascii="Arial" w:hAnsi="Arial" w:cs="Arial"/>
          <w:sz w:val="24"/>
          <w:szCs w:val="24"/>
        </w:rPr>
      </w:pPr>
      <w:r w:rsidRPr="00561468">
        <w:rPr>
          <w:rFonts w:ascii="Arial" w:hAnsi="Arial" w:cs="Arial"/>
          <w:sz w:val="24"/>
          <w:szCs w:val="24"/>
        </w:rPr>
        <w:t>Dilution for equity.</w:t>
      </w:r>
    </w:p>
    <w:p w14:paraId="4AF0A250" w14:textId="516FAF94" w:rsidR="00561468" w:rsidRPr="00561468" w:rsidRDefault="00561468" w:rsidP="00561468">
      <w:pPr>
        <w:spacing w:line="360" w:lineRule="auto"/>
        <w:jc w:val="both"/>
        <w:rPr>
          <w:rFonts w:ascii="Arial" w:hAnsi="Arial" w:cs="Arial"/>
          <w:sz w:val="24"/>
          <w:szCs w:val="24"/>
        </w:rPr>
      </w:pPr>
      <w:r w:rsidRPr="00561468">
        <w:rPr>
          <w:rFonts w:ascii="Arial" w:hAnsi="Arial" w:cs="Arial"/>
          <w:sz w:val="24"/>
          <w:szCs w:val="24"/>
        </w:rPr>
        <w:t>Tesla:</w:t>
      </w:r>
      <w:r>
        <w:rPr>
          <w:rFonts w:ascii="Arial" w:hAnsi="Arial" w:cs="Arial"/>
          <w:sz w:val="24"/>
          <w:szCs w:val="24"/>
        </w:rPr>
        <w:t xml:space="preserve"> </w:t>
      </w:r>
      <w:r w:rsidRPr="00561468">
        <w:rPr>
          <w:rFonts w:ascii="Arial" w:hAnsi="Arial" w:cs="Arial"/>
          <w:sz w:val="24"/>
          <w:szCs w:val="24"/>
        </w:rPr>
        <w:t>Given the good liquidity and cash position for Tesla, reliance on short-term financing is limited and consequently, the liquidity risk is also limited. However for investments such as building of Gigafactories and developing of AI framework on a large scale, the investment should be financed with long-term financing, mainly on equity.</w:t>
      </w:r>
    </w:p>
    <w:p w14:paraId="552BEC6A" w14:textId="2168EB5C" w:rsidR="00561468" w:rsidRPr="00561468" w:rsidRDefault="00561468" w:rsidP="00561468">
      <w:pPr>
        <w:spacing w:line="360" w:lineRule="auto"/>
        <w:jc w:val="both"/>
        <w:rPr>
          <w:rFonts w:ascii="Arial" w:hAnsi="Arial" w:cs="Arial"/>
          <w:sz w:val="24"/>
          <w:szCs w:val="24"/>
        </w:rPr>
      </w:pPr>
      <w:r w:rsidRPr="00561468">
        <w:rPr>
          <w:rFonts w:ascii="Arial" w:hAnsi="Arial" w:cs="Arial"/>
          <w:sz w:val="24"/>
          <w:szCs w:val="24"/>
        </w:rPr>
        <w:t xml:space="preserve">Final </w:t>
      </w:r>
      <w:proofErr w:type="spellStart"/>
      <w:r w:rsidRPr="00561468">
        <w:rPr>
          <w:rFonts w:ascii="Arial" w:hAnsi="Arial" w:cs="Arial"/>
          <w:sz w:val="24"/>
          <w:szCs w:val="24"/>
        </w:rPr>
        <w:t>analysis:Tesla</w:t>
      </w:r>
      <w:proofErr w:type="spellEnd"/>
      <w:r w:rsidRPr="00561468">
        <w:rPr>
          <w:rFonts w:ascii="Arial" w:hAnsi="Arial" w:cs="Arial"/>
          <w:sz w:val="24"/>
          <w:szCs w:val="24"/>
        </w:rPr>
        <w:t xml:space="preserve"> should aim to have a stable structure by not having large amount of liabilities, hence, only using the internally generated resources and long-term loans and equity for its expansion strategy.</w:t>
      </w:r>
    </w:p>
    <w:p w14:paraId="71E8D08F" w14:textId="77777777" w:rsidR="00DA3C00" w:rsidRDefault="00DA3C00" w:rsidP="00DA3C00">
      <w:pPr>
        <w:spacing w:line="360" w:lineRule="auto"/>
        <w:jc w:val="both"/>
        <w:rPr>
          <w:rFonts w:ascii="Arial" w:hAnsi="Arial" w:cs="Arial"/>
          <w:b/>
          <w:bCs/>
          <w:sz w:val="28"/>
          <w:szCs w:val="28"/>
        </w:rPr>
      </w:pPr>
    </w:p>
    <w:p w14:paraId="3FB6D997" w14:textId="71695B84" w:rsidR="00975CD4" w:rsidRDefault="00975CD4" w:rsidP="00DA3C00">
      <w:pPr>
        <w:spacing w:line="360" w:lineRule="auto"/>
        <w:jc w:val="both"/>
        <w:rPr>
          <w:rFonts w:ascii="Arial" w:hAnsi="Arial" w:cs="Arial"/>
          <w:b/>
          <w:bCs/>
          <w:sz w:val="28"/>
          <w:szCs w:val="28"/>
        </w:rPr>
      </w:pPr>
      <w:r w:rsidRPr="00975CD4">
        <w:rPr>
          <w:rFonts w:ascii="Arial" w:hAnsi="Arial" w:cs="Arial"/>
          <w:b/>
          <w:bCs/>
          <w:sz w:val="28"/>
          <w:szCs w:val="28"/>
        </w:rPr>
        <w:t>Strategic Financial Restructuring Plan</w:t>
      </w:r>
    </w:p>
    <w:p w14:paraId="00B1F995" w14:textId="714A2E40" w:rsidR="00975CD4" w:rsidRDefault="00975CD4" w:rsidP="00DA3C00">
      <w:pPr>
        <w:spacing w:line="360" w:lineRule="auto"/>
        <w:jc w:val="both"/>
        <w:rPr>
          <w:rFonts w:ascii="Arial" w:hAnsi="Arial" w:cs="Arial"/>
          <w:sz w:val="24"/>
          <w:szCs w:val="24"/>
        </w:rPr>
      </w:pPr>
      <w:r w:rsidRPr="00975CD4">
        <w:rPr>
          <w:rFonts w:ascii="Arial" w:hAnsi="Arial" w:cs="Arial"/>
          <w:sz w:val="24"/>
          <w:szCs w:val="24"/>
        </w:rPr>
        <w:t xml:space="preserve">Financial restructuring is a key corporate activity, typically triggered not merely as a reactive response to a firm's financial problems but in anticipation of "unfreezing value," minimizing costs of capital and aligning the capital structure with strategic goals. In an environment of globalization and evolving macroeconomic conditions, a frozen capital structure can become a substantial liability. This strategic plan details alternative strategies for financial restructuring and </w:t>
      </w:r>
      <w:proofErr w:type="spellStart"/>
      <w:r w:rsidRPr="00975CD4">
        <w:rPr>
          <w:rFonts w:ascii="Arial" w:hAnsi="Arial" w:cs="Arial"/>
          <w:sz w:val="24"/>
          <w:szCs w:val="24"/>
        </w:rPr>
        <w:t>analyzes</w:t>
      </w:r>
      <w:proofErr w:type="spellEnd"/>
      <w:r w:rsidRPr="00975CD4">
        <w:rPr>
          <w:rFonts w:ascii="Arial" w:hAnsi="Arial" w:cs="Arial"/>
          <w:sz w:val="24"/>
          <w:szCs w:val="24"/>
        </w:rPr>
        <w:t xml:space="preserve"> the various effects on a firm, while considering the intricate legal, international, and ethical dimension that should underlie these decisions.</w:t>
      </w:r>
    </w:p>
    <w:p w14:paraId="2C6E7B88" w14:textId="77777777" w:rsidR="00975CD4" w:rsidRPr="00975CD4" w:rsidRDefault="00975CD4" w:rsidP="00DA3C00">
      <w:pPr>
        <w:spacing w:line="360" w:lineRule="auto"/>
        <w:jc w:val="both"/>
        <w:rPr>
          <w:rFonts w:ascii="Arial" w:hAnsi="Arial" w:cs="Arial"/>
          <w:b/>
          <w:bCs/>
          <w:sz w:val="24"/>
          <w:szCs w:val="24"/>
        </w:rPr>
      </w:pPr>
      <w:r w:rsidRPr="00975CD4">
        <w:rPr>
          <w:rFonts w:ascii="Arial" w:hAnsi="Arial" w:cs="Arial"/>
          <w:b/>
          <w:bCs/>
          <w:sz w:val="24"/>
          <w:szCs w:val="24"/>
        </w:rPr>
        <w:t>Recommended options for Financial Restructuring.</w:t>
      </w:r>
    </w:p>
    <w:p w14:paraId="52C9714D" w14:textId="1C1C7436" w:rsidR="00975CD4" w:rsidRDefault="00975CD4" w:rsidP="00DA3C00">
      <w:pPr>
        <w:spacing w:line="360" w:lineRule="auto"/>
        <w:jc w:val="both"/>
        <w:rPr>
          <w:rFonts w:ascii="Arial" w:hAnsi="Arial" w:cs="Arial"/>
          <w:sz w:val="24"/>
          <w:szCs w:val="24"/>
        </w:rPr>
      </w:pPr>
      <w:r w:rsidRPr="00975CD4">
        <w:rPr>
          <w:rFonts w:ascii="Arial" w:hAnsi="Arial" w:cs="Arial"/>
          <w:sz w:val="24"/>
          <w:szCs w:val="24"/>
        </w:rPr>
        <w:t xml:space="preserve">A tailored mix of restructuring on asset base and restructuring of capital structure is needed for </w:t>
      </w:r>
      <w:proofErr w:type="spellStart"/>
      <w:r w:rsidRPr="00975CD4">
        <w:rPr>
          <w:rFonts w:ascii="Arial" w:hAnsi="Arial" w:cs="Arial"/>
          <w:sz w:val="24"/>
          <w:szCs w:val="24"/>
        </w:rPr>
        <w:t>a</w:t>
      </w:r>
      <w:proofErr w:type="spellEnd"/>
      <w:r w:rsidRPr="00975CD4">
        <w:rPr>
          <w:rFonts w:ascii="Arial" w:hAnsi="Arial" w:cs="Arial"/>
          <w:sz w:val="24"/>
          <w:szCs w:val="24"/>
        </w:rPr>
        <w:t xml:space="preserve"> effective restructuring plan. Hereby, the options on the basis of the </w:t>
      </w:r>
      <w:r w:rsidRPr="00975CD4">
        <w:rPr>
          <w:rFonts w:ascii="Arial" w:hAnsi="Arial" w:cs="Arial"/>
          <w:sz w:val="24"/>
          <w:szCs w:val="24"/>
        </w:rPr>
        <w:lastRenderedPageBreak/>
        <w:t>varying needs of the organization (from de-leveraging to hyper-growth orientation) have been recommended</w:t>
      </w:r>
      <w:r>
        <w:rPr>
          <w:rFonts w:ascii="Arial" w:hAnsi="Arial" w:cs="Arial"/>
          <w:sz w:val="24"/>
          <w:szCs w:val="24"/>
        </w:rPr>
        <w:t>.</w:t>
      </w:r>
    </w:p>
    <w:p w14:paraId="02D06394" w14:textId="77777777" w:rsidR="00975CD4" w:rsidRPr="00975CD4" w:rsidRDefault="00975CD4" w:rsidP="00DA3C00">
      <w:pPr>
        <w:spacing w:line="360" w:lineRule="auto"/>
        <w:jc w:val="both"/>
        <w:rPr>
          <w:rFonts w:ascii="Arial" w:hAnsi="Arial" w:cs="Arial"/>
          <w:b/>
          <w:bCs/>
          <w:sz w:val="24"/>
          <w:szCs w:val="24"/>
        </w:rPr>
      </w:pPr>
      <w:r w:rsidRPr="00975CD4">
        <w:rPr>
          <w:rFonts w:ascii="Arial" w:hAnsi="Arial" w:cs="Arial"/>
          <w:b/>
          <w:bCs/>
          <w:sz w:val="24"/>
          <w:szCs w:val="24"/>
        </w:rPr>
        <w:t>1. Divestitures and Corporate Carve-Outs</w:t>
      </w:r>
    </w:p>
    <w:p w14:paraId="0DB1CD29" w14:textId="77777777" w:rsidR="00975CD4" w:rsidRPr="00975CD4" w:rsidRDefault="00975CD4" w:rsidP="00DA3C00">
      <w:pPr>
        <w:spacing w:line="360" w:lineRule="auto"/>
        <w:jc w:val="both"/>
        <w:rPr>
          <w:rFonts w:ascii="Arial" w:hAnsi="Arial" w:cs="Arial"/>
          <w:sz w:val="24"/>
          <w:szCs w:val="24"/>
        </w:rPr>
      </w:pPr>
      <w:r w:rsidRPr="00975CD4">
        <w:rPr>
          <w:rFonts w:ascii="Arial" w:hAnsi="Arial" w:cs="Arial"/>
          <w:sz w:val="24"/>
          <w:szCs w:val="24"/>
        </w:rPr>
        <w:t xml:space="preserve">Businesses that have a history of aggressive expansion often face a problem referred to as "conglomerate discount" where the market prices a group of businesses for less than the sum of their individual values. Divestiture is essentially getting rid of an </w:t>
      </w:r>
      <w:proofErr w:type="spellStart"/>
      <w:r w:rsidRPr="00975CD4">
        <w:rPr>
          <w:rFonts w:ascii="Arial" w:hAnsi="Arial" w:cs="Arial"/>
          <w:sz w:val="24"/>
          <w:szCs w:val="24"/>
        </w:rPr>
        <w:t>under performing</w:t>
      </w:r>
      <w:proofErr w:type="spellEnd"/>
      <w:r w:rsidRPr="00975CD4">
        <w:rPr>
          <w:rFonts w:ascii="Arial" w:hAnsi="Arial" w:cs="Arial"/>
          <w:sz w:val="24"/>
          <w:szCs w:val="24"/>
        </w:rPr>
        <w:t>, misaligned, or non-core business segment within a corporation.</w:t>
      </w:r>
    </w:p>
    <w:p w14:paraId="36CDE5FA" w14:textId="77777777" w:rsidR="00975CD4" w:rsidRPr="00975CD4" w:rsidRDefault="00975CD4" w:rsidP="00DA3C00">
      <w:pPr>
        <w:pStyle w:val="ListParagraph"/>
        <w:numPr>
          <w:ilvl w:val="0"/>
          <w:numId w:val="26"/>
        </w:numPr>
        <w:spacing w:line="360" w:lineRule="auto"/>
        <w:jc w:val="both"/>
        <w:rPr>
          <w:rFonts w:ascii="Arial" w:hAnsi="Arial" w:cs="Arial"/>
          <w:sz w:val="24"/>
          <w:szCs w:val="24"/>
        </w:rPr>
      </w:pPr>
      <w:r w:rsidRPr="00975CD4">
        <w:rPr>
          <w:rFonts w:ascii="Arial" w:hAnsi="Arial" w:cs="Arial"/>
          <w:b/>
          <w:bCs/>
          <w:sz w:val="24"/>
          <w:szCs w:val="24"/>
        </w:rPr>
        <w:t>Sell-offs:</w:t>
      </w:r>
      <w:r w:rsidRPr="00975CD4">
        <w:rPr>
          <w:rFonts w:ascii="Arial" w:hAnsi="Arial" w:cs="Arial"/>
          <w:sz w:val="24"/>
          <w:szCs w:val="24"/>
        </w:rPr>
        <w:t xml:space="preserve"> These sales offer a lump sum of cash that can be used to pay off a highly costly liability or reallocated to invest in a </w:t>
      </w:r>
      <w:proofErr w:type="spellStart"/>
      <w:r w:rsidRPr="00975CD4">
        <w:rPr>
          <w:rFonts w:ascii="Arial" w:hAnsi="Arial" w:cs="Arial"/>
          <w:sz w:val="24"/>
          <w:szCs w:val="24"/>
        </w:rPr>
        <w:t>businesses</w:t>
      </w:r>
      <w:proofErr w:type="spellEnd"/>
      <w:r w:rsidRPr="00975CD4">
        <w:rPr>
          <w:rFonts w:ascii="Arial" w:hAnsi="Arial" w:cs="Arial"/>
          <w:sz w:val="24"/>
          <w:szCs w:val="24"/>
        </w:rPr>
        <w:t xml:space="preserve"> core businesses.</w:t>
      </w:r>
    </w:p>
    <w:p w14:paraId="27A71E4C" w14:textId="556F2B73" w:rsidR="00975CD4" w:rsidRDefault="00975CD4" w:rsidP="00DA3C00">
      <w:pPr>
        <w:pStyle w:val="ListParagraph"/>
        <w:numPr>
          <w:ilvl w:val="0"/>
          <w:numId w:val="26"/>
        </w:numPr>
        <w:spacing w:line="360" w:lineRule="auto"/>
        <w:jc w:val="both"/>
        <w:rPr>
          <w:rFonts w:ascii="Arial" w:hAnsi="Arial" w:cs="Arial"/>
          <w:sz w:val="24"/>
          <w:szCs w:val="24"/>
        </w:rPr>
      </w:pPr>
      <w:r w:rsidRPr="00975CD4">
        <w:rPr>
          <w:rFonts w:ascii="Arial" w:hAnsi="Arial" w:cs="Arial"/>
          <w:b/>
          <w:bCs/>
          <w:sz w:val="24"/>
          <w:szCs w:val="24"/>
        </w:rPr>
        <w:t>Spin-offs:</w:t>
      </w:r>
      <w:r w:rsidRPr="00975CD4">
        <w:rPr>
          <w:rFonts w:ascii="Arial" w:hAnsi="Arial" w:cs="Arial"/>
          <w:sz w:val="24"/>
          <w:szCs w:val="24"/>
        </w:rPr>
        <w:t xml:space="preserve"> Alternatively a wholly-owned division could be spun off and become a public company with a portion owned by previous owners of the division and a portion by the prior company. These pure play entities are appealing to industry specialists and unlock the markets inherent value as well as allows the businesses to focus solely on their specific industry.</w:t>
      </w:r>
    </w:p>
    <w:p w14:paraId="367E5A9C" w14:textId="77777777" w:rsidR="00805753" w:rsidRDefault="00805753" w:rsidP="00DA3C00">
      <w:pPr>
        <w:spacing w:line="360" w:lineRule="auto"/>
        <w:jc w:val="both"/>
        <w:rPr>
          <w:rFonts w:ascii="Arial" w:hAnsi="Arial" w:cs="Arial"/>
          <w:b/>
          <w:bCs/>
          <w:sz w:val="24"/>
          <w:szCs w:val="24"/>
        </w:rPr>
      </w:pPr>
      <w:r w:rsidRPr="00805753">
        <w:rPr>
          <w:rFonts w:ascii="Arial" w:hAnsi="Arial" w:cs="Arial"/>
          <w:b/>
          <w:bCs/>
          <w:sz w:val="24"/>
          <w:szCs w:val="24"/>
        </w:rPr>
        <w:t>2. Mergers and Acquisitions (M&amp;A)</w:t>
      </w:r>
    </w:p>
    <w:p w14:paraId="48DFE584" w14:textId="2E48B617" w:rsidR="00805753" w:rsidRPr="00805753" w:rsidRDefault="00805753" w:rsidP="00DA3C00">
      <w:pPr>
        <w:spacing w:line="360" w:lineRule="auto"/>
        <w:jc w:val="both"/>
        <w:rPr>
          <w:rFonts w:ascii="Arial" w:hAnsi="Arial" w:cs="Arial"/>
          <w:b/>
          <w:bCs/>
          <w:sz w:val="24"/>
          <w:szCs w:val="24"/>
        </w:rPr>
      </w:pPr>
      <w:r w:rsidRPr="00805753">
        <w:rPr>
          <w:rFonts w:ascii="Arial" w:hAnsi="Arial" w:cs="Arial"/>
          <w:sz w:val="24"/>
          <w:szCs w:val="24"/>
        </w:rPr>
        <w:t>Mergers and acquisitions are potent restructuring mechanisms where a firm wishes to accelerate growth, move into new geographic regions, or take on developing technology.</w:t>
      </w:r>
    </w:p>
    <w:p w14:paraId="0F474EF6" w14:textId="46EB3869" w:rsidR="00805753" w:rsidRPr="00805753" w:rsidRDefault="00805753" w:rsidP="00DA3C00">
      <w:pPr>
        <w:pStyle w:val="ListParagraph"/>
        <w:numPr>
          <w:ilvl w:val="0"/>
          <w:numId w:val="27"/>
        </w:numPr>
        <w:spacing w:line="360" w:lineRule="auto"/>
        <w:jc w:val="both"/>
        <w:rPr>
          <w:rFonts w:ascii="Arial" w:hAnsi="Arial" w:cs="Arial"/>
          <w:sz w:val="24"/>
          <w:szCs w:val="24"/>
        </w:rPr>
      </w:pPr>
      <w:r w:rsidRPr="00805753">
        <w:rPr>
          <w:rFonts w:ascii="Arial" w:hAnsi="Arial" w:cs="Arial"/>
          <w:b/>
          <w:bCs/>
          <w:sz w:val="24"/>
          <w:szCs w:val="24"/>
        </w:rPr>
        <w:t>Horizontal and Vertical Integrations:</w:t>
      </w:r>
      <w:r w:rsidRPr="00805753">
        <w:rPr>
          <w:rFonts w:ascii="Arial" w:hAnsi="Arial" w:cs="Arial"/>
          <w:sz w:val="24"/>
          <w:szCs w:val="24"/>
        </w:rPr>
        <w:t xml:space="preserve"> Merging with an existing competitor (horizontal) will not only massively expand market share and the power to command prices, but will generate large economies of scale. The acquisition of an existing supplier or distribution channel (vertical) helps secure the supply chain and shields profit margins.</w:t>
      </w:r>
    </w:p>
    <w:p w14:paraId="24D8550B" w14:textId="2F9641D2" w:rsidR="00975CD4" w:rsidRDefault="00805753" w:rsidP="00DA3C00">
      <w:pPr>
        <w:pStyle w:val="ListParagraph"/>
        <w:numPr>
          <w:ilvl w:val="0"/>
          <w:numId w:val="27"/>
        </w:numPr>
        <w:spacing w:line="360" w:lineRule="auto"/>
        <w:jc w:val="both"/>
        <w:rPr>
          <w:rFonts w:ascii="Arial" w:hAnsi="Arial" w:cs="Arial"/>
          <w:sz w:val="24"/>
          <w:szCs w:val="24"/>
        </w:rPr>
      </w:pPr>
      <w:r w:rsidRPr="00805753">
        <w:rPr>
          <w:rFonts w:ascii="Arial" w:hAnsi="Arial" w:cs="Arial"/>
          <w:b/>
          <w:bCs/>
          <w:sz w:val="24"/>
          <w:szCs w:val="24"/>
        </w:rPr>
        <w:t>Financial Synergy:</w:t>
      </w:r>
      <w:r w:rsidRPr="00805753">
        <w:rPr>
          <w:rFonts w:ascii="Arial" w:hAnsi="Arial" w:cs="Arial"/>
          <w:sz w:val="24"/>
          <w:szCs w:val="24"/>
        </w:rPr>
        <w:t xml:space="preserve"> structurally, mergers are also very effective. A highly liquid and matured company may acquire a highly levered start-up with high growth potential and leverage the former's strong balance sheet to provide cash and significantly reduce WACC for the combined enterprise.</w:t>
      </w:r>
    </w:p>
    <w:p w14:paraId="5476CA9C" w14:textId="77777777" w:rsidR="00805753" w:rsidRPr="00805753" w:rsidRDefault="00805753" w:rsidP="00DA3C00">
      <w:pPr>
        <w:spacing w:line="360" w:lineRule="auto"/>
        <w:jc w:val="both"/>
        <w:rPr>
          <w:rFonts w:ascii="Arial" w:hAnsi="Arial" w:cs="Arial"/>
          <w:b/>
          <w:bCs/>
          <w:sz w:val="24"/>
          <w:szCs w:val="24"/>
        </w:rPr>
      </w:pPr>
      <w:r w:rsidRPr="00805753">
        <w:rPr>
          <w:rFonts w:ascii="Arial" w:hAnsi="Arial" w:cs="Arial"/>
          <w:b/>
          <w:bCs/>
          <w:sz w:val="24"/>
          <w:szCs w:val="24"/>
        </w:rPr>
        <w:t>3. Equity Injection and Recapitalization</w:t>
      </w:r>
    </w:p>
    <w:p w14:paraId="6C47B66F" w14:textId="77777777" w:rsidR="00805753" w:rsidRPr="00805753" w:rsidRDefault="00805753" w:rsidP="00DA3C00">
      <w:pPr>
        <w:spacing w:line="360" w:lineRule="auto"/>
        <w:jc w:val="both"/>
        <w:rPr>
          <w:rFonts w:ascii="Arial" w:hAnsi="Arial" w:cs="Arial"/>
          <w:sz w:val="24"/>
          <w:szCs w:val="24"/>
        </w:rPr>
      </w:pPr>
      <w:r w:rsidRPr="00805753">
        <w:rPr>
          <w:rFonts w:ascii="Arial" w:hAnsi="Arial" w:cs="Arial"/>
          <w:sz w:val="24"/>
          <w:szCs w:val="24"/>
        </w:rPr>
        <w:lastRenderedPageBreak/>
        <w:t>Insolvency concerns with high debt burdens mean that a company lacks operational flexibility. Injecting equity into the firm restructures the capital base through the introduction of new funds with no ongoing interest payments attached.</w:t>
      </w:r>
    </w:p>
    <w:p w14:paraId="188344E7" w14:textId="77777777" w:rsidR="00805753" w:rsidRPr="00805753" w:rsidRDefault="00805753" w:rsidP="00DA3C00">
      <w:pPr>
        <w:pStyle w:val="ListParagraph"/>
        <w:numPr>
          <w:ilvl w:val="0"/>
          <w:numId w:val="28"/>
        </w:numPr>
        <w:spacing w:line="360" w:lineRule="auto"/>
        <w:jc w:val="both"/>
        <w:rPr>
          <w:rFonts w:ascii="Arial" w:hAnsi="Arial" w:cs="Arial"/>
          <w:sz w:val="24"/>
          <w:szCs w:val="24"/>
        </w:rPr>
      </w:pPr>
      <w:r w:rsidRPr="00805753">
        <w:rPr>
          <w:rFonts w:ascii="Arial" w:hAnsi="Arial" w:cs="Arial"/>
          <w:b/>
          <w:bCs/>
          <w:sz w:val="24"/>
          <w:szCs w:val="24"/>
        </w:rPr>
        <w:t>Rights Issues:</w:t>
      </w:r>
      <w:r w:rsidRPr="00805753">
        <w:rPr>
          <w:rFonts w:ascii="Arial" w:hAnsi="Arial" w:cs="Arial"/>
          <w:sz w:val="24"/>
          <w:szCs w:val="24"/>
        </w:rPr>
        <w:t xml:space="preserve"> Where the current shareholders are invited to purchase additional equity at a discounted rate; it is a way of generating equity whilst protecting their existing stake.</w:t>
      </w:r>
    </w:p>
    <w:p w14:paraId="21435909" w14:textId="6606E051" w:rsidR="00805753" w:rsidRDefault="00805753" w:rsidP="00DA3C00">
      <w:pPr>
        <w:pStyle w:val="ListParagraph"/>
        <w:numPr>
          <w:ilvl w:val="0"/>
          <w:numId w:val="28"/>
        </w:numPr>
        <w:spacing w:line="360" w:lineRule="auto"/>
        <w:jc w:val="both"/>
        <w:rPr>
          <w:rFonts w:ascii="Arial" w:hAnsi="Arial" w:cs="Arial"/>
          <w:sz w:val="24"/>
          <w:szCs w:val="24"/>
        </w:rPr>
      </w:pPr>
      <w:r w:rsidRPr="00805753">
        <w:rPr>
          <w:rFonts w:ascii="Arial" w:hAnsi="Arial" w:cs="Arial"/>
          <w:b/>
          <w:bCs/>
          <w:sz w:val="24"/>
          <w:szCs w:val="24"/>
        </w:rPr>
        <w:t xml:space="preserve">Private Equity / Strategic Partnerships: </w:t>
      </w:r>
      <w:r w:rsidRPr="00805753">
        <w:rPr>
          <w:rFonts w:ascii="Arial" w:hAnsi="Arial" w:cs="Arial"/>
          <w:sz w:val="24"/>
          <w:szCs w:val="24"/>
        </w:rPr>
        <w:t>Introducing institutional investors injects funds into the firm, bringing with it not just capital but also governance structure and sector expertise. While a dilutive effect and possible board power loss is implied, the effect is to severely deleverage the firm, substituting fixed debt obligations for more flexible capital.</w:t>
      </w:r>
    </w:p>
    <w:p w14:paraId="02F51973" w14:textId="77777777" w:rsidR="00805753" w:rsidRPr="00805753" w:rsidRDefault="00805753" w:rsidP="00DA3C00">
      <w:pPr>
        <w:spacing w:line="360" w:lineRule="auto"/>
        <w:jc w:val="both"/>
        <w:rPr>
          <w:rFonts w:ascii="Arial" w:hAnsi="Arial" w:cs="Arial"/>
          <w:b/>
          <w:bCs/>
          <w:sz w:val="24"/>
          <w:szCs w:val="24"/>
        </w:rPr>
      </w:pPr>
      <w:r w:rsidRPr="00805753">
        <w:rPr>
          <w:rFonts w:ascii="Arial" w:hAnsi="Arial" w:cs="Arial"/>
          <w:b/>
          <w:bCs/>
          <w:sz w:val="24"/>
          <w:szCs w:val="24"/>
        </w:rPr>
        <w:t>4. Debt Restructuring</w:t>
      </w:r>
    </w:p>
    <w:p w14:paraId="409169DD" w14:textId="0FDE0C6C" w:rsidR="00805753" w:rsidRDefault="00805753" w:rsidP="00DA3C00">
      <w:pPr>
        <w:spacing w:line="360" w:lineRule="auto"/>
        <w:jc w:val="both"/>
        <w:rPr>
          <w:rFonts w:ascii="Arial" w:hAnsi="Arial" w:cs="Arial"/>
          <w:sz w:val="24"/>
          <w:szCs w:val="24"/>
        </w:rPr>
      </w:pPr>
      <w:r w:rsidRPr="00805753">
        <w:rPr>
          <w:rFonts w:ascii="Arial" w:hAnsi="Arial" w:cs="Arial"/>
          <w:sz w:val="24"/>
          <w:szCs w:val="24"/>
        </w:rPr>
        <w:t>If the company is in liquidity problems, but its business itself is healthy, there should be re-organization of the company's debt obligations. Options range from debt extension, reduction of interest rates and debt-for-equity swap, in which the creditor relinquishes part of the loan by way of ownership stake in the company. This will convert the creditor, usually on a confrontational basis, into an ally (shareholder) and directly address the problem of cash flow constraints.</w:t>
      </w:r>
    </w:p>
    <w:p w14:paraId="05CC2AE4" w14:textId="77777777" w:rsidR="00805753" w:rsidRPr="00805753" w:rsidRDefault="00805753" w:rsidP="00DA3C00">
      <w:pPr>
        <w:spacing w:line="360" w:lineRule="auto"/>
        <w:jc w:val="both"/>
        <w:rPr>
          <w:rFonts w:ascii="Arial" w:hAnsi="Arial" w:cs="Arial"/>
          <w:b/>
          <w:bCs/>
          <w:sz w:val="24"/>
          <w:szCs w:val="24"/>
        </w:rPr>
      </w:pPr>
      <w:r w:rsidRPr="00805753">
        <w:rPr>
          <w:rFonts w:ascii="Arial" w:hAnsi="Arial" w:cs="Arial"/>
          <w:b/>
          <w:bCs/>
          <w:sz w:val="24"/>
          <w:szCs w:val="24"/>
        </w:rPr>
        <w:t>Assessing the Outcome of the Restructuring</w:t>
      </w:r>
    </w:p>
    <w:p w14:paraId="04961AD7" w14:textId="77777777" w:rsidR="00805753" w:rsidRPr="00805753" w:rsidRDefault="00805753" w:rsidP="00DA3C00">
      <w:pPr>
        <w:spacing w:line="360" w:lineRule="auto"/>
        <w:jc w:val="both"/>
        <w:rPr>
          <w:rFonts w:ascii="Arial" w:hAnsi="Arial" w:cs="Arial"/>
          <w:sz w:val="24"/>
          <w:szCs w:val="24"/>
        </w:rPr>
      </w:pPr>
      <w:r w:rsidRPr="00805753">
        <w:rPr>
          <w:rFonts w:ascii="Arial" w:hAnsi="Arial" w:cs="Arial"/>
          <w:sz w:val="24"/>
          <w:szCs w:val="24"/>
        </w:rPr>
        <w:t>A restructuring plan's ultimate value is found in its system-wide outcome within three areas: value to the shareholders, the firm's debt structure, and the operational flexibility provided.</w:t>
      </w:r>
    </w:p>
    <w:p w14:paraId="73AB4E18" w14:textId="77777777" w:rsidR="00805753" w:rsidRPr="00805753" w:rsidRDefault="00805753" w:rsidP="00DA3C00">
      <w:pPr>
        <w:spacing w:line="360" w:lineRule="auto"/>
        <w:jc w:val="both"/>
        <w:rPr>
          <w:rFonts w:ascii="Arial" w:hAnsi="Arial" w:cs="Arial"/>
          <w:b/>
          <w:bCs/>
          <w:sz w:val="24"/>
          <w:szCs w:val="24"/>
        </w:rPr>
      </w:pPr>
      <w:r w:rsidRPr="00805753">
        <w:rPr>
          <w:rFonts w:ascii="Arial" w:hAnsi="Arial" w:cs="Arial"/>
          <w:b/>
          <w:bCs/>
          <w:sz w:val="24"/>
          <w:szCs w:val="24"/>
        </w:rPr>
        <w:t>Value to the shareholders</w:t>
      </w:r>
    </w:p>
    <w:p w14:paraId="0DDFEE53" w14:textId="77777777" w:rsidR="00805753" w:rsidRPr="00805753" w:rsidRDefault="00805753" w:rsidP="00DA3C00">
      <w:pPr>
        <w:spacing w:line="360" w:lineRule="auto"/>
        <w:jc w:val="both"/>
        <w:rPr>
          <w:rFonts w:ascii="Arial" w:hAnsi="Arial" w:cs="Arial"/>
          <w:sz w:val="24"/>
          <w:szCs w:val="24"/>
        </w:rPr>
      </w:pPr>
      <w:r w:rsidRPr="00805753">
        <w:rPr>
          <w:rFonts w:ascii="Arial" w:hAnsi="Arial" w:cs="Arial"/>
          <w:sz w:val="24"/>
          <w:szCs w:val="24"/>
        </w:rPr>
        <w:t xml:space="preserve">On a short term basis, announcement of a restructuring--and specifically that of an equity infusion or dividend reduction--can have a negative impact on the firm's share price as the market absorbs the effects of the equity dilution or impending financial distress. Over the long term, however, the value of the shareholders should generally increase due to a strategically well-conceived restructuring. Divestitures will often result in the narrowing of the company's focus which, if desired, should lead to an increased EPS multiple as the market rewarded focus. Additionally, a </w:t>
      </w:r>
      <w:proofErr w:type="spellStart"/>
      <w:r w:rsidRPr="00805753">
        <w:rPr>
          <w:rFonts w:ascii="Arial" w:hAnsi="Arial" w:cs="Arial"/>
          <w:sz w:val="24"/>
          <w:szCs w:val="24"/>
        </w:rPr>
        <w:t>well executed</w:t>
      </w:r>
      <w:proofErr w:type="spellEnd"/>
      <w:r w:rsidRPr="00805753">
        <w:rPr>
          <w:rFonts w:ascii="Arial" w:hAnsi="Arial" w:cs="Arial"/>
          <w:sz w:val="24"/>
          <w:szCs w:val="24"/>
        </w:rPr>
        <w:t xml:space="preserve"> restructuring, which optimizes the firm's leverage ratios (reducing its D/E), will lower </w:t>
      </w:r>
      <w:r w:rsidRPr="00805753">
        <w:rPr>
          <w:rFonts w:ascii="Arial" w:hAnsi="Arial" w:cs="Arial"/>
          <w:sz w:val="24"/>
          <w:szCs w:val="24"/>
        </w:rPr>
        <w:lastRenderedPageBreak/>
        <w:t>the firm's WACC. As the value of the firm is equal to the PV of its future cash flows, discounted by its WACC, a lowering of WACC must lead to a rise in value to the shareholders.</w:t>
      </w:r>
    </w:p>
    <w:p w14:paraId="79EEF0EA" w14:textId="77777777" w:rsidR="00805753" w:rsidRPr="00805753" w:rsidRDefault="00805753" w:rsidP="00DA3C00">
      <w:pPr>
        <w:spacing w:line="360" w:lineRule="auto"/>
        <w:jc w:val="both"/>
        <w:rPr>
          <w:rFonts w:ascii="Arial" w:hAnsi="Arial" w:cs="Arial"/>
          <w:b/>
          <w:bCs/>
          <w:sz w:val="24"/>
          <w:szCs w:val="24"/>
        </w:rPr>
      </w:pPr>
      <w:r w:rsidRPr="00805753">
        <w:rPr>
          <w:rFonts w:ascii="Arial" w:hAnsi="Arial" w:cs="Arial"/>
          <w:b/>
          <w:bCs/>
          <w:sz w:val="24"/>
          <w:szCs w:val="24"/>
        </w:rPr>
        <w:t>Value to the debt structure</w:t>
      </w:r>
    </w:p>
    <w:p w14:paraId="5E9D2E7A" w14:textId="77777777" w:rsidR="00805753" w:rsidRPr="00805753" w:rsidRDefault="00805753" w:rsidP="00DA3C00">
      <w:pPr>
        <w:spacing w:line="360" w:lineRule="auto"/>
        <w:jc w:val="both"/>
        <w:rPr>
          <w:rFonts w:ascii="Arial" w:hAnsi="Arial" w:cs="Arial"/>
          <w:sz w:val="24"/>
          <w:szCs w:val="24"/>
        </w:rPr>
      </w:pPr>
      <w:r w:rsidRPr="00805753">
        <w:rPr>
          <w:rFonts w:ascii="Arial" w:hAnsi="Arial" w:cs="Arial"/>
          <w:sz w:val="24"/>
          <w:szCs w:val="24"/>
        </w:rPr>
        <w:t>Restructuring recalibrates the firms balance sheet by often paying down principle with the funds gained from a divestiture or converting debt into equity. This will lead to dramatic reductions in the firm's leverage ratios (e.g. D/EBITDA) as well as its Interest coverage ratios. Immediately upon restructuring a healthier balance sheet achieves two objectives, virtually eliminating any risk of a technical breach of its financial covenants, and usually providing an upgrade from its credit rating by agencies such as Moody's and S&amp;P. Improved credit will consequently lower the cost of borrowing, thereby perpetuating the firms new, stronger financial state.</w:t>
      </w:r>
    </w:p>
    <w:p w14:paraId="3CFB157A" w14:textId="77777777" w:rsidR="00805753" w:rsidRPr="00805753" w:rsidRDefault="00805753" w:rsidP="00DA3C00">
      <w:pPr>
        <w:spacing w:line="360" w:lineRule="auto"/>
        <w:jc w:val="both"/>
        <w:rPr>
          <w:rFonts w:ascii="Arial" w:hAnsi="Arial" w:cs="Arial"/>
          <w:b/>
          <w:bCs/>
          <w:sz w:val="24"/>
          <w:szCs w:val="24"/>
        </w:rPr>
      </w:pPr>
      <w:r w:rsidRPr="00805753">
        <w:rPr>
          <w:rFonts w:ascii="Arial" w:hAnsi="Arial" w:cs="Arial"/>
          <w:b/>
          <w:bCs/>
          <w:sz w:val="24"/>
          <w:szCs w:val="24"/>
        </w:rPr>
        <w:t>Value to the operational flexibility</w:t>
      </w:r>
    </w:p>
    <w:p w14:paraId="39D89E6B" w14:textId="0773C8DC" w:rsidR="00805753" w:rsidRDefault="00805753" w:rsidP="00DA3C00">
      <w:pPr>
        <w:spacing w:line="360" w:lineRule="auto"/>
        <w:jc w:val="both"/>
        <w:rPr>
          <w:rFonts w:ascii="Arial" w:hAnsi="Arial" w:cs="Arial"/>
          <w:sz w:val="24"/>
          <w:szCs w:val="24"/>
        </w:rPr>
      </w:pPr>
      <w:r w:rsidRPr="00805753">
        <w:rPr>
          <w:rFonts w:ascii="Arial" w:hAnsi="Arial" w:cs="Arial"/>
          <w:sz w:val="24"/>
          <w:szCs w:val="24"/>
        </w:rPr>
        <w:t>The ultimate operational gain derived from a financial restructuring can be considered to be the regained operational flexibility of the firm's managers. An overburdened debt structure can have a binding affect, as cash that could be directed toward R&amp;D, marketing or technological improvements, is rather directed toward creditors. By ridding the firm of its financial strain, management is now free to develop its operations and can react strategically to market disruptions, maintain stability through macroeconomic downdrafts without panics such as lay-offs, and make opportunistic investment.</w:t>
      </w:r>
    </w:p>
    <w:p w14:paraId="6AF1582B" w14:textId="77777777" w:rsidR="00DA3C00" w:rsidRPr="00DA3C00" w:rsidRDefault="00DA3C00" w:rsidP="00DA3C00">
      <w:pPr>
        <w:spacing w:line="360" w:lineRule="auto"/>
        <w:jc w:val="both"/>
        <w:rPr>
          <w:rFonts w:ascii="Arial" w:hAnsi="Arial" w:cs="Arial"/>
          <w:b/>
          <w:bCs/>
          <w:sz w:val="24"/>
          <w:szCs w:val="24"/>
        </w:rPr>
      </w:pPr>
      <w:r w:rsidRPr="00DA3C00">
        <w:rPr>
          <w:rFonts w:ascii="Arial" w:hAnsi="Arial" w:cs="Arial"/>
          <w:b/>
          <w:bCs/>
          <w:sz w:val="24"/>
          <w:szCs w:val="24"/>
        </w:rPr>
        <w:t>International Dimensions</w:t>
      </w:r>
    </w:p>
    <w:p w14:paraId="47D04B2D" w14:textId="77777777" w:rsidR="00DA3C00" w:rsidRPr="00DA3C00" w:rsidRDefault="00DA3C00" w:rsidP="00DA3C00">
      <w:pPr>
        <w:spacing w:line="360" w:lineRule="auto"/>
        <w:jc w:val="both"/>
        <w:rPr>
          <w:rFonts w:ascii="Arial" w:hAnsi="Arial" w:cs="Arial"/>
          <w:sz w:val="24"/>
          <w:szCs w:val="24"/>
        </w:rPr>
      </w:pPr>
      <w:r w:rsidRPr="00DA3C00">
        <w:rPr>
          <w:rFonts w:ascii="Arial" w:hAnsi="Arial" w:cs="Arial"/>
          <w:sz w:val="24"/>
          <w:szCs w:val="24"/>
        </w:rPr>
        <w:t>In an increasingly integrated global economy, the restructuring exercise cannot be conducted in a vacuum. When operations extend across borders, a number of macroeconomic and regulatory factors are also introduced to the mix.</w:t>
      </w:r>
    </w:p>
    <w:p w14:paraId="7B8BFD00" w14:textId="77777777" w:rsidR="00DA3C00" w:rsidRPr="00DA3C00" w:rsidRDefault="00DA3C00" w:rsidP="00DA3C00">
      <w:pPr>
        <w:pStyle w:val="ListParagraph"/>
        <w:numPr>
          <w:ilvl w:val="0"/>
          <w:numId w:val="29"/>
        </w:numPr>
        <w:spacing w:line="360" w:lineRule="auto"/>
        <w:jc w:val="both"/>
        <w:rPr>
          <w:rFonts w:ascii="Arial" w:hAnsi="Arial" w:cs="Arial"/>
          <w:sz w:val="24"/>
          <w:szCs w:val="24"/>
        </w:rPr>
      </w:pPr>
      <w:r w:rsidRPr="00DA3C00">
        <w:rPr>
          <w:rFonts w:ascii="Arial" w:hAnsi="Arial" w:cs="Arial"/>
          <w:b/>
          <w:bCs/>
          <w:sz w:val="24"/>
          <w:szCs w:val="24"/>
        </w:rPr>
        <w:t>Taxes and regulations:</w:t>
      </w:r>
      <w:r w:rsidRPr="00DA3C00">
        <w:rPr>
          <w:rFonts w:ascii="Arial" w:hAnsi="Arial" w:cs="Arial"/>
          <w:sz w:val="24"/>
          <w:szCs w:val="24"/>
        </w:rPr>
        <w:t xml:space="preserve"> Tax implications on a cross-border restructuring can be overwhelming. Management has to cope with BEPS rules, withhold taxes on capital repatriations, and varying corporate tax rates. For example, spinning off a subsidiary in a high-tax location into an entity based in a low-tax environment must follow the rules for transfer pricing very carefully to avoid </w:t>
      </w:r>
      <w:r w:rsidRPr="00DA3C00">
        <w:rPr>
          <w:rFonts w:ascii="Arial" w:hAnsi="Arial" w:cs="Arial"/>
          <w:sz w:val="24"/>
          <w:szCs w:val="24"/>
        </w:rPr>
        <w:lastRenderedPageBreak/>
        <w:t>regulatory sanctions. In the context of cross-border M&amp;A, there are multiple antitrust authorities around the world to satisfy.</w:t>
      </w:r>
    </w:p>
    <w:p w14:paraId="7D7891E2" w14:textId="7B708ADA" w:rsidR="00DA3C00" w:rsidRDefault="00DA3C00" w:rsidP="00DA3C00">
      <w:pPr>
        <w:pStyle w:val="ListParagraph"/>
        <w:numPr>
          <w:ilvl w:val="0"/>
          <w:numId w:val="29"/>
        </w:numPr>
        <w:spacing w:line="360" w:lineRule="auto"/>
        <w:jc w:val="both"/>
        <w:rPr>
          <w:rFonts w:ascii="Arial" w:hAnsi="Arial" w:cs="Arial"/>
          <w:sz w:val="24"/>
          <w:szCs w:val="24"/>
        </w:rPr>
      </w:pPr>
      <w:r w:rsidRPr="00DA3C00">
        <w:rPr>
          <w:rFonts w:ascii="Arial" w:hAnsi="Arial" w:cs="Arial"/>
          <w:b/>
          <w:bCs/>
          <w:sz w:val="24"/>
          <w:szCs w:val="24"/>
        </w:rPr>
        <w:t>Currency risk (foreign exchange exposure):</w:t>
      </w:r>
      <w:r w:rsidRPr="00DA3C00">
        <w:rPr>
          <w:rFonts w:ascii="Arial" w:hAnsi="Arial" w:cs="Arial"/>
          <w:sz w:val="24"/>
          <w:szCs w:val="24"/>
        </w:rPr>
        <w:t xml:space="preserve"> The business often borrows in one currency to service its debt or fund its operations in another. It thus incurs significant transaction exposure and translation exposure. A business borrowing in US dollars to be repaid over a long period but generating most of its revenue in, say, emerging market currencies, can see its debt servicing costs double effectively in real terms as the US dollar strengthens. Robust strategies to hedge against such risks using futures and swaps are imperative.</w:t>
      </w:r>
    </w:p>
    <w:p w14:paraId="2B0330A4" w14:textId="77777777" w:rsidR="00DA3C00" w:rsidRDefault="00DA3C00" w:rsidP="00DA3C00">
      <w:pPr>
        <w:spacing w:line="360" w:lineRule="auto"/>
        <w:jc w:val="both"/>
        <w:rPr>
          <w:rFonts w:ascii="Arial" w:hAnsi="Arial" w:cs="Arial"/>
          <w:sz w:val="24"/>
          <w:szCs w:val="24"/>
        </w:rPr>
      </w:pPr>
    </w:p>
    <w:p w14:paraId="5B431B2E" w14:textId="387691BF" w:rsidR="00DA3C00" w:rsidRDefault="00DA3C00" w:rsidP="00DA3C00">
      <w:pPr>
        <w:spacing w:line="360" w:lineRule="auto"/>
        <w:jc w:val="both"/>
        <w:rPr>
          <w:rFonts w:ascii="Arial" w:hAnsi="Arial" w:cs="Arial"/>
          <w:b/>
          <w:bCs/>
          <w:sz w:val="28"/>
          <w:szCs w:val="28"/>
        </w:rPr>
      </w:pPr>
      <w:r w:rsidRPr="00DA3C00">
        <w:rPr>
          <w:rFonts w:ascii="Arial" w:hAnsi="Arial" w:cs="Arial"/>
          <w:b/>
          <w:bCs/>
          <w:sz w:val="28"/>
          <w:szCs w:val="28"/>
        </w:rPr>
        <w:t>Investment Appraisal and Capital Budgeting</w:t>
      </w:r>
    </w:p>
    <w:p w14:paraId="66F67AA6" w14:textId="77777777" w:rsidR="00006D7F" w:rsidRPr="00006D7F" w:rsidRDefault="00006D7F" w:rsidP="00006D7F">
      <w:pPr>
        <w:spacing w:line="360" w:lineRule="auto"/>
        <w:jc w:val="both"/>
        <w:rPr>
          <w:rFonts w:ascii="Arial" w:hAnsi="Arial" w:cs="Arial"/>
          <w:sz w:val="24"/>
          <w:szCs w:val="24"/>
        </w:rPr>
      </w:pPr>
      <w:r w:rsidRPr="00006D7F">
        <w:rPr>
          <w:rFonts w:ascii="Arial" w:hAnsi="Arial" w:cs="Arial"/>
          <w:sz w:val="24"/>
          <w:szCs w:val="24"/>
        </w:rPr>
        <w:t>Capital budgeting is the foundation upon which corporate finance is built, describing the process through which a firm chooses to commit its constrained resources with the objective of increasing long term shareholder value. Given that hyper-growth, capital intensive businesses such as Tesla-which regularly invests billions of dollars in building new Gigafactories, advancing autonomous driving AI, and developing new battery designs-require extensive project evaluation methods:</w:t>
      </w:r>
    </w:p>
    <w:p w14:paraId="18CC2339" w14:textId="77777777" w:rsidR="00006D7F" w:rsidRPr="00006D7F" w:rsidRDefault="00006D7F" w:rsidP="00006D7F">
      <w:pPr>
        <w:spacing w:line="360" w:lineRule="auto"/>
        <w:jc w:val="both"/>
        <w:rPr>
          <w:rFonts w:ascii="Arial" w:hAnsi="Arial" w:cs="Arial"/>
          <w:sz w:val="24"/>
          <w:szCs w:val="24"/>
        </w:rPr>
      </w:pPr>
    </w:p>
    <w:p w14:paraId="74BBCE9B" w14:textId="6A701147" w:rsidR="00DA3C00" w:rsidRDefault="00006D7F" w:rsidP="00006D7F">
      <w:pPr>
        <w:spacing w:line="360" w:lineRule="auto"/>
        <w:jc w:val="both"/>
        <w:rPr>
          <w:rFonts w:ascii="Arial" w:hAnsi="Arial" w:cs="Arial"/>
          <w:sz w:val="24"/>
          <w:szCs w:val="24"/>
        </w:rPr>
      </w:pPr>
      <w:r w:rsidRPr="00006D7F">
        <w:rPr>
          <w:rFonts w:ascii="Arial" w:hAnsi="Arial" w:cs="Arial"/>
          <w:sz w:val="24"/>
          <w:szCs w:val="24"/>
        </w:rPr>
        <w:t xml:space="preserve">In the below study three mutually exclusive $50 million projects were </w:t>
      </w:r>
      <w:proofErr w:type="spellStart"/>
      <w:r w:rsidRPr="00006D7F">
        <w:rPr>
          <w:rFonts w:ascii="Arial" w:hAnsi="Arial" w:cs="Arial"/>
          <w:sz w:val="24"/>
          <w:szCs w:val="24"/>
        </w:rPr>
        <w:t>analyzed</w:t>
      </w:r>
      <w:proofErr w:type="spellEnd"/>
      <w:r w:rsidRPr="00006D7F">
        <w:rPr>
          <w:rFonts w:ascii="Arial" w:hAnsi="Arial" w:cs="Arial"/>
          <w:sz w:val="24"/>
          <w:szCs w:val="24"/>
        </w:rPr>
        <w:t xml:space="preserve"> through five appraisal techniques, namely Payback period, ARR, NPV, PI and IRR.</w:t>
      </w:r>
    </w:p>
    <w:p w14:paraId="475A9AA2" w14:textId="77777777" w:rsidR="00006D7F" w:rsidRPr="00006D7F" w:rsidRDefault="00006D7F" w:rsidP="00006D7F">
      <w:pPr>
        <w:spacing w:line="360" w:lineRule="auto"/>
        <w:jc w:val="both"/>
        <w:rPr>
          <w:rFonts w:ascii="Arial" w:hAnsi="Arial" w:cs="Arial"/>
          <w:b/>
          <w:bCs/>
          <w:sz w:val="24"/>
          <w:szCs w:val="24"/>
        </w:rPr>
      </w:pPr>
      <w:r w:rsidRPr="00006D7F">
        <w:rPr>
          <w:rFonts w:ascii="Arial" w:hAnsi="Arial" w:cs="Arial"/>
          <w:b/>
          <w:bCs/>
          <w:sz w:val="24"/>
          <w:szCs w:val="24"/>
        </w:rPr>
        <w:t>1. Quantitative analysis of project alternatives</w:t>
      </w:r>
    </w:p>
    <w:p w14:paraId="71F5DEC6" w14:textId="79EB20EC" w:rsidR="00006D7F" w:rsidRDefault="00006D7F" w:rsidP="00006D7F">
      <w:pPr>
        <w:spacing w:line="360" w:lineRule="auto"/>
        <w:jc w:val="both"/>
        <w:rPr>
          <w:rFonts w:ascii="Arial" w:hAnsi="Arial" w:cs="Arial"/>
          <w:sz w:val="24"/>
          <w:szCs w:val="24"/>
        </w:rPr>
      </w:pPr>
      <w:r w:rsidRPr="00006D7F">
        <w:rPr>
          <w:rFonts w:ascii="Arial" w:hAnsi="Arial" w:cs="Arial"/>
          <w:sz w:val="24"/>
          <w:szCs w:val="24"/>
        </w:rPr>
        <w:t>We can evaluate these alternatives by deriving the below metrics using the base figures provided. Base is derived as 50m initial investment, 5 year project life, 10% discount rate and straight line depreciation to zero (equivalent to depreciation of 10m per year).</w:t>
      </w:r>
    </w:p>
    <w:p w14:paraId="1A353E76" w14:textId="77777777" w:rsidR="00006D7F" w:rsidRPr="00006D7F" w:rsidRDefault="00006D7F" w:rsidP="00006D7F">
      <w:pPr>
        <w:spacing w:line="360" w:lineRule="auto"/>
        <w:jc w:val="both"/>
        <w:rPr>
          <w:rFonts w:ascii="Arial" w:hAnsi="Arial" w:cs="Arial"/>
          <w:b/>
          <w:bCs/>
          <w:sz w:val="24"/>
          <w:szCs w:val="24"/>
        </w:rPr>
      </w:pPr>
      <w:r w:rsidRPr="00006D7F">
        <w:rPr>
          <w:rFonts w:ascii="Arial" w:hAnsi="Arial" w:cs="Arial"/>
          <w:b/>
          <w:bCs/>
          <w:sz w:val="24"/>
          <w:szCs w:val="24"/>
        </w:rPr>
        <w:t>Project A Appraisal Cash flows</w:t>
      </w:r>
    </w:p>
    <w:p w14:paraId="1E45D27E" w14:textId="76BE598C" w:rsidR="00006D7F" w:rsidRPr="00006D7F" w:rsidRDefault="00006D7F" w:rsidP="00006D7F">
      <w:pPr>
        <w:pStyle w:val="ListParagraph"/>
        <w:numPr>
          <w:ilvl w:val="0"/>
          <w:numId w:val="30"/>
        </w:numPr>
        <w:spacing w:line="360" w:lineRule="auto"/>
        <w:jc w:val="both"/>
        <w:rPr>
          <w:rFonts w:ascii="Arial" w:hAnsi="Arial" w:cs="Arial"/>
          <w:sz w:val="24"/>
          <w:szCs w:val="24"/>
        </w:rPr>
      </w:pPr>
      <w:r w:rsidRPr="00006D7F">
        <w:rPr>
          <w:rFonts w:ascii="Arial" w:hAnsi="Arial" w:cs="Arial"/>
          <w:sz w:val="24"/>
          <w:szCs w:val="24"/>
        </w:rPr>
        <w:t xml:space="preserve">(Y1-5) = 10m, 12m, 14m, 10m, 8m (Total=54m) </w:t>
      </w:r>
    </w:p>
    <w:p w14:paraId="1F9C5699" w14:textId="77777777" w:rsidR="00006D7F" w:rsidRPr="00006D7F" w:rsidRDefault="00006D7F" w:rsidP="00006D7F">
      <w:pPr>
        <w:pStyle w:val="ListParagraph"/>
        <w:numPr>
          <w:ilvl w:val="0"/>
          <w:numId w:val="30"/>
        </w:numPr>
        <w:spacing w:line="360" w:lineRule="auto"/>
        <w:jc w:val="both"/>
        <w:rPr>
          <w:rFonts w:ascii="Arial" w:hAnsi="Arial" w:cs="Arial"/>
          <w:sz w:val="24"/>
          <w:szCs w:val="24"/>
        </w:rPr>
      </w:pPr>
      <w:r w:rsidRPr="00006D7F">
        <w:rPr>
          <w:rFonts w:ascii="Arial" w:hAnsi="Arial" w:cs="Arial"/>
          <w:sz w:val="24"/>
          <w:szCs w:val="24"/>
        </w:rPr>
        <w:t xml:space="preserve">Average annual profit=Total cash flow(54m) minus depreciation(50m)=4m total profit=0.8m p.a. </w:t>
      </w:r>
    </w:p>
    <w:p w14:paraId="28E7999E" w14:textId="57FCFDAA" w:rsidR="00006D7F" w:rsidRPr="00006D7F" w:rsidRDefault="00006D7F" w:rsidP="00006D7F">
      <w:pPr>
        <w:pStyle w:val="ListParagraph"/>
        <w:numPr>
          <w:ilvl w:val="0"/>
          <w:numId w:val="30"/>
        </w:numPr>
        <w:spacing w:line="360" w:lineRule="auto"/>
        <w:jc w:val="both"/>
        <w:rPr>
          <w:rFonts w:ascii="Arial" w:hAnsi="Arial" w:cs="Arial"/>
          <w:sz w:val="24"/>
          <w:szCs w:val="24"/>
        </w:rPr>
      </w:pPr>
      <w:r w:rsidRPr="00006D7F">
        <w:rPr>
          <w:rFonts w:ascii="Arial" w:hAnsi="Arial" w:cs="Arial"/>
          <w:sz w:val="24"/>
          <w:szCs w:val="24"/>
        </w:rPr>
        <w:t xml:space="preserve">PBP=Reaches 46m by Y4, need 4m of Y5 8m. PBP=4.5 years. </w:t>
      </w:r>
    </w:p>
    <w:p w14:paraId="2CD59E10" w14:textId="77777777" w:rsidR="00006D7F" w:rsidRPr="00006D7F" w:rsidRDefault="00006D7F" w:rsidP="00006D7F">
      <w:pPr>
        <w:pStyle w:val="ListParagraph"/>
        <w:numPr>
          <w:ilvl w:val="0"/>
          <w:numId w:val="30"/>
        </w:numPr>
        <w:spacing w:line="360" w:lineRule="auto"/>
        <w:jc w:val="both"/>
        <w:rPr>
          <w:rFonts w:ascii="Arial" w:hAnsi="Arial" w:cs="Arial"/>
          <w:sz w:val="24"/>
          <w:szCs w:val="24"/>
        </w:rPr>
      </w:pPr>
      <w:r w:rsidRPr="00006D7F">
        <w:rPr>
          <w:rFonts w:ascii="Arial" w:hAnsi="Arial" w:cs="Arial"/>
          <w:sz w:val="24"/>
          <w:szCs w:val="24"/>
        </w:rPr>
        <w:lastRenderedPageBreak/>
        <w:t xml:space="preserve">ARR = ($0.8 / 25)100=3.2% </w:t>
      </w:r>
    </w:p>
    <w:p w14:paraId="7EE743A5" w14:textId="77777777" w:rsidR="00006D7F" w:rsidRPr="00006D7F" w:rsidRDefault="00006D7F" w:rsidP="00006D7F">
      <w:pPr>
        <w:pStyle w:val="ListParagraph"/>
        <w:numPr>
          <w:ilvl w:val="0"/>
          <w:numId w:val="30"/>
        </w:numPr>
        <w:spacing w:line="360" w:lineRule="auto"/>
        <w:jc w:val="both"/>
        <w:rPr>
          <w:rFonts w:ascii="Arial" w:hAnsi="Arial" w:cs="Arial"/>
          <w:sz w:val="24"/>
          <w:szCs w:val="24"/>
        </w:rPr>
      </w:pPr>
      <w:r w:rsidRPr="00006D7F">
        <w:rPr>
          <w:rFonts w:ascii="Arial" w:hAnsi="Arial" w:cs="Arial"/>
          <w:sz w:val="24"/>
          <w:szCs w:val="24"/>
        </w:rPr>
        <w:t xml:space="preserve">NPV. Discount cash flows by 10% $NPV = \frac{10}{1.10^1} + \frac{12}{1.10^2} + \frac{14}{1.10^3} + \frac{10}{1.10^4} + \frac{8}{1.10^5} - 50 NPV=9.09 + 9.92 + 10.52 + 6.83 + 4.97-50 = $-8.67m </w:t>
      </w:r>
    </w:p>
    <w:p w14:paraId="6FEEB8DB" w14:textId="77777777" w:rsidR="00006D7F" w:rsidRPr="00006D7F" w:rsidRDefault="00006D7F" w:rsidP="00006D7F">
      <w:pPr>
        <w:pStyle w:val="ListParagraph"/>
        <w:numPr>
          <w:ilvl w:val="0"/>
          <w:numId w:val="30"/>
        </w:numPr>
        <w:spacing w:line="360" w:lineRule="auto"/>
        <w:jc w:val="both"/>
        <w:rPr>
          <w:rFonts w:ascii="Arial" w:hAnsi="Arial" w:cs="Arial"/>
          <w:sz w:val="24"/>
          <w:szCs w:val="24"/>
        </w:rPr>
      </w:pPr>
      <w:r w:rsidRPr="00006D7F">
        <w:rPr>
          <w:rFonts w:ascii="Arial" w:hAnsi="Arial" w:cs="Arial"/>
          <w:sz w:val="24"/>
          <w:szCs w:val="24"/>
        </w:rPr>
        <w:t xml:space="preserve">PI=$41.33 / 50=0.83 IRR. Discount rate that produces NPV zero. </w:t>
      </w:r>
    </w:p>
    <w:p w14:paraId="2ED0DE63" w14:textId="77777777" w:rsidR="00006D7F" w:rsidRPr="00006D7F" w:rsidRDefault="00006D7F" w:rsidP="00006D7F">
      <w:pPr>
        <w:pStyle w:val="ListParagraph"/>
        <w:numPr>
          <w:ilvl w:val="0"/>
          <w:numId w:val="30"/>
        </w:numPr>
        <w:spacing w:line="360" w:lineRule="auto"/>
        <w:jc w:val="both"/>
        <w:rPr>
          <w:rFonts w:ascii="Arial" w:hAnsi="Arial" w:cs="Arial"/>
          <w:sz w:val="24"/>
          <w:szCs w:val="24"/>
        </w:rPr>
      </w:pPr>
      <w:r w:rsidRPr="00006D7F">
        <w:rPr>
          <w:rFonts w:ascii="Arial" w:hAnsi="Arial" w:cs="Arial"/>
          <w:sz w:val="24"/>
          <w:szCs w:val="24"/>
        </w:rPr>
        <w:t xml:space="preserve">IRR=2.8% </w:t>
      </w:r>
    </w:p>
    <w:p w14:paraId="244FDD18" w14:textId="77777777" w:rsidR="00006D7F" w:rsidRPr="00006D7F" w:rsidRDefault="00006D7F" w:rsidP="00006D7F">
      <w:pPr>
        <w:spacing w:line="360" w:lineRule="auto"/>
        <w:jc w:val="both"/>
        <w:rPr>
          <w:rFonts w:ascii="Arial" w:hAnsi="Arial" w:cs="Arial"/>
          <w:b/>
          <w:bCs/>
          <w:sz w:val="24"/>
          <w:szCs w:val="24"/>
        </w:rPr>
      </w:pPr>
      <w:r w:rsidRPr="00006D7F">
        <w:rPr>
          <w:rFonts w:ascii="Arial" w:hAnsi="Arial" w:cs="Arial"/>
          <w:b/>
          <w:bCs/>
          <w:sz w:val="24"/>
          <w:szCs w:val="24"/>
        </w:rPr>
        <w:t xml:space="preserve">Project B Appraisal Cash flows </w:t>
      </w:r>
    </w:p>
    <w:p w14:paraId="383C444B" w14:textId="77777777" w:rsidR="00006D7F" w:rsidRPr="00006D7F" w:rsidRDefault="00006D7F" w:rsidP="00006D7F">
      <w:pPr>
        <w:pStyle w:val="ListParagraph"/>
        <w:numPr>
          <w:ilvl w:val="0"/>
          <w:numId w:val="31"/>
        </w:numPr>
        <w:spacing w:line="360" w:lineRule="auto"/>
        <w:jc w:val="both"/>
        <w:rPr>
          <w:rFonts w:ascii="Arial" w:hAnsi="Arial" w:cs="Arial"/>
          <w:sz w:val="24"/>
          <w:szCs w:val="24"/>
        </w:rPr>
      </w:pPr>
      <w:r w:rsidRPr="00006D7F">
        <w:rPr>
          <w:rFonts w:ascii="Arial" w:hAnsi="Arial" w:cs="Arial"/>
          <w:sz w:val="24"/>
          <w:szCs w:val="24"/>
        </w:rPr>
        <w:t xml:space="preserve">(Y1-5)=11m (annuity) (Total=55m) </w:t>
      </w:r>
    </w:p>
    <w:p w14:paraId="07CE1B94" w14:textId="77777777" w:rsidR="00006D7F" w:rsidRPr="00006D7F" w:rsidRDefault="00006D7F" w:rsidP="00006D7F">
      <w:pPr>
        <w:pStyle w:val="ListParagraph"/>
        <w:numPr>
          <w:ilvl w:val="0"/>
          <w:numId w:val="31"/>
        </w:numPr>
        <w:spacing w:line="360" w:lineRule="auto"/>
        <w:jc w:val="both"/>
        <w:rPr>
          <w:rFonts w:ascii="Arial" w:hAnsi="Arial" w:cs="Arial"/>
          <w:sz w:val="24"/>
          <w:szCs w:val="24"/>
        </w:rPr>
      </w:pPr>
      <w:r w:rsidRPr="00006D7F">
        <w:rPr>
          <w:rFonts w:ascii="Arial" w:hAnsi="Arial" w:cs="Arial"/>
          <w:sz w:val="24"/>
          <w:szCs w:val="24"/>
        </w:rPr>
        <w:t xml:space="preserve">Average annual profit = Cash flows(55m) minus depreciation (50m)=5m total profit=1.0m p.a. </w:t>
      </w:r>
    </w:p>
    <w:p w14:paraId="16906DAD" w14:textId="77777777" w:rsidR="00006D7F" w:rsidRPr="00006D7F" w:rsidRDefault="00006D7F" w:rsidP="00006D7F">
      <w:pPr>
        <w:pStyle w:val="ListParagraph"/>
        <w:numPr>
          <w:ilvl w:val="0"/>
          <w:numId w:val="31"/>
        </w:numPr>
        <w:spacing w:line="360" w:lineRule="auto"/>
        <w:jc w:val="both"/>
        <w:rPr>
          <w:rFonts w:ascii="Arial" w:hAnsi="Arial" w:cs="Arial"/>
          <w:sz w:val="24"/>
          <w:szCs w:val="24"/>
        </w:rPr>
      </w:pPr>
      <w:r w:rsidRPr="00006D7F">
        <w:rPr>
          <w:rFonts w:ascii="Arial" w:hAnsi="Arial" w:cs="Arial"/>
          <w:sz w:val="24"/>
          <w:szCs w:val="24"/>
        </w:rPr>
        <w:t xml:space="preserve">PBP = $50 / 11 = 4.55 years. </w:t>
      </w:r>
    </w:p>
    <w:p w14:paraId="62690CAA" w14:textId="77777777" w:rsidR="00006D7F" w:rsidRPr="00006D7F" w:rsidRDefault="00006D7F" w:rsidP="00006D7F">
      <w:pPr>
        <w:pStyle w:val="ListParagraph"/>
        <w:numPr>
          <w:ilvl w:val="0"/>
          <w:numId w:val="31"/>
        </w:numPr>
        <w:spacing w:line="360" w:lineRule="auto"/>
        <w:jc w:val="both"/>
        <w:rPr>
          <w:rFonts w:ascii="Arial" w:hAnsi="Arial" w:cs="Arial"/>
          <w:sz w:val="24"/>
          <w:szCs w:val="24"/>
        </w:rPr>
      </w:pPr>
      <w:r w:rsidRPr="00006D7F">
        <w:rPr>
          <w:rFonts w:ascii="Arial" w:hAnsi="Arial" w:cs="Arial"/>
          <w:sz w:val="24"/>
          <w:szCs w:val="24"/>
        </w:rPr>
        <w:t xml:space="preserve">ARR = ($1.0 / 25)100=4.0% </w:t>
      </w:r>
    </w:p>
    <w:p w14:paraId="6E8A5452" w14:textId="77777777" w:rsidR="00006D7F" w:rsidRPr="00006D7F" w:rsidRDefault="00006D7F" w:rsidP="00006D7F">
      <w:pPr>
        <w:pStyle w:val="ListParagraph"/>
        <w:numPr>
          <w:ilvl w:val="0"/>
          <w:numId w:val="31"/>
        </w:numPr>
        <w:spacing w:line="360" w:lineRule="auto"/>
        <w:jc w:val="both"/>
        <w:rPr>
          <w:rFonts w:ascii="Arial" w:hAnsi="Arial" w:cs="Arial"/>
          <w:sz w:val="24"/>
          <w:szCs w:val="24"/>
        </w:rPr>
      </w:pPr>
      <w:r w:rsidRPr="00006D7F">
        <w:rPr>
          <w:rFonts w:ascii="Arial" w:hAnsi="Arial" w:cs="Arial"/>
          <w:sz w:val="24"/>
          <w:szCs w:val="24"/>
        </w:rPr>
        <w:t xml:space="preserve">NPV= Discount an annuity of 11m at 10% for 5 years. </w:t>
      </w:r>
    </w:p>
    <w:p w14:paraId="492EEE29" w14:textId="77777777" w:rsidR="00006D7F" w:rsidRPr="00006D7F" w:rsidRDefault="00006D7F" w:rsidP="00006D7F">
      <w:pPr>
        <w:pStyle w:val="ListParagraph"/>
        <w:numPr>
          <w:ilvl w:val="0"/>
          <w:numId w:val="31"/>
        </w:numPr>
        <w:spacing w:line="360" w:lineRule="auto"/>
        <w:jc w:val="both"/>
        <w:rPr>
          <w:rFonts w:ascii="Arial" w:hAnsi="Arial" w:cs="Arial"/>
          <w:sz w:val="24"/>
          <w:szCs w:val="24"/>
        </w:rPr>
      </w:pPr>
      <w:r w:rsidRPr="00006D7F">
        <w:rPr>
          <w:rFonts w:ascii="Arial" w:hAnsi="Arial" w:cs="Arial"/>
          <w:sz w:val="24"/>
          <w:szCs w:val="24"/>
        </w:rPr>
        <w:t xml:space="preserve">$NPV = 11 \times \left[ \frac{1 - (1+0.10)^{-5}}{0.10} \right] - 50 NPV = 11 \times 3.791 - 50 = 41.70-50 = $-8.30m </w:t>
      </w:r>
    </w:p>
    <w:p w14:paraId="70B6BD71" w14:textId="77777777" w:rsidR="00006D7F" w:rsidRPr="00006D7F" w:rsidRDefault="00006D7F" w:rsidP="00006D7F">
      <w:pPr>
        <w:pStyle w:val="ListParagraph"/>
        <w:numPr>
          <w:ilvl w:val="0"/>
          <w:numId w:val="31"/>
        </w:numPr>
        <w:spacing w:line="360" w:lineRule="auto"/>
        <w:jc w:val="both"/>
        <w:rPr>
          <w:rFonts w:ascii="Arial" w:hAnsi="Arial" w:cs="Arial"/>
          <w:sz w:val="24"/>
          <w:szCs w:val="24"/>
        </w:rPr>
      </w:pPr>
      <w:r w:rsidRPr="00006D7F">
        <w:rPr>
          <w:rFonts w:ascii="Arial" w:hAnsi="Arial" w:cs="Arial"/>
          <w:sz w:val="24"/>
          <w:szCs w:val="24"/>
        </w:rPr>
        <w:t xml:space="preserve">PI= $41.70 / 50=0.83 IRR. </w:t>
      </w:r>
    </w:p>
    <w:p w14:paraId="4E045A5E" w14:textId="77777777" w:rsidR="00006D7F" w:rsidRPr="00006D7F" w:rsidRDefault="00006D7F" w:rsidP="00006D7F">
      <w:pPr>
        <w:pStyle w:val="ListParagraph"/>
        <w:numPr>
          <w:ilvl w:val="0"/>
          <w:numId w:val="31"/>
        </w:numPr>
        <w:spacing w:line="360" w:lineRule="auto"/>
        <w:jc w:val="both"/>
        <w:rPr>
          <w:rFonts w:ascii="Arial" w:hAnsi="Arial" w:cs="Arial"/>
          <w:sz w:val="24"/>
          <w:szCs w:val="24"/>
        </w:rPr>
      </w:pPr>
      <w:r w:rsidRPr="00006D7F">
        <w:rPr>
          <w:rFonts w:ascii="Arial" w:hAnsi="Arial" w:cs="Arial"/>
          <w:sz w:val="24"/>
          <w:szCs w:val="24"/>
        </w:rPr>
        <w:t xml:space="preserve">IRR=3.2% </w:t>
      </w:r>
    </w:p>
    <w:p w14:paraId="13BC3CC8" w14:textId="77777777" w:rsidR="00006D7F" w:rsidRPr="00006D7F" w:rsidRDefault="00006D7F" w:rsidP="00006D7F">
      <w:pPr>
        <w:spacing w:line="360" w:lineRule="auto"/>
        <w:jc w:val="both"/>
        <w:rPr>
          <w:rFonts w:ascii="Arial" w:hAnsi="Arial" w:cs="Arial"/>
          <w:sz w:val="24"/>
          <w:szCs w:val="24"/>
        </w:rPr>
      </w:pPr>
      <w:r w:rsidRPr="00006D7F">
        <w:rPr>
          <w:rFonts w:ascii="Arial" w:hAnsi="Arial" w:cs="Arial"/>
          <w:b/>
          <w:bCs/>
          <w:sz w:val="24"/>
          <w:szCs w:val="24"/>
        </w:rPr>
        <w:t>Project C Appraisal Cash flows</w:t>
      </w:r>
      <w:r w:rsidRPr="00006D7F">
        <w:rPr>
          <w:rFonts w:ascii="Arial" w:hAnsi="Arial" w:cs="Arial"/>
          <w:sz w:val="24"/>
          <w:szCs w:val="24"/>
        </w:rPr>
        <w:t xml:space="preserve"> </w:t>
      </w:r>
    </w:p>
    <w:p w14:paraId="09936924" w14:textId="77777777" w:rsidR="00006D7F" w:rsidRPr="00006D7F" w:rsidRDefault="00006D7F" w:rsidP="00006D7F">
      <w:pPr>
        <w:pStyle w:val="ListParagraph"/>
        <w:numPr>
          <w:ilvl w:val="0"/>
          <w:numId w:val="32"/>
        </w:numPr>
        <w:spacing w:line="360" w:lineRule="auto"/>
        <w:jc w:val="both"/>
        <w:rPr>
          <w:rFonts w:ascii="Arial" w:hAnsi="Arial" w:cs="Arial"/>
          <w:sz w:val="24"/>
          <w:szCs w:val="24"/>
        </w:rPr>
      </w:pPr>
      <w:r w:rsidRPr="00006D7F">
        <w:rPr>
          <w:rFonts w:ascii="Arial" w:hAnsi="Arial" w:cs="Arial"/>
          <w:sz w:val="24"/>
          <w:szCs w:val="24"/>
        </w:rPr>
        <w:t xml:space="preserve">(Y1-5)=5m, 10m, 20m, 25m, 5m (Total=65m) </w:t>
      </w:r>
    </w:p>
    <w:p w14:paraId="349615D4" w14:textId="77777777" w:rsidR="00006D7F" w:rsidRPr="00006D7F" w:rsidRDefault="00006D7F" w:rsidP="00006D7F">
      <w:pPr>
        <w:pStyle w:val="ListParagraph"/>
        <w:numPr>
          <w:ilvl w:val="0"/>
          <w:numId w:val="32"/>
        </w:numPr>
        <w:spacing w:line="360" w:lineRule="auto"/>
        <w:jc w:val="both"/>
        <w:rPr>
          <w:rFonts w:ascii="Arial" w:hAnsi="Arial" w:cs="Arial"/>
          <w:sz w:val="24"/>
          <w:szCs w:val="24"/>
        </w:rPr>
      </w:pPr>
      <w:r w:rsidRPr="00006D7F">
        <w:rPr>
          <w:rFonts w:ascii="Arial" w:hAnsi="Arial" w:cs="Arial"/>
          <w:sz w:val="24"/>
          <w:szCs w:val="24"/>
        </w:rPr>
        <w:t xml:space="preserve">Average annual profit = Cash flows(65m) minus depreciation(50m)=15m total profit=3.0m p.a. </w:t>
      </w:r>
    </w:p>
    <w:p w14:paraId="5734FAD7" w14:textId="77777777" w:rsidR="00006D7F" w:rsidRPr="00006D7F" w:rsidRDefault="00006D7F" w:rsidP="00006D7F">
      <w:pPr>
        <w:pStyle w:val="ListParagraph"/>
        <w:numPr>
          <w:ilvl w:val="0"/>
          <w:numId w:val="32"/>
        </w:numPr>
        <w:spacing w:line="360" w:lineRule="auto"/>
        <w:jc w:val="both"/>
        <w:rPr>
          <w:rFonts w:ascii="Arial" w:hAnsi="Arial" w:cs="Arial"/>
          <w:sz w:val="24"/>
          <w:szCs w:val="24"/>
        </w:rPr>
      </w:pPr>
      <w:r w:rsidRPr="00006D7F">
        <w:rPr>
          <w:rFonts w:ascii="Arial" w:hAnsi="Arial" w:cs="Arial"/>
          <w:sz w:val="24"/>
          <w:szCs w:val="24"/>
        </w:rPr>
        <w:t xml:space="preserve">PBP=cumulative cash flow=35m by Y3, need 15m from Y4 25m. </w:t>
      </w:r>
    </w:p>
    <w:p w14:paraId="46F5A470" w14:textId="77777777" w:rsidR="00006D7F" w:rsidRPr="00006D7F" w:rsidRDefault="00006D7F" w:rsidP="00006D7F">
      <w:pPr>
        <w:pStyle w:val="ListParagraph"/>
        <w:numPr>
          <w:ilvl w:val="0"/>
          <w:numId w:val="32"/>
        </w:numPr>
        <w:spacing w:line="360" w:lineRule="auto"/>
        <w:jc w:val="both"/>
        <w:rPr>
          <w:rFonts w:ascii="Arial" w:hAnsi="Arial" w:cs="Arial"/>
          <w:sz w:val="24"/>
          <w:szCs w:val="24"/>
        </w:rPr>
      </w:pPr>
      <w:r w:rsidRPr="00006D7F">
        <w:rPr>
          <w:rFonts w:ascii="Arial" w:hAnsi="Arial" w:cs="Arial"/>
          <w:sz w:val="24"/>
          <w:szCs w:val="24"/>
        </w:rPr>
        <w:t xml:space="preserve">PBP = $3 + (\frac{15}{25})=3.6 years. </w:t>
      </w:r>
    </w:p>
    <w:p w14:paraId="49277C1A" w14:textId="77777777" w:rsidR="00006D7F" w:rsidRPr="00006D7F" w:rsidRDefault="00006D7F" w:rsidP="00006D7F">
      <w:pPr>
        <w:pStyle w:val="ListParagraph"/>
        <w:numPr>
          <w:ilvl w:val="0"/>
          <w:numId w:val="32"/>
        </w:numPr>
        <w:spacing w:line="360" w:lineRule="auto"/>
        <w:jc w:val="both"/>
        <w:rPr>
          <w:rFonts w:ascii="Arial" w:hAnsi="Arial" w:cs="Arial"/>
          <w:sz w:val="24"/>
          <w:szCs w:val="24"/>
        </w:rPr>
      </w:pPr>
      <w:r w:rsidRPr="00006D7F">
        <w:rPr>
          <w:rFonts w:ascii="Arial" w:hAnsi="Arial" w:cs="Arial"/>
          <w:sz w:val="24"/>
          <w:szCs w:val="24"/>
        </w:rPr>
        <w:t xml:space="preserve">ARR=($3.0 / 25)*100=12.0% </w:t>
      </w:r>
    </w:p>
    <w:p w14:paraId="06362B27" w14:textId="77777777" w:rsidR="00006D7F" w:rsidRPr="00006D7F" w:rsidRDefault="00006D7F" w:rsidP="00006D7F">
      <w:pPr>
        <w:pStyle w:val="ListParagraph"/>
        <w:numPr>
          <w:ilvl w:val="0"/>
          <w:numId w:val="32"/>
        </w:numPr>
        <w:spacing w:line="360" w:lineRule="auto"/>
        <w:jc w:val="both"/>
        <w:rPr>
          <w:rFonts w:ascii="Arial" w:hAnsi="Arial" w:cs="Arial"/>
          <w:sz w:val="24"/>
          <w:szCs w:val="24"/>
        </w:rPr>
      </w:pPr>
      <w:r w:rsidRPr="00006D7F">
        <w:rPr>
          <w:rFonts w:ascii="Arial" w:hAnsi="Arial" w:cs="Arial"/>
          <w:sz w:val="24"/>
          <w:szCs w:val="24"/>
        </w:rPr>
        <w:t xml:space="preserve">NPV=discount cash flows by 10%. $NPV = \frac{5}{1.10^1} + \frac{10}{1.10^2} + \frac{20}{1.10^3} + \frac{25}{1.10^4} + \frac{5}{1.10^5} - 50 NPV = 4.55 + 8.26 + 15.03 + 17.08 + 3.10 - 50 = $-1.98m </w:t>
      </w:r>
    </w:p>
    <w:p w14:paraId="26491C6A" w14:textId="77777777" w:rsidR="00006D7F" w:rsidRPr="00006D7F" w:rsidRDefault="00006D7F" w:rsidP="00006D7F">
      <w:pPr>
        <w:pStyle w:val="ListParagraph"/>
        <w:numPr>
          <w:ilvl w:val="0"/>
          <w:numId w:val="32"/>
        </w:numPr>
        <w:spacing w:line="360" w:lineRule="auto"/>
        <w:jc w:val="both"/>
        <w:rPr>
          <w:rFonts w:ascii="Arial" w:hAnsi="Arial" w:cs="Arial"/>
          <w:sz w:val="24"/>
          <w:szCs w:val="24"/>
        </w:rPr>
      </w:pPr>
      <w:r w:rsidRPr="00006D7F">
        <w:rPr>
          <w:rFonts w:ascii="Arial" w:hAnsi="Arial" w:cs="Arial"/>
          <w:sz w:val="24"/>
          <w:szCs w:val="24"/>
        </w:rPr>
        <w:t xml:space="preserve">PI=$48.02 / 50=0.96 IRR. </w:t>
      </w:r>
    </w:p>
    <w:p w14:paraId="5B847E12" w14:textId="6722349B" w:rsidR="00006D7F" w:rsidRDefault="00006D7F" w:rsidP="00006D7F">
      <w:pPr>
        <w:pStyle w:val="ListParagraph"/>
        <w:numPr>
          <w:ilvl w:val="0"/>
          <w:numId w:val="32"/>
        </w:numPr>
        <w:spacing w:line="360" w:lineRule="auto"/>
        <w:jc w:val="both"/>
        <w:rPr>
          <w:rFonts w:ascii="Arial" w:hAnsi="Arial" w:cs="Arial"/>
          <w:sz w:val="24"/>
          <w:szCs w:val="24"/>
        </w:rPr>
      </w:pPr>
      <w:r w:rsidRPr="00006D7F">
        <w:rPr>
          <w:rFonts w:ascii="Arial" w:hAnsi="Arial" w:cs="Arial"/>
          <w:sz w:val="24"/>
          <w:szCs w:val="24"/>
        </w:rPr>
        <w:t>IRR=8.5%</w:t>
      </w:r>
    </w:p>
    <w:p w14:paraId="6178DF81" w14:textId="77777777" w:rsidR="00006D7F" w:rsidRPr="00006D7F" w:rsidRDefault="00006D7F" w:rsidP="00006D7F">
      <w:pPr>
        <w:spacing w:line="360" w:lineRule="auto"/>
        <w:jc w:val="both"/>
        <w:rPr>
          <w:rFonts w:ascii="Arial" w:hAnsi="Arial" w:cs="Arial"/>
          <w:b/>
          <w:bCs/>
          <w:sz w:val="24"/>
          <w:szCs w:val="24"/>
        </w:rPr>
      </w:pPr>
      <w:r w:rsidRPr="00006D7F">
        <w:rPr>
          <w:rFonts w:ascii="Arial" w:hAnsi="Arial" w:cs="Arial"/>
          <w:b/>
          <w:bCs/>
          <w:sz w:val="24"/>
          <w:szCs w:val="24"/>
        </w:rPr>
        <w:t>2. Recommendation and Rationale of Projects</w:t>
      </w:r>
    </w:p>
    <w:p w14:paraId="6C7B1DF3" w14:textId="174C97F2" w:rsidR="00006D7F" w:rsidRDefault="00006D7F" w:rsidP="00006D7F">
      <w:pPr>
        <w:spacing w:line="360" w:lineRule="auto"/>
        <w:jc w:val="both"/>
        <w:rPr>
          <w:rFonts w:ascii="Arial" w:hAnsi="Arial" w:cs="Arial"/>
          <w:sz w:val="24"/>
          <w:szCs w:val="24"/>
        </w:rPr>
      </w:pPr>
      <w:r w:rsidRPr="00006D7F">
        <w:rPr>
          <w:rFonts w:ascii="Arial" w:hAnsi="Arial" w:cs="Arial"/>
          <w:b/>
          <w:bCs/>
          <w:sz w:val="24"/>
          <w:szCs w:val="24"/>
        </w:rPr>
        <w:lastRenderedPageBreak/>
        <w:t>The quantitative reality check</w:t>
      </w:r>
      <w:r>
        <w:rPr>
          <w:rFonts w:ascii="Arial" w:hAnsi="Arial" w:cs="Arial"/>
          <w:b/>
          <w:bCs/>
          <w:sz w:val="24"/>
          <w:szCs w:val="24"/>
        </w:rPr>
        <w:t xml:space="preserve"> : </w:t>
      </w:r>
      <w:r w:rsidRPr="00006D7F">
        <w:rPr>
          <w:rFonts w:ascii="Arial" w:hAnsi="Arial" w:cs="Arial"/>
          <w:sz w:val="24"/>
          <w:szCs w:val="24"/>
        </w:rPr>
        <w:t>According to conventional corporate finance doctrine, all three projects must be rejected. It is a rule of capital budgeting to only undertake projects if their NPV is positive (NPV &gt; 0) and their IRR is greater than the company's required rate of return, or cost of capital (IRR &gt; 10%). The projects A, B and C have negative NPVs and negative IRRs.</w:t>
      </w:r>
    </w:p>
    <w:p w14:paraId="2BCF9368" w14:textId="77777777" w:rsidR="004B6001" w:rsidRPr="004B6001" w:rsidRDefault="004B6001" w:rsidP="004B6001">
      <w:pPr>
        <w:spacing w:line="360" w:lineRule="auto"/>
        <w:jc w:val="both"/>
        <w:rPr>
          <w:rFonts w:ascii="Arial" w:hAnsi="Arial" w:cs="Arial"/>
          <w:b/>
          <w:bCs/>
          <w:sz w:val="24"/>
          <w:szCs w:val="24"/>
        </w:rPr>
      </w:pPr>
      <w:r w:rsidRPr="004B6001">
        <w:rPr>
          <w:rFonts w:ascii="Arial" w:hAnsi="Arial" w:cs="Arial"/>
          <w:b/>
          <w:bCs/>
          <w:sz w:val="24"/>
          <w:szCs w:val="24"/>
        </w:rPr>
        <w:t>The Required Decision: Project C</w:t>
      </w:r>
    </w:p>
    <w:p w14:paraId="7CDF98E8" w14:textId="77777777" w:rsidR="004B6001" w:rsidRPr="004B6001" w:rsidRDefault="004B6001" w:rsidP="004B6001">
      <w:pPr>
        <w:pStyle w:val="ListParagraph"/>
        <w:numPr>
          <w:ilvl w:val="0"/>
          <w:numId w:val="33"/>
        </w:numPr>
        <w:spacing w:line="360" w:lineRule="auto"/>
        <w:jc w:val="both"/>
        <w:rPr>
          <w:rFonts w:ascii="Arial" w:hAnsi="Arial" w:cs="Arial"/>
          <w:sz w:val="24"/>
          <w:szCs w:val="24"/>
        </w:rPr>
      </w:pPr>
      <w:r w:rsidRPr="004B6001">
        <w:rPr>
          <w:rFonts w:ascii="Arial" w:hAnsi="Arial" w:cs="Arial"/>
          <w:sz w:val="24"/>
          <w:szCs w:val="24"/>
        </w:rPr>
        <w:t>On the contrary, if the management are forced to make a decision on this project (maybe for compulsory regulatory reasons, for crucial R&amp;D, or to establish a lost leader for future market share), then it is clear that Project C should be selected.</w:t>
      </w:r>
    </w:p>
    <w:p w14:paraId="1957F2CC" w14:textId="77777777" w:rsidR="004B6001" w:rsidRPr="004B6001" w:rsidRDefault="004B6001" w:rsidP="004B6001">
      <w:pPr>
        <w:pStyle w:val="ListParagraph"/>
        <w:numPr>
          <w:ilvl w:val="0"/>
          <w:numId w:val="33"/>
        </w:numPr>
        <w:spacing w:line="360" w:lineRule="auto"/>
        <w:jc w:val="both"/>
        <w:rPr>
          <w:rFonts w:ascii="Arial" w:hAnsi="Arial" w:cs="Arial"/>
          <w:sz w:val="24"/>
          <w:szCs w:val="24"/>
        </w:rPr>
      </w:pPr>
      <w:r w:rsidRPr="004B6001">
        <w:rPr>
          <w:rFonts w:ascii="Arial" w:hAnsi="Arial" w:cs="Arial"/>
          <w:sz w:val="24"/>
          <w:szCs w:val="24"/>
        </w:rPr>
        <w:t xml:space="preserve">Financially it is far the most damaging NPV (-1.98m Vs. A's -8.67m, and B's -8.30m). It has the highest ARR (12%), highest PI (0.96), and the most importantly, the lowest Payback Period (3.6 years), meaning that capital of Tesla is least exposed to market risk for the minimum </w:t>
      </w:r>
      <w:proofErr w:type="spellStart"/>
      <w:r w:rsidRPr="004B6001">
        <w:rPr>
          <w:rFonts w:ascii="Arial" w:hAnsi="Arial" w:cs="Arial"/>
          <w:sz w:val="24"/>
          <w:szCs w:val="24"/>
        </w:rPr>
        <w:t>period.The</w:t>
      </w:r>
      <w:proofErr w:type="spellEnd"/>
      <w:r w:rsidRPr="004B6001">
        <w:rPr>
          <w:rFonts w:ascii="Arial" w:hAnsi="Arial" w:cs="Arial"/>
          <w:sz w:val="24"/>
          <w:szCs w:val="24"/>
        </w:rPr>
        <w:t xml:space="preserve"> cash-flow pattern; this has a profile weighted to later years, (highs in year 3 and 4). </w:t>
      </w:r>
    </w:p>
    <w:p w14:paraId="268B685F" w14:textId="28F9FC7C" w:rsidR="004B6001" w:rsidRPr="004B6001" w:rsidRDefault="004B6001" w:rsidP="004B6001">
      <w:pPr>
        <w:pStyle w:val="ListParagraph"/>
        <w:numPr>
          <w:ilvl w:val="0"/>
          <w:numId w:val="33"/>
        </w:numPr>
        <w:spacing w:line="360" w:lineRule="auto"/>
        <w:jc w:val="both"/>
        <w:rPr>
          <w:rFonts w:ascii="Arial" w:hAnsi="Arial" w:cs="Arial"/>
          <w:sz w:val="24"/>
          <w:szCs w:val="24"/>
        </w:rPr>
      </w:pPr>
      <w:r w:rsidRPr="004B6001">
        <w:rPr>
          <w:rFonts w:ascii="Arial" w:hAnsi="Arial" w:cs="Arial"/>
          <w:sz w:val="24"/>
          <w:szCs w:val="24"/>
        </w:rPr>
        <w:t>While it penalizes the project NPV due to time value of money discounting, this pattern perfectly reflects the lifecycle of a large industrial manufacture project such as introducing a new Tesla platform. Capital cost years to produce volume, and then the cash generation increases significantly.</w:t>
      </w:r>
    </w:p>
    <w:p w14:paraId="347F1008" w14:textId="5FFCBF41" w:rsidR="004B6001" w:rsidRPr="004B6001" w:rsidRDefault="004B6001" w:rsidP="004B6001">
      <w:pPr>
        <w:jc w:val="both"/>
        <w:rPr>
          <w:rFonts w:ascii="Arial" w:hAnsi="Arial" w:cs="Arial"/>
          <w:b/>
          <w:bCs/>
          <w:sz w:val="24"/>
          <w:szCs w:val="24"/>
        </w:rPr>
      </w:pPr>
      <w:r>
        <w:rPr>
          <w:rFonts w:ascii="Arial" w:hAnsi="Arial" w:cs="Arial"/>
          <w:b/>
          <w:bCs/>
          <w:sz w:val="24"/>
          <w:szCs w:val="24"/>
        </w:rPr>
        <w:t xml:space="preserve">  </w:t>
      </w:r>
      <w:r w:rsidRPr="004B6001">
        <w:rPr>
          <w:rFonts w:ascii="Arial" w:hAnsi="Arial" w:cs="Arial"/>
          <w:b/>
          <w:bCs/>
          <w:sz w:val="24"/>
          <w:szCs w:val="24"/>
        </w:rPr>
        <w:t>Rationale Justification with Tesla Financials</w:t>
      </w:r>
    </w:p>
    <w:p w14:paraId="7C0118A8" w14:textId="77777777" w:rsidR="004B6001" w:rsidRPr="004B6001" w:rsidRDefault="004B6001" w:rsidP="004B6001">
      <w:pPr>
        <w:pStyle w:val="ListParagraph"/>
        <w:numPr>
          <w:ilvl w:val="0"/>
          <w:numId w:val="33"/>
        </w:numPr>
        <w:jc w:val="both"/>
        <w:rPr>
          <w:rFonts w:ascii="Arial" w:hAnsi="Arial" w:cs="Arial"/>
          <w:sz w:val="24"/>
          <w:szCs w:val="24"/>
        </w:rPr>
      </w:pPr>
      <w:r w:rsidRPr="004B6001">
        <w:rPr>
          <w:rFonts w:ascii="Arial" w:hAnsi="Arial" w:cs="Arial"/>
          <w:b/>
          <w:bCs/>
          <w:sz w:val="24"/>
          <w:szCs w:val="24"/>
        </w:rPr>
        <w:t xml:space="preserve">Profitability: </w:t>
      </w:r>
      <w:r w:rsidRPr="004B6001">
        <w:rPr>
          <w:rFonts w:ascii="Arial" w:hAnsi="Arial" w:cs="Arial"/>
          <w:sz w:val="24"/>
          <w:szCs w:val="24"/>
        </w:rPr>
        <w:t xml:space="preserve">Tesla has historically had trouble with maintaining a high automotive gross margins and is at risk due to global price cuts to promote demand. To undertake projects with negative NPVs directly challenges this concept. However, with an ARR of 12%,Project C will have a better </w:t>
      </w:r>
      <w:proofErr w:type="spellStart"/>
      <w:r w:rsidRPr="004B6001">
        <w:rPr>
          <w:rFonts w:ascii="Arial" w:hAnsi="Arial" w:cs="Arial"/>
          <w:sz w:val="24"/>
          <w:szCs w:val="24"/>
        </w:rPr>
        <w:t>affect</w:t>
      </w:r>
      <w:proofErr w:type="spellEnd"/>
      <w:r w:rsidRPr="004B6001">
        <w:rPr>
          <w:rFonts w:ascii="Arial" w:hAnsi="Arial" w:cs="Arial"/>
          <w:sz w:val="24"/>
          <w:szCs w:val="24"/>
        </w:rPr>
        <w:t xml:space="preserve"> on Tesla's income statements, in an accounting sense, over its entire life than A or B.</w:t>
      </w:r>
    </w:p>
    <w:p w14:paraId="446EA235" w14:textId="38246A4D" w:rsidR="00975CD4" w:rsidRPr="004B6001" w:rsidRDefault="004B6001" w:rsidP="004B6001">
      <w:pPr>
        <w:pStyle w:val="ListParagraph"/>
        <w:numPr>
          <w:ilvl w:val="0"/>
          <w:numId w:val="33"/>
        </w:numPr>
        <w:jc w:val="both"/>
        <w:rPr>
          <w:rFonts w:ascii="Arial" w:hAnsi="Arial" w:cs="Arial"/>
          <w:sz w:val="24"/>
          <w:szCs w:val="24"/>
        </w:rPr>
      </w:pPr>
      <w:r w:rsidRPr="004B6001">
        <w:rPr>
          <w:rFonts w:ascii="Arial" w:hAnsi="Arial" w:cs="Arial"/>
          <w:b/>
          <w:bCs/>
          <w:sz w:val="24"/>
          <w:szCs w:val="24"/>
        </w:rPr>
        <w:t>Liquidity:</w:t>
      </w:r>
      <w:r w:rsidRPr="004B6001">
        <w:rPr>
          <w:rFonts w:ascii="Arial" w:hAnsi="Arial" w:cs="Arial"/>
          <w:sz w:val="24"/>
          <w:szCs w:val="24"/>
        </w:rPr>
        <w:t xml:space="preserve"> Tesla is in an exceptionally sound financial position with current significant cash on its balance sheet. With its high liquidity, Tesla has the capacity to absorb the postponed cash inflows for Project C(with only 15m produced in the first 2 years) without having difficulties in paying short-term obligations.</w:t>
      </w:r>
    </w:p>
    <w:p w14:paraId="0D0BC63B" w14:textId="77777777" w:rsidR="006850D2" w:rsidRPr="006850D2" w:rsidRDefault="006850D2" w:rsidP="00AF6A68">
      <w:pPr>
        <w:jc w:val="both"/>
        <w:rPr>
          <w:rFonts w:ascii="Arial" w:hAnsi="Arial" w:cs="Arial"/>
          <w:sz w:val="24"/>
          <w:szCs w:val="24"/>
        </w:rPr>
      </w:pPr>
    </w:p>
    <w:p w14:paraId="245C35F7" w14:textId="77777777" w:rsidR="004B6001" w:rsidRPr="004B6001" w:rsidRDefault="004B6001" w:rsidP="004B6001">
      <w:pPr>
        <w:jc w:val="both"/>
        <w:rPr>
          <w:rFonts w:ascii="Arial" w:hAnsi="Arial" w:cs="Arial"/>
          <w:b/>
          <w:bCs/>
          <w:sz w:val="24"/>
          <w:szCs w:val="24"/>
        </w:rPr>
      </w:pPr>
      <w:r w:rsidRPr="004B6001">
        <w:rPr>
          <w:rFonts w:ascii="Arial" w:hAnsi="Arial" w:cs="Arial"/>
          <w:b/>
          <w:bCs/>
          <w:sz w:val="24"/>
          <w:szCs w:val="24"/>
        </w:rPr>
        <w:t>Justification through Non-financial risks:</w:t>
      </w:r>
    </w:p>
    <w:p w14:paraId="008F106A" w14:textId="77777777" w:rsidR="004B6001" w:rsidRPr="004B6001" w:rsidRDefault="004B6001" w:rsidP="004B6001">
      <w:pPr>
        <w:jc w:val="both"/>
        <w:rPr>
          <w:rFonts w:ascii="Arial" w:hAnsi="Arial" w:cs="Arial"/>
          <w:sz w:val="24"/>
          <w:szCs w:val="24"/>
        </w:rPr>
      </w:pPr>
      <w:r w:rsidRPr="004B6001">
        <w:rPr>
          <w:rFonts w:ascii="Arial" w:hAnsi="Arial" w:cs="Arial"/>
          <w:sz w:val="24"/>
          <w:szCs w:val="24"/>
        </w:rPr>
        <w:t>There can't be a "spreadsheet world" capital budgeting, qualitative risks can trump quantitative ones.</w:t>
      </w:r>
    </w:p>
    <w:p w14:paraId="2EB72A2D" w14:textId="77777777" w:rsidR="004B6001" w:rsidRPr="004B6001" w:rsidRDefault="004B6001" w:rsidP="004B6001">
      <w:pPr>
        <w:pStyle w:val="ListParagraph"/>
        <w:numPr>
          <w:ilvl w:val="0"/>
          <w:numId w:val="34"/>
        </w:numPr>
        <w:spacing w:line="360" w:lineRule="auto"/>
        <w:jc w:val="both"/>
        <w:rPr>
          <w:rFonts w:ascii="Arial" w:hAnsi="Arial" w:cs="Arial"/>
          <w:sz w:val="24"/>
          <w:szCs w:val="24"/>
        </w:rPr>
      </w:pPr>
      <w:r w:rsidRPr="004B6001">
        <w:rPr>
          <w:rFonts w:ascii="Arial" w:hAnsi="Arial" w:cs="Arial"/>
          <w:b/>
          <w:bCs/>
          <w:sz w:val="24"/>
          <w:szCs w:val="24"/>
        </w:rPr>
        <w:lastRenderedPageBreak/>
        <w:t>Political Risk:</w:t>
      </w:r>
      <w:r w:rsidRPr="004B6001">
        <w:rPr>
          <w:rFonts w:ascii="Arial" w:hAnsi="Arial" w:cs="Arial"/>
          <w:sz w:val="24"/>
          <w:szCs w:val="24"/>
        </w:rPr>
        <w:t xml:space="preserve"> The global environment where Tesla operates is subject to great political instability. A shift in tariffs between the U.S. And China/ Europe, changed EV subsidies (Inflation Reduction Act in the US) or environmental legislation will radically change cash flows. This makes the very short </w:t>
      </w:r>
      <w:proofErr w:type="spellStart"/>
      <w:r w:rsidRPr="004B6001">
        <w:rPr>
          <w:rFonts w:ascii="Arial" w:hAnsi="Arial" w:cs="Arial"/>
          <w:sz w:val="24"/>
          <w:szCs w:val="24"/>
        </w:rPr>
        <w:t>pay back</w:t>
      </w:r>
      <w:proofErr w:type="spellEnd"/>
      <w:r w:rsidRPr="004B6001">
        <w:rPr>
          <w:rFonts w:ascii="Arial" w:hAnsi="Arial" w:cs="Arial"/>
          <w:sz w:val="24"/>
          <w:szCs w:val="24"/>
        </w:rPr>
        <w:t xml:space="preserve"> period of 3.6 years important for Project C. The sooner Tesla gets their 50m back the less susceptible the money is to policy changes elsewhere (e.g. Changes in operations at Giga Shanghai or Berlin).</w:t>
      </w:r>
    </w:p>
    <w:p w14:paraId="4393B709" w14:textId="12B33D4E" w:rsidR="006850D2" w:rsidRPr="004B6001" w:rsidRDefault="004B6001" w:rsidP="004B6001">
      <w:pPr>
        <w:pStyle w:val="ListParagraph"/>
        <w:numPr>
          <w:ilvl w:val="0"/>
          <w:numId w:val="34"/>
        </w:numPr>
        <w:spacing w:line="360" w:lineRule="auto"/>
        <w:jc w:val="both"/>
        <w:rPr>
          <w:rFonts w:ascii="Arial" w:hAnsi="Arial" w:cs="Arial"/>
          <w:sz w:val="24"/>
          <w:szCs w:val="24"/>
        </w:rPr>
      </w:pPr>
      <w:r w:rsidRPr="004B6001">
        <w:rPr>
          <w:rFonts w:ascii="Arial" w:hAnsi="Arial" w:cs="Arial"/>
          <w:b/>
          <w:bCs/>
          <w:sz w:val="24"/>
          <w:szCs w:val="24"/>
        </w:rPr>
        <w:t>Customer Loyalty/ Brand Equity:</w:t>
      </w:r>
      <w:r w:rsidRPr="004B6001">
        <w:rPr>
          <w:rFonts w:ascii="Arial" w:hAnsi="Arial" w:cs="Arial"/>
          <w:sz w:val="24"/>
          <w:szCs w:val="24"/>
        </w:rPr>
        <w:t xml:space="preserve"> Tesla is about groundbreaking innovation (Full Self-Driving, Cybertruck, batteries). R&amp;D, that is critical for retaining customer loyalty, often generates a negative NPV as the "return" is a qualitative aspect, protecting existing market share from new competitors such as BYD or Rivian. If project C is of crucial importance (e.g. "Model 2" of the Tesla line-up) protecting long term market share justifies a 1.98m loss on paper.</w:t>
      </w:r>
    </w:p>
    <w:p w14:paraId="6D1B8DE6" w14:textId="77777777" w:rsidR="004B6001" w:rsidRPr="004B6001" w:rsidRDefault="004B6001" w:rsidP="004B6001">
      <w:pPr>
        <w:spacing w:line="360" w:lineRule="auto"/>
        <w:jc w:val="both"/>
        <w:rPr>
          <w:rFonts w:ascii="Arial" w:hAnsi="Arial" w:cs="Arial"/>
          <w:sz w:val="24"/>
          <w:szCs w:val="24"/>
        </w:rPr>
      </w:pPr>
      <w:r w:rsidRPr="004B6001">
        <w:rPr>
          <w:rFonts w:ascii="Arial" w:hAnsi="Arial" w:cs="Arial"/>
          <w:b/>
          <w:bCs/>
          <w:sz w:val="24"/>
          <w:szCs w:val="24"/>
        </w:rPr>
        <w:t>3. Capital Rationing Recommendation (Budget of 100m)</w:t>
      </w:r>
    </w:p>
    <w:p w14:paraId="551FA0CC" w14:textId="77777777" w:rsidR="004B6001" w:rsidRPr="004B6001" w:rsidRDefault="004B6001" w:rsidP="004B6001">
      <w:pPr>
        <w:spacing w:line="360" w:lineRule="auto"/>
        <w:jc w:val="both"/>
        <w:rPr>
          <w:rFonts w:ascii="Arial" w:hAnsi="Arial" w:cs="Arial"/>
          <w:sz w:val="24"/>
          <w:szCs w:val="24"/>
        </w:rPr>
      </w:pPr>
      <w:r w:rsidRPr="004B6001">
        <w:rPr>
          <w:rFonts w:ascii="Arial" w:hAnsi="Arial" w:cs="Arial"/>
          <w:sz w:val="24"/>
          <w:szCs w:val="24"/>
        </w:rPr>
        <w:t>Capital rationing is encountered when a company has more than enough acceptable projects on hand than it has money to invest. Tesla is faced with a "hard" capital rationing constraint of 100 million.</w:t>
      </w:r>
    </w:p>
    <w:p w14:paraId="39688FD8" w14:textId="77777777" w:rsidR="004B6001" w:rsidRPr="004B6001" w:rsidRDefault="004B6001" w:rsidP="004B6001">
      <w:pPr>
        <w:spacing w:line="360" w:lineRule="auto"/>
        <w:jc w:val="both"/>
        <w:rPr>
          <w:rFonts w:ascii="Arial" w:hAnsi="Arial" w:cs="Arial"/>
          <w:sz w:val="24"/>
          <w:szCs w:val="24"/>
        </w:rPr>
      </w:pPr>
      <w:r w:rsidRPr="004B6001">
        <w:rPr>
          <w:rFonts w:ascii="Arial" w:hAnsi="Arial" w:cs="Arial"/>
          <w:sz w:val="24"/>
          <w:szCs w:val="24"/>
        </w:rPr>
        <w:t>With every project requiring a cash outlay of 50 million at the start of the project, Tesla is only in a position to fund two out of three projects with its budget of 100 million.</w:t>
      </w:r>
    </w:p>
    <w:p w14:paraId="42359F7A" w14:textId="7B633439" w:rsidR="004B6001" w:rsidRDefault="004B6001" w:rsidP="004B6001">
      <w:pPr>
        <w:spacing w:line="360" w:lineRule="auto"/>
        <w:jc w:val="both"/>
        <w:rPr>
          <w:rFonts w:ascii="Arial" w:hAnsi="Arial" w:cs="Arial"/>
          <w:sz w:val="24"/>
          <w:szCs w:val="24"/>
        </w:rPr>
      </w:pPr>
      <w:r w:rsidRPr="004B6001">
        <w:rPr>
          <w:rFonts w:ascii="Arial" w:hAnsi="Arial" w:cs="Arial"/>
          <w:sz w:val="24"/>
          <w:szCs w:val="24"/>
        </w:rPr>
        <w:t>As all projects cannot be considered divisible (you can't build half a factory or spend half an R&amp;D budget), they can't just be ranked by their PI and a proportional investment made. We must instead calculate the absolute aggregate NP Vs of all potential projects, and make our decision based on maximizing wealth (or, more accurately in this case, least diminishing it).</w:t>
      </w:r>
    </w:p>
    <w:p w14:paraId="21232671" w14:textId="77777777" w:rsidR="004B6001" w:rsidRPr="004B6001" w:rsidRDefault="004B6001" w:rsidP="004B6001">
      <w:pPr>
        <w:spacing w:line="360" w:lineRule="auto"/>
        <w:jc w:val="both"/>
        <w:rPr>
          <w:rFonts w:ascii="Arial" w:hAnsi="Arial" w:cs="Arial"/>
          <w:b/>
          <w:bCs/>
          <w:sz w:val="24"/>
          <w:szCs w:val="24"/>
        </w:rPr>
      </w:pPr>
      <w:r w:rsidRPr="004B6001">
        <w:rPr>
          <w:rFonts w:ascii="Arial" w:hAnsi="Arial" w:cs="Arial"/>
          <w:b/>
          <w:bCs/>
          <w:sz w:val="24"/>
          <w:szCs w:val="24"/>
        </w:rPr>
        <w:t>A summary of combination results:</w:t>
      </w:r>
    </w:p>
    <w:p w14:paraId="30B98D20" w14:textId="77777777" w:rsidR="004B6001" w:rsidRPr="004B6001" w:rsidRDefault="004B6001" w:rsidP="004B6001">
      <w:pPr>
        <w:spacing w:line="360" w:lineRule="auto"/>
        <w:jc w:val="both"/>
        <w:rPr>
          <w:rFonts w:ascii="Arial" w:hAnsi="Arial" w:cs="Arial"/>
          <w:b/>
          <w:bCs/>
          <w:sz w:val="24"/>
          <w:szCs w:val="24"/>
        </w:rPr>
      </w:pPr>
      <w:r w:rsidRPr="004B6001">
        <w:rPr>
          <w:rFonts w:ascii="Arial" w:hAnsi="Arial" w:cs="Arial"/>
          <w:b/>
          <w:bCs/>
          <w:sz w:val="24"/>
          <w:szCs w:val="24"/>
        </w:rPr>
        <w:t>Combination 1(Project A + Project B)</w:t>
      </w:r>
    </w:p>
    <w:p w14:paraId="7B987725" w14:textId="77777777" w:rsidR="004B6001" w:rsidRPr="004B6001" w:rsidRDefault="004B6001" w:rsidP="004B6001">
      <w:pPr>
        <w:pStyle w:val="ListParagraph"/>
        <w:numPr>
          <w:ilvl w:val="0"/>
          <w:numId w:val="38"/>
        </w:numPr>
        <w:spacing w:line="360" w:lineRule="auto"/>
        <w:jc w:val="both"/>
        <w:rPr>
          <w:rFonts w:ascii="Arial" w:hAnsi="Arial" w:cs="Arial"/>
          <w:sz w:val="24"/>
          <w:szCs w:val="24"/>
        </w:rPr>
      </w:pPr>
      <w:r w:rsidRPr="004B6001">
        <w:rPr>
          <w:rFonts w:ascii="Arial" w:hAnsi="Arial" w:cs="Arial"/>
          <w:sz w:val="24"/>
          <w:szCs w:val="24"/>
        </w:rPr>
        <w:t>Cost: 100m</w:t>
      </w:r>
    </w:p>
    <w:p w14:paraId="7DAF30DA" w14:textId="167A3C2F" w:rsidR="004B6001" w:rsidRPr="004B6001" w:rsidRDefault="004B6001" w:rsidP="004B6001">
      <w:pPr>
        <w:pStyle w:val="ListParagraph"/>
        <w:numPr>
          <w:ilvl w:val="0"/>
          <w:numId w:val="38"/>
        </w:numPr>
        <w:spacing w:line="360" w:lineRule="auto"/>
        <w:jc w:val="both"/>
        <w:rPr>
          <w:rFonts w:ascii="Arial" w:hAnsi="Arial" w:cs="Arial"/>
          <w:sz w:val="24"/>
          <w:szCs w:val="24"/>
        </w:rPr>
      </w:pPr>
      <w:r w:rsidRPr="004B6001">
        <w:rPr>
          <w:rFonts w:ascii="Arial" w:hAnsi="Arial" w:cs="Arial"/>
          <w:sz w:val="24"/>
          <w:szCs w:val="24"/>
        </w:rPr>
        <w:t>Combined</w:t>
      </w:r>
      <w:r>
        <w:rPr>
          <w:rFonts w:ascii="Arial" w:hAnsi="Arial" w:cs="Arial"/>
          <w:sz w:val="24"/>
          <w:szCs w:val="24"/>
        </w:rPr>
        <w:t xml:space="preserve"> </w:t>
      </w:r>
      <w:r w:rsidRPr="004B6001">
        <w:rPr>
          <w:rFonts w:ascii="Arial" w:hAnsi="Arial" w:cs="Arial"/>
          <w:sz w:val="24"/>
          <w:szCs w:val="24"/>
        </w:rPr>
        <w:t>NPV= −8.67m + −8.30m = −16.97m</w:t>
      </w:r>
    </w:p>
    <w:p w14:paraId="163773A2" w14:textId="77777777" w:rsidR="004B6001" w:rsidRPr="004B6001" w:rsidRDefault="004B6001" w:rsidP="004B6001">
      <w:pPr>
        <w:spacing w:line="360" w:lineRule="auto"/>
        <w:jc w:val="both"/>
        <w:rPr>
          <w:rFonts w:ascii="Arial" w:hAnsi="Arial" w:cs="Arial"/>
          <w:b/>
          <w:bCs/>
          <w:sz w:val="24"/>
          <w:szCs w:val="24"/>
        </w:rPr>
      </w:pPr>
      <w:r w:rsidRPr="004B6001">
        <w:rPr>
          <w:rFonts w:ascii="Arial" w:hAnsi="Arial" w:cs="Arial"/>
          <w:b/>
          <w:bCs/>
          <w:sz w:val="24"/>
          <w:szCs w:val="24"/>
        </w:rPr>
        <w:t>Combination 2(Project A + Project C)</w:t>
      </w:r>
    </w:p>
    <w:p w14:paraId="13233B87" w14:textId="77777777" w:rsidR="004B6001" w:rsidRPr="004B6001" w:rsidRDefault="004B6001" w:rsidP="004B6001">
      <w:pPr>
        <w:pStyle w:val="ListParagraph"/>
        <w:numPr>
          <w:ilvl w:val="0"/>
          <w:numId w:val="37"/>
        </w:numPr>
        <w:spacing w:line="360" w:lineRule="auto"/>
        <w:jc w:val="both"/>
        <w:rPr>
          <w:rFonts w:ascii="Arial" w:hAnsi="Arial" w:cs="Arial"/>
          <w:sz w:val="24"/>
          <w:szCs w:val="24"/>
        </w:rPr>
      </w:pPr>
      <w:r w:rsidRPr="004B6001">
        <w:rPr>
          <w:rFonts w:ascii="Arial" w:hAnsi="Arial" w:cs="Arial"/>
          <w:sz w:val="24"/>
          <w:szCs w:val="24"/>
        </w:rPr>
        <w:t>Cost: 100m</w:t>
      </w:r>
    </w:p>
    <w:p w14:paraId="25000F13" w14:textId="6A6399C2" w:rsidR="004B6001" w:rsidRPr="004B6001" w:rsidRDefault="004B6001" w:rsidP="004B6001">
      <w:pPr>
        <w:pStyle w:val="ListParagraph"/>
        <w:numPr>
          <w:ilvl w:val="0"/>
          <w:numId w:val="37"/>
        </w:numPr>
        <w:spacing w:line="360" w:lineRule="auto"/>
        <w:jc w:val="both"/>
        <w:rPr>
          <w:rFonts w:ascii="Arial" w:hAnsi="Arial" w:cs="Arial"/>
          <w:sz w:val="24"/>
          <w:szCs w:val="24"/>
        </w:rPr>
      </w:pPr>
      <w:r w:rsidRPr="004B6001">
        <w:rPr>
          <w:rFonts w:ascii="Arial" w:hAnsi="Arial" w:cs="Arial"/>
          <w:sz w:val="24"/>
          <w:szCs w:val="24"/>
        </w:rPr>
        <w:lastRenderedPageBreak/>
        <w:t>Combined</w:t>
      </w:r>
      <w:r>
        <w:rPr>
          <w:rFonts w:ascii="Arial" w:hAnsi="Arial" w:cs="Arial"/>
          <w:sz w:val="24"/>
          <w:szCs w:val="24"/>
        </w:rPr>
        <w:t xml:space="preserve"> </w:t>
      </w:r>
      <w:r w:rsidRPr="004B6001">
        <w:rPr>
          <w:rFonts w:ascii="Arial" w:hAnsi="Arial" w:cs="Arial"/>
          <w:sz w:val="24"/>
          <w:szCs w:val="24"/>
        </w:rPr>
        <w:t>NPV= −8.67m + −1.98m = −10.65m</w:t>
      </w:r>
    </w:p>
    <w:p w14:paraId="0B3734EB" w14:textId="77777777" w:rsidR="004B6001" w:rsidRPr="004B6001" w:rsidRDefault="004B6001" w:rsidP="004B6001">
      <w:pPr>
        <w:spacing w:line="360" w:lineRule="auto"/>
        <w:jc w:val="both"/>
        <w:rPr>
          <w:rFonts w:ascii="Arial" w:hAnsi="Arial" w:cs="Arial"/>
          <w:b/>
          <w:bCs/>
          <w:sz w:val="24"/>
          <w:szCs w:val="24"/>
        </w:rPr>
      </w:pPr>
      <w:r w:rsidRPr="004B6001">
        <w:rPr>
          <w:rFonts w:ascii="Arial" w:hAnsi="Arial" w:cs="Arial"/>
          <w:b/>
          <w:bCs/>
          <w:sz w:val="24"/>
          <w:szCs w:val="24"/>
        </w:rPr>
        <w:t>Combination 3(Project B + Project C)</w:t>
      </w:r>
    </w:p>
    <w:p w14:paraId="6AC584E7" w14:textId="77777777" w:rsidR="004B6001" w:rsidRPr="004B6001" w:rsidRDefault="004B6001" w:rsidP="004B6001">
      <w:pPr>
        <w:pStyle w:val="ListParagraph"/>
        <w:numPr>
          <w:ilvl w:val="0"/>
          <w:numId w:val="36"/>
        </w:numPr>
        <w:spacing w:line="360" w:lineRule="auto"/>
        <w:jc w:val="both"/>
        <w:rPr>
          <w:rFonts w:ascii="Arial" w:hAnsi="Arial" w:cs="Arial"/>
          <w:sz w:val="24"/>
          <w:szCs w:val="24"/>
        </w:rPr>
      </w:pPr>
      <w:r w:rsidRPr="004B6001">
        <w:rPr>
          <w:rFonts w:ascii="Arial" w:hAnsi="Arial" w:cs="Arial"/>
          <w:sz w:val="24"/>
          <w:szCs w:val="24"/>
        </w:rPr>
        <w:t>Cost: 100m</w:t>
      </w:r>
    </w:p>
    <w:p w14:paraId="0EAD24F8" w14:textId="0A0E9AA5" w:rsidR="004B6001" w:rsidRDefault="004B6001" w:rsidP="004B6001">
      <w:pPr>
        <w:pStyle w:val="ListParagraph"/>
        <w:numPr>
          <w:ilvl w:val="0"/>
          <w:numId w:val="36"/>
        </w:numPr>
        <w:spacing w:line="360" w:lineRule="auto"/>
        <w:jc w:val="both"/>
        <w:rPr>
          <w:rFonts w:ascii="Arial" w:hAnsi="Arial" w:cs="Arial"/>
          <w:sz w:val="24"/>
          <w:szCs w:val="24"/>
        </w:rPr>
      </w:pPr>
      <w:r w:rsidRPr="004B6001">
        <w:rPr>
          <w:rFonts w:ascii="Arial" w:hAnsi="Arial" w:cs="Arial"/>
          <w:sz w:val="24"/>
          <w:szCs w:val="24"/>
        </w:rPr>
        <w:t>Combined</w:t>
      </w:r>
      <w:r>
        <w:rPr>
          <w:rFonts w:ascii="Arial" w:hAnsi="Arial" w:cs="Arial"/>
          <w:sz w:val="24"/>
          <w:szCs w:val="24"/>
        </w:rPr>
        <w:t xml:space="preserve"> </w:t>
      </w:r>
      <w:r w:rsidRPr="004B6001">
        <w:rPr>
          <w:rFonts w:ascii="Arial" w:hAnsi="Arial" w:cs="Arial"/>
          <w:sz w:val="24"/>
          <w:szCs w:val="24"/>
        </w:rPr>
        <w:t>NPV= −8.30m + −1.98m = −10.28m</w:t>
      </w:r>
    </w:p>
    <w:p w14:paraId="08BC3E35" w14:textId="77777777" w:rsidR="004B6001" w:rsidRPr="004B6001" w:rsidRDefault="004B6001" w:rsidP="004B6001">
      <w:pPr>
        <w:spacing w:line="360" w:lineRule="auto"/>
        <w:jc w:val="both"/>
        <w:rPr>
          <w:rFonts w:ascii="Arial" w:hAnsi="Arial" w:cs="Arial"/>
          <w:b/>
          <w:bCs/>
          <w:sz w:val="24"/>
          <w:szCs w:val="24"/>
        </w:rPr>
      </w:pPr>
      <w:r w:rsidRPr="004B6001">
        <w:rPr>
          <w:rFonts w:ascii="Arial" w:hAnsi="Arial" w:cs="Arial"/>
          <w:b/>
          <w:bCs/>
          <w:sz w:val="24"/>
          <w:szCs w:val="24"/>
        </w:rPr>
        <w:t>The optimal combination:</w:t>
      </w:r>
    </w:p>
    <w:p w14:paraId="42A3CCF8" w14:textId="38AB29E8" w:rsidR="004B6001" w:rsidRDefault="004B6001" w:rsidP="004B6001">
      <w:pPr>
        <w:spacing w:line="360" w:lineRule="auto"/>
        <w:jc w:val="both"/>
        <w:rPr>
          <w:rFonts w:ascii="Arial" w:hAnsi="Arial" w:cs="Arial"/>
          <w:sz w:val="24"/>
          <w:szCs w:val="24"/>
        </w:rPr>
      </w:pPr>
      <w:r w:rsidRPr="004B6001">
        <w:rPr>
          <w:rFonts w:ascii="Arial" w:hAnsi="Arial" w:cs="Arial"/>
          <w:sz w:val="24"/>
          <w:szCs w:val="24"/>
        </w:rPr>
        <w:t xml:space="preserve">Within the capital rationing restriction of less than 100m, Project B and C provide the best combination. Why? The combination of Project B and Project C destroys the least value for shareholders. Combined NPV is-10.28m which is greater than others. Also, diversification-wise the combination of B and C forms a well-balanced portfolio. B </w:t>
      </w:r>
      <w:r w:rsidRPr="00A03C9B">
        <w:rPr>
          <w:rFonts w:ascii="Arial" w:hAnsi="Arial" w:cs="Arial"/>
          <w:sz w:val="24"/>
          <w:szCs w:val="24"/>
        </w:rPr>
        <w:t>represents the stability element- its cashflows are constant at 11m per annum and so</w:t>
      </w:r>
      <w:r w:rsidRPr="004B6001">
        <w:rPr>
          <w:rFonts w:ascii="Arial" w:hAnsi="Arial" w:cs="Arial"/>
          <w:sz w:val="24"/>
          <w:szCs w:val="24"/>
        </w:rPr>
        <w:t xml:space="preserve"> its liquidity for the company is well-predictable; C is the growth element- its cashflows are back-loaded and unstable but generates a far better overall nominal value(65m). So B could subsidise the slower start-up of </w:t>
      </w:r>
      <w:proofErr w:type="spellStart"/>
      <w:r w:rsidRPr="004B6001">
        <w:rPr>
          <w:rFonts w:ascii="Arial" w:hAnsi="Arial" w:cs="Arial"/>
          <w:sz w:val="24"/>
          <w:szCs w:val="24"/>
        </w:rPr>
        <w:t>C at</w:t>
      </w:r>
      <w:proofErr w:type="spellEnd"/>
      <w:r w:rsidRPr="004B6001">
        <w:rPr>
          <w:rFonts w:ascii="Arial" w:hAnsi="Arial" w:cs="Arial"/>
          <w:sz w:val="24"/>
          <w:szCs w:val="24"/>
        </w:rPr>
        <w:t xml:space="preserve"> Years 1 and 2 with its predictable cashflows and maintain stable cashflows.</w:t>
      </w:r>
    </w:p>
    <w:p w14:paraId="277202F2" w14:textId="77777777" w:rsidR="00264E8C" w:rsidRDefault="00264E8C" w:rsidP="004B6001">
      <w:pPr>
        <w:spacing w:line="360" w:lineRule="auto"/>
        <w:jc w:val="both"/>
        <w:rPr>
          <w:rFonts w:ascii="Arial" w:hAnsi="Arial" w:cs="Arial"/>
          <w:b/>
          <w:bCs/>
          <w:sz w:val="28"/>
          <w:szCs w:val="28"/>
        </w:rPr>
      </w:pPr>
    </w:p>
    <w:p w14:paraId="189DECB2" w14:textId="77365CAA" w:rsidR="00264E8C" w:rsidRPr="00264E8C" w:rsidRDefault="00264E8C" w:rsidP="004B6001">
      <w:pPr>
        <w:spacing w:line="360" w:lineRule="auto"/>
        <w:jc w:val="both"/>
        <w:rPr>
          <w:rFonts w:ascii="Arial" w:hAnsi="Arial" w:cs="Arial"/>
          <w:b/>
          <w:bCs/>
          <w:sz w:val="28"/>
          <w:szCs w:val="28"/>
        </w:rPr>
      </w:pPr>
      <w:r w:rsidRPr="00264E8C">
        <w:rPr>
          <w:rFonts w:ascii="Arial" w:hAnsi="Arial" w:cs="Arial"/>
          <w:b/>
          <w:bCs/>
          <w:sz w:val="28"/>
          <w:szCs w:val="28"/>
        </w:rPr>
        <w:t>Appendices</w:t>
      </w:r>
    </w:p>
    <w:p w14:paraId="4F282AC4" w14:textId="508348EE" w:rsidR="00264E8C" w:rsidRDefault="00561468" w:rsidP="004B6001">
      <w:pPr>
        <w:spacing w:line="360" w:lineRule="auto"/>
        <w:jc w:val="both"/>
        <w:rPr>
          <w:rFonts w:ascii="Arial" w:hAnsi="Arial" w:cs="Arial"/>
          <w:sz w:val="24"/>
          <w:szCs w:val="24"/>
        </w:rPr>
      </w:pPr>
      <w:r>
        <w:rPr>
          <w:noProof/>
        </w:rPr>
        <w:drawing>
          <wp:inline distT="0" distB="0" distL="0" distR="0" wp14:anchorId="5791A4BB" wp14:editId="27B47940">
            <wp:extent cx="2999509" cy="1759528"/>
            <wp:effectExtent l="0" t="0" r="10795" b="12700"/>
            <wp:docPr id="701680362" name="Chart 1">
              <a:extLst xmlns:a="http://schemas.openxmlformats.org/drawingml/2006/main">
                <a:ext uri="{FF2B5EF4-FFF2-40B4-BE49-F238E27FC236}">
                  <a16:creationId xmlns:a16="http://schemas.microsoft.com/office/drawing/2014/main" id="{00000000-0008-0000-0000-000002000000}"/>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9"/>
              </a:graphicData>
            </a:graphic>
          </wp:inline>
        </w:drawing>
      </w:r>
      <w:r w:rsidR="00264E8C">
        <w:rPr>
          <w:rFonts w:ascii="Arial" w:hAnsi="Arial" w:cs="Arial"/>
          <w:sz w:val="24"/>
          <w:szCs w:val="24"/>
        </w:rPr>
        <w:t xml:space="preserve">    </w:t>
      </w:r>
    </w:p>
    <w:p w14:paraId="73E2FE0F" w14:textId="3283C3E9" w:rsidR="009A6669" w:rsidRDefault="00561468" w:rsidP="004B6001">
      <w:pPr>
        <w:spacing w:line="360" w:lineRule="auto"/>
        <w:jc w:val="both"/>
        <w:rPr>
          <w:rFonts w:ascii="Arial" w:hAnsi="Arial" w:cs="Arial"/>
          <w:sz w:val="24"/>
          <w:szCs w:val="24"/>
        </w:rPr>
      </w:pPr>
      <w:r>
        <w:rPr>
          <w:noProof/>
        </w:rPr>
        <w:drawing>
          <wp:inline distT="0" distB="0" distL="0" distR="0" wp14:anchorId="03FF92CC" wp14:editId="2C658B48">
            <wp:extent cx="3830782" cy="1717964"/>
            <wp:effectExtent l="0" t="0" r="17780" b="15875"/>
            <wp:docPr id="846133749" name="Chart 1">
              <a:extLst xmlns:a="http://schemas.openxmlformats.org/drawingml/2006/main">
                <a:ext uri="{FF2B5EF4-FFF2-40B4-BE49-F238E27FC236}">
                  <a16:creationId xmlns:a16="http://schemas.microsoft.com/office/drawing/2014/main" id="{00000000-0008-0000-0000-000003000000}"/>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10"/>
              </a:graphicData>
            </a:graphic>
          </wp:inline>
        </w:drawing>
      </w:r>
    </w:p>
    <w:p w14:paraId="55DEA3EE" w14:textId="1A27D882" w:rsidR="00561468" w:rsidRDefault="00561468" w:rsidP="004B6001">
      <w:pPr>
        <w:spacing w:line="360" w:lineRule="auto"/>
        <w:jc w:val="both"/>
        <w:rPr>
          <w:rFonts w:ascii="Arial" w:hAnsi="Arial" w:cs="Arial"/>
          <w:sz w:val="24"/>
          <w:szCs w:val="24"/>
        </w:rPr>
      </w:pPr>
      <w:r>
        <w:rPr>
          <w:noProof/>
        </w:rPr>
        <w:lastRenderedPageBreak/>
        <w:drawing>
          <wp:inline distT="0" distB="0" distL="0" distR="0" wp14:anchorId="05A9B3BE" wp14:editId="642B33D7">
            <wp:extent cx="3830320" cy="1814945"/>
            <wp:effectExtent l="0" t="0" r="17780" b="13970"/>
            <wp:docPr id="1838908593" name="Chart 1">
              <a:extLst xmlns:a="http://schemas.openxmlformats.org/drawingml/2006/main">
                <a:ext uri="{FF2B5EF4-FFF2-40B4-BE49-F238E27FC236}">
                  <a16:creationId xmlns:a16="http://schemas.microsoft.com/office/drawing/2014/main" id="{00000000-0008-0000-0000-000004000000}"/>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11"/>
              </a:graphicData>
            </a:graphic>
          </wp:inline>
        </w:drawing>
      </w:r>
    </w:p>
    <w:p w14:paraId="456E4DA4" w14:textId="2143BF91" w:rsidR="00561468" w:rsidRPr="00561468" w:rsidRDefault="00561468" w:rsidP="004B6001">
      <w:pPr>
        <w:spacing w:line="360" w:lineRule="auto"/>
        <w:jc w:val="both"/>
        <w:rPr>
          <w:rFonts w:ascii="Arial" w:hAnsi="Arial" w:cs="Arial"/>
          <w:b/>
          <w:bCs/>
          <w:sz w:val="24"/>
          <w:szCs w:val="24"/>
        </w:rPr>
      </w:pPr>
      <w:r w:rsidRPr="00561468">
        <w:rPr>
          <w:rFonts w:ascii="Arial" w:hAnsi="Arial" w:cs="Arial"/>
          <w:b/>
          <w:bCs/>
          <w:sz w:val="24"/>
          <w:szCs w:val="24"/>
        </w:rPr>
        <w:t xml:space="preserve">As shown in Appendix </w:t>
      </w:r>
      <w:r>
        <w:rPr>
          <w:rFonts w:ascii="Arial" w:hAnsi="Arial" w:cs="Arial"/>
          <w:b/>
          <w:bCs/>
          <w:sz w:val="24"/>
          <w:szCs w:val="24"/>
        </w:rPr>
        <w:t>A</w:t>
      </w:r>
      <w:r w:rsidRPr="00561468">
        <w:rPr>
          <w:rFonts w:ascii="Arial" w:hAnsi="Arial" w:cs="Arial"/>
          <w:b/>
          <w:bCs/>
          <w:sz w:val="24"/>
          <w:szCs w:val="24"/>
        </w:rPr>
        <w:t xml:space="preserve"> (Figure 1), Tesla’s revenue growth stagnates after 2023, indicating a shift from expansion to consolidation.</w:t>
      </w:r>
    </w:p>
    <w:p w14:paraId="6C77B018" w14:textId="3C8E1DF0" w:rsidR="009A6669" w:rsidRPr="00561468" w:rsidRDefault="009A6669" w:rsidP="00561468">
      <w:pPr>
        <w:spacing w:line="360" w:lineRule="auto"/>
        <w:jc w:val="both"/>
        <w:rPr>
          <w:rFonts w:ascii="Arial" w:hAnsi="Arial" w:cs="Arial"/>
          <w:sz w:val="24"/>
          <w:szCs w:val="24"/>
        </w:rPr>
      </w:pPr>
      <w:r>
        <w:rPr>
          <w:rFonts w:ascii="Arial" w:hAnsi="Arial" w:cs="Arial"/>
          <w:sz w:val="24"/>
          <w:szCs w:val="24"/>
        </w:rPr>
        <w:t xml:space="preserve">      </w:t>
      </w:r>
      <w:r w:rsidRPr="009A6669">
        <w:rPr>
          <w:rFonts w:ascii="Arial" w:hAnsi="Arial" w:cs="Arial"/>
          <w:b/>
          <w:bCs/>
          <w:sz w:val="24"/>
          <w:szCs w:val="24"/>
        </w:rPr>
        <w:t>Introduction</w:t>
      </w:r>
    </w:p>
    <w:p w14:paraId="4F303E88" w14:textId="77777777" w:rsidR="009A6669" w:rsidRDefault="009A6669" w:rsidP="009A6669">
      <w:pPr>
        <w:spacing w:line="360" w:lineRule="auto"/>
        <w:ind w:left="360"/>
        <w:jc w:val="both"/>
        <w:rPr>
          <w:rFonts w:ascii="Arial" w:hAnsi="Arial" w:cs="Arial"/>
          <w:sz w:val="24"/>
          <w:szCs w:val="24"/>
        </w:rPr>
      </w:pPr>
      <w:r w:rsidRPr="009A6669">
        <w:rPr>
          <w:rFonts w:ascii="Arial" w:hAnsi="Arial" w:cs="Arial"/>
          <w:sz w:val="24"/>
          <w:szCs w:val="24"/>
        </w:rPr>
        <w:t>The modern, increasingly volatile macroeconomic climate demands that, on one hand, management maintain tight control over a firm's short-term cash position while, on the other, make and justify sophisticated, long-term strategic decisions.</w:t>
      </w:r>
    </w:p>
    <w:p w14:paraId="294AB3F6" w14:textId="7AF975FC" w:rsidR="009A6669" w:rsidRDefault="009A6669" w:rsidP="009A6669">
      <w:pPr>
        <w:spacing w:line="360" w:lineRule="auto"/>
        <w:ind w:left="360"/>
        <w:jc w:val="both"/>
        <w:rPr>
          <w:rFonts w:ascii="Arial" w:hAnsi="Arial" w:cs="Arial"/>
          <w:sz w:val="24"/>
          <w:szCs w:val="24"/>
        </w:rPr>
      </w:pPr>
      <w:r w:rsidRPr="009A6669">
        <w:rPr>
          <w:rFonts w:ascii="Arial" w:hAnsi="Arial" w:cs="Arial"/>
          <w:sz w:val="24"/>
          <w:szCs w:val="24"/>
        </w:rPr>
        <w:t xml:space="preserve">This document, providing a broad assessment of the firm's financial path, makes use of only fundamental data extracted from the income statement, balance sheet and cash flow statement to make an evaluation of the firm's financial position. </w:t>
      </w:r>
    </w:p>
    <w:p w14:paraId="6FE7F2B2" w14:textId="77777777" w:rsidR="009A6669" w:rsidRDefault="009A6669" w:rsidP="009A6669">
      <w:pPr>
        <w:spacing w:line="360" w:lineRule="auto"/>
        <w:ind w:left="360"/>
        <w:jc w:val="both"/>
        <w:rPr>
          <w:rFonts w:ascii="Arial" w:hAnsi="Arial" w:cs="Arial"/>
          <w:sz w:val="24"/>
          <w:szCs w:val="24"/>
        </w:rPr>
      </w:pPr>
      <w:r w:rsidRPr="009A6669">
        <w:rPr>
          <w:rFonts w:ascii="Arial" w:hAnsi="Arial" w:cs="Arial"/>
          <w:sz w:val="24"/>
          <w:szCs w:val="24"/>
        </w:rPr>
        <w:t xml:space="preserve">It examines fundamental principles of financial management, pinpoints key inefficiencies in the company's current cash operating cycle and suggests ways that specific working capital reforms can unlock cash currently tied up in the firm's assets and liabilities. </w:t>
      </w:r>
    </w:p>
    <w:p w14:paraId="043FDBE6" w14:textId="77777777" w:rsidR="009A6669" w:rsidRDefault="009A6669" w:rsidP="009A6669">
      <w:pPr>
        <w:spacing w:line="360" w:lineRule="auto"/>
        <w:ind w:left="360"/>
        <w:jc w:val="both"/>
        <w:rPr>
          <w:rFonts w:ascii="Arial" w:hAnsi="Arial" w:cs="Arial"/>
          <w:sz w:val="24"/>
          <w:szCs w:val="24"/>
        </w:rPr>
      </w:pPr>
    </w:p>
    <w:p w14:paraId="5DB1DC11" w14:textId="39811752" w:rsidR="009A6669" w:rsidRDefault="00D11EC3" w:rsidP="00D11EC3">
      <w:pPr>
        <w:spacing w:line="360" w:lineRule="auto"/>
        <w:jc w:val="both"/>
        <w:rPr>
          <w:rFonts w:ascii="Arial" w:hAnsi="Arial" w:cs="Arial"/>
          <w:sz w:val="24"/>
          <w:szCs w:val="24"/>
        </w:rPr>
      </w:pPr>
      <w:r>
        <w:rPr>
          <w:rFonts w:ascii="Arial" w:hAnsi="Arial" w:cs="Arial"/>
          <w:sz w:val="24"/>
          <w:szCs w:val="24"/>
        </w:rPr>
        <w:t xml:space="preserve"> </w:t>
      </w:r>
      <w:r w:rsidR="009A6669">
        <w:rPr>
          <w:noProof/>
        </w:rPr>
        <w:drawing>
          <wp:inline distT="0" distB="0" distL="0" distR="0" wp14:anchorId="7C93DF69" wp14:editId="43076837">
            <wp:extent cx="3311236" cy="2483537"/>
            <wp:effectExtent l="0" t="0" r="3810" b="0"/>
            <wp:docPr id="2119356614"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9"/>
                    <pic:cNvPicPr>
                      <a:picLocks noChangeAspect="1" noChangeArrowheads="1"/>
                    </pic:cNvPicPr>
                  </pic:nvPicPr>
                  <pic:blipFill>
                    <a:blip r:embed="rId12">
                      <a:extLst>
                        <a:ext uri="{28A0092B-C50C-407E-A947-70E740481C1C}">
                          <a14:useLocalDpi xmlns:a14="http://schemas.microsoft.com/office/drawing/2010/main" val="0"/>
                        </a:ext>
                      </a:extLst>
                    </a:blip>
                    <a:srcRect/>
                    <a:stretch>
                      <a:fillRect/>
                    </a:stretch>
                  </pic:blipFill>
                  <pic:spPr bwMode="auto">
                    <a:xfrm>
                      <a:off x="0" y="0"/>
                      <a:ext cx="3315339" cy="2486615"/>
                    </a:xfrm>
                    <a:prstGeom prst="rect">
                      <a:avLst/>
                    </a:prstGeom>
                    <a:noFill/>
                    <a:ln>
                      <a:noFill/>
                    </a:ln>
                  </pic:spPr>
                </pic:pic>
              </a:graphicData>
            </a:graphic>
          </wp:inline>
        </w:drawing>
      </w:r>
    </w:p>
    <w:p w14:paraId="44FD7FC5" w14:textId="7DFB1D34" w:rsidR="009A6669" w:rsidRPr="00D11EC3" w:rsidRDefault="00D11EC3" w:rsidP="00D11EC3">
      <w:pPr>
        <w:spacing w:line="360" w:lineRule="auto"/>
        <w:jc w:val="both"/>
        <w:rPr>
          <w:rFonts w:ascii="Arial" w:hAnsi="Arial" w:cs="Arial"/>
          <w:b/>
          <w:bCs/>
          <w:sz w:val="24"/>
          <w:szCs w:val="24"/>
        </w:rPr>
      </w:pPr>
      <w:r w:rsidRPr="00D11EC3">
        <w:rPr>
          <w:rFonts w:ascii="Arial" w:hAnsi="Arial" w:cs="Arial"/>
          <w:b/>
          <w:bCs/>
          <w:sz w:val="24"/>
          <w:szCs w:val="24"/>
        </w:rPr>
        <w:lastRenderedPageBreak/>
        <w:t>As</w:t>
      </w:r>
      <w:r>
        <w:rPr>
          <w:rFonts w:ascii="Arial" w:hAnsi="Arial" w:cs="Arial"/>
          <w:b/>
          <w:bCs/>
          <w:sz w:val="24"/>
          <w:szCs w:val="24"/>
        </w:rPr>
        <w:t xml:space="preserve"> </w:t>
      </w:r>
      <w:r w:rsidRPr="00D11EC3">
        <w:rPr>
          <w:rFonts w:ascii="Arial" w:hAnsi="Arial" w:cs="Arial"/>
          <w:b/>
          <w:bCs/>
          <w:sz w:val="24"/>
          <w:szCs w:val="24"/>
        </w:rPr>
        <w:t>shown</w:t>
      </w:r>
      <w:r>
        <w:rPr>
          <w:rFonts w:ascii="Arial" w:hAnsi="Arial" w:cs="Arial"/>
          <w:b/>
          <w:bCs/>
          <w:sz w:val="24"/>
          <w:szCs w:val="24"/>
        </w:rPr>
        <w:t xml:space="preserve"> </w:t>
      </w:r>
      <w:r w:rsidRPr="00D11EC3">
        <w:rPr>
          <w:rFonts w:ascii="Arial" w:hAnsi="Arial" w:cs="Arial"/>
          <w:b/>
          <w:bCs/>
          <w:sz w:val="24"/>
          <w:szCs w:val="24"/>
        </w:rPr>
        <w:t>in</w:t>
      </w:r>
      <w:r>
        <w:rPr>
          <w:rFonts w:ascii="Arial" w:hAnsi="Arial" w:cs="Arial"/>
          <w:b/>
          <w:bCs/>
          <w:sz w:val="24"/>
          <w:szCs w:val="24"/>
        </w:rPr>
        <w:t xml:space="preserve"> </w:t>
      </w:r>
      <w:r w:rsidRPr="00D11EC3">
        <w:rPr>
          <w:rFonts w:ascii="Arial" w:hAnsi="Arial" w:cs="Arial"/>
          <w:b/>
          <w:bCs/>
          <w:sz w:val="24"/>
          <w:szCs w:val="24"/>
        </w:rPr>
        <w:t>Appendix</w:t>
      </w:r>
      <w:r>
        <w:rPr>
          <w:rFonts w:ascii="Arial" w:hAnsi="Arial" w:cs="Arial"/>
          <w:b/>
          <w:bCs/>
          <w:sz w:val="24"/>
          <w:szCs w:val="24"/>
        </w:rPr>
        <w:t xml:space="preserve"> </w:t>
      </w:r>
      <w:r w:rsidRPr="00D11EC3">
        <w:rPr>
          <w:rFonts w:ascii="Arial" w:hAnsi="Arial" w:cs="Arial"/>
          <w:b/>
          <w:bCs/>
          <w:sz w:val="24"/>
          <w:szCs w:val="24"/>
        </w:rPr>
        <w:t>B</w:t>
      </w:r>
      <w:r>
        <w:rPr>
          <w:rFonts w:ascii="Arial" w:hAnsi="Arial" w:cs="Arial"/>
          <w:b/>
          <w:bCs/>
          <w:sz w:val="24"/>
          <w:szCs w:val="24"/>
        </w:rPr>
        <w:t xml:space="preserve"> </w:t>
      </w:r>
      <w:r w:rsidR="005043BF">
        <w:rPr>
          <w:rFonts w:ascii="Arial" w:hAnsi="Arial" w:cs="Arial"/>
          <w:b/>
          <w:bCs/>
          <w:sz w:val="24"/>
          <w:szCs w:val="24"/>
        </w:rPr>
        <w:t xml:space="preserve">: </w:t>
      </w:r>
      <w:r w:rsidR="009A6669" w:rsidRPr="00D11EC3">
        <w:rPr>
          <w:rFonts w:ascii="Arial" w:hAnsi="Arial" w:cs="Arial"/>
          <w:b/>
          <w:bCs/>
          <w:sz w:val="24"/>
          <w:szCs w:val="24"/>
        </w:rPr>
        <w:t>Capital Rationing Summary (100m Budget Constraints)</w:t>
      </w:r>
    </w:p>
    <w:p w14:paraId="09C957A3" w14:textId="7E4AB3D1" w:rsidR="00AB1DB1" w:rsidRPr="00AB1DB1" w:rsidRDefault="00561468" w:rsidP="00D11EC3">
      <w:pPr>
        <w:spacing w:line="360" w:lineRule="auto"/>
        <w:jc w:val="both"/>
        <w:rPr>
          <w:rFonts w:ascii="Arial" w:hAnsi="Arial" w:cs="Arial"/>
          <w:b/>
          <w:bCs/>
          <w:sz w:val="24"/>
          <w:szCs w:val="24"/>
        </w:rPr>
      </w:pPr>
      <w:r>
        <w:rPr>
          <w:rFonts w:ascii="Arial" w:hAnsi="Arial" w:cs="Arial"/>
          <w:sz w:val="24"/>
          <w:szCs w:val="24"/>
        </w:rPr>
        <w:t xml:space="preserve">     </w:t>
      </w:r>
      <w:r w:rsidR="00AB1DB1" w:rsidRPr="00AB1DB1">
        <w:rPr>
          <w:rFonts w:ascii="Arial" w:hAnsi="Arial" w:cs="Arial"/>
          <w:b/>
          <w:bCs/>
          <w:sz w:val="24"/>
          <w:szCs w:val="24"/>
        </w:rPr>
        <w:t>Conclusion</w:t>
      </w:r>
    </w:p>
    <w:p w14:paraId="3CC64E64" w14:textId="4070872D" w:rsidR="0080592C" w:rsidRDefault="00AB1DB1" w:rsidP="00D11EC3">
      <w:pPr>
        <w:spacing w:line="360" w:lineRule="auto"/>
        <w:ind w:left="360"/>
        <w:jc w:val="both"/>
        <w:rPr>
          <w:rFonts w:ascii="Arial" w:hAnsi="Arial" w:cs="Arial"/>
          <w:sz w:val="24"/>
          <w:szCs w:val="24"/>
        </w:rPr>
      </w:pPr>
      <w:r w:rsidRPr="00AB1DB1">
        <w:rPr>
          <w:rFonts w:ascii="Arial" w:hAnsi="Arial" w:cs="Arial"/>
          <w:sz w:val="24"/>
          <w:szCs w:val="24"/>
        </w:rPr>
        <w:t xml:space="preserve">The firm faces intense market competition along with limited capital. These two problems can only be addressed by a very tight, multiple level management strategy of finances. As </w:t>
      </w:r>
      <w:proofErr w:type="spellStart"/>
      <w:r w:rsidRPr="00AB1DB1">
        <w:rPr>
          <w:rFonts w:ascii="Arial" w:hAnsi="Arial" w:cs="Arial"/>
          <w:sz w:val="24"/>
          <w:szCs w:val="24"/>
        </w:rPr>
        <w:t>analyzed</w:t>
      </w:r>
      <w:proofErr w:type="spellEnd"/>
      <w:r w:rsidRPr="00AB1DB1">
        <w:rPr>
          <w:rFonts w:ascii="Arial" w:hAnsi="Arial" w:cs="Arial"/>
          <w:sz w:val="24"/>
          <w:szCs w:val="24"/>
        </w:rPr>
        <w:t xml:space="preserve"> above, tightening receivable policies and managing inventory will be first and required steps to prevent liquidity drain and to reduce cash operating cycle. Based on this, it is necessary to restructure the business- either divesting or injecting equity- in order to decrease the gearing and increase </w:t>
      </w:r>
      <w:proofErr w:type="spellStart"/>
      <w:r w:rsidRPr="00AB1DB1">
        <w:rPr>
          <w:rFonts w:ascii="Arial" w:hAnsi="Arial" w:cs="Arial"/>
          <w:sz w:val="24"/>
          <w:szCs w:val="24"/>
        </w:rPr>
        <w:t>maneuverability</w:t>
      </w:r>
      <w:proofErr w:type="spellEnd"/>
      <w:r w:rsidRPr="00AB1DB1">
        <w:rPr>
          <w:rFonts w:ascii="Arial" w:hAnsi="Arial" w:cs="Arial"/>
          <w:sz w:val="24"/>
          <w:szCs w:val="24"/>
        </w:rPr>
        <w:t xml:space="preserve"> to face external turbulence. </w:t>
      </w:r>
    </w:p>
    <w:p w14:paraId="687AD8C7" w14:textId="77777777" w:rsidR="00AB1DB1" w:rsidRDefault="00AB1DB1" w:rsidP="00AB1DB1">
      <w:pPr>
        <w:spacing w:line="360" w:lineRule="auto"/>
        <w:ind w:left="360"/>
        <w:jc w:val="both"/>
        <w:rPr>
          <w:rFonts w:ascii="Arial" w:hAnsi="Arial" w:cs="Arial"/>
          <w:sz w:val="24"/>
          <w:szCs w:val="24"/>
        </w:rPr>
      </w:pPr>
    </w:p>
    <w:p w14:paraId="7C82161A" w14:textId="10495627" w:rsidR="00AB1DB1" w:rsidRDefault="00AB1DB1" w:rsidP="00AB1DB1">
      <w:pPr>
        <w:spacing w:line="360" w:lineRule="auto"/>
        <w:ind w:left="360"/>
        <w:jc w:val="both"/>
        <w:rPr>
          <w:rFonts w:ascii="Arial" w:hAnsi="Arial" w:cs="Arial"/>
          <w:b/>
          <w:bCs/>
          <w:sz w:val="28"/>
          <w:szCs w:val="28"/>
        </w:rPr>
      </w:pPr>
      <w:r w:rsidRPr="00AB1DB1">
        <w:rPr>
          <w:rFonts w:ascii="Arial" w:hAnsi="Arial" w:cs="Arial"/>
          <w:b/>
          <w:bCs/>
          <w:sz w:val="28"/>
          <w:szCs w:val="28"/>
        </w:rPr>
        <w:t>References</w:t>
      </w:r>
    </w:p>
    <w:p w14:paraId="4932F68C" w14:textId="77777777" w:rsidR="00AB1DB1" w:rsidRPr="00AB1DB1" w:rsidRDefault="00AB1DB1" w:rsidP="00A03C9B">
      <w:pPr>
        <w:pStyle w:val="ListParagraph"/>
        <w:numPr>
          <w:ilvl w:val="0"/>
          <w:numId w:val="40"/>
        </w:numPr>
        <w:spacing w:line="360" w:lineRule="auto"/>
        <w:jc w:val="both"/>
        <w:rPr>
          <w:rFonts w:ascii="Arial" w:hAnsi="Arial" w:cs="Arial"/>
          <w:sz w:val="24"/>
          <w:szCs w:val="24"/>
        </w:rPr>
      </w:pPr>
      <w:r w:rsidRPr="00AB1DB1">
        <w:rPr>
          <w:rFonts w:ascii="Arial" w:hAnsi="Arial" w:cs="Arial"/>
          <w:sz w:val="24"/>
          <w:szCs w:val="24"/>
        </w:rPr>
        <w:t>Bloomberg Intelligence (2023) Electric vehicle market outlook 2024-2028. New York: Bloomberg L.P.</w:t>
      </w:r>
    </w:p>
    <w:p w14:paraId="1DC7577F" w14:textId="04DED1E2" w:rsidR="00AB1DB1" w:rsidRPr="00AB1DB1" w:rsidRDefault="00AB1DB1" w:rsidP="00A03C9B">
      <w:pPr>
        <w:pStyle w:val="ListParagraph"/>
        <w:numPr>
          <w:ilvl w:val="0"/>
          <w:numId w:val="40"/>
        </w:numPr>
        <w:spacing w:line="360" w:lineRule="auto"/>
        <w:jc w:val="both"/>
        <w:rPr>
          <w:rFonts w:ascii="Arial" w:hAnsi="Arial" w:cs="Arial"/>
          <w:sz w:val="24"/>
          <w:szCs w:val="24"/>
        </w:rPr>
      </w:pPr>
      <w:r w:rsidRPr="00AB1DB1">
        <w:rPr>
          <w:rFonts w:ascii="Arial" w:hAnsi="Arial" w:cs="Arial"/>
          <w:sz w:val="24"/>
          <w:szCs w:val="24"/>
        </w:rPr>
        <w:t xml:space="preserve">Campisi, M. And </w:t>
      </w:r>
      <w:proofErr w:type="spellStart"/>
      <w:r w:rsidRPr="00AB1DB1">
        <w:rPr>
          <w:rFonts w:ascii="Arial" w:hAnsi="Arial" w:cs="Arial"/>
          <w:sz w:val="24"/>
          <w:szCs w:val="24"/>
        </w:rPr>
        <w:t>Palacin</w:t>
      </w:r>
      <w:proofErr w:type="spellEnd"/>
      <w:r w:rsidRPr="00AB1DB1">
        <w:rPr>
          <w:rFonts w:ascii="Arial" w:hAnsi="Arial" w:cs="Arial"/>
          <w:sz w:val="24"/>
          <w:szCs w:val="24"/>
        </w:rPr>
        <w:t>, R. (2022) 'Supply chain challenges and strategic solutions in electric vehicle manufacturing', International Journal of Automotive Technology and Management, 22(1), pp. 15-32.</w:t>
      </w:r>
    </w:p>
    <w:p w14:paraId="22DAC34F" w14:textId="77777777" w:rsidR="00AB1DB1" w:rsidRPr="00AB1DB1" w:rsidRDefault="00AB1DB1" w:rsidP="00A03C9B">
      <w:pPr>
        <w:pStyle w:val="ListParagraph"/>
        <w:numPr>
          <w:ilvl w:val="0"/>
          <w:numId w:val="40"/>
        </w:numPr>
        <w:spacing w:line="360" w:lineRule="auto"/>
        <w:jc w:val="both"/>
        <w:rPr>
          <w:rFonts w:ascii="Arial" w:hAnsi="Arial" w:cs="Arial"/>
          <w:sz w:val="24"/>
          <w:szCs w:val="24"/>
        </w:rPr>
      </w:pPr>
      <w:r w:rsidRPr="00AB1DB1">
        <w:rPr>
          <w:rFonts w:ascii="Arial" w:hAnsi="Arial" w:cs="Arial"/>
          <w:sz w:val="24"/>
          <w:szCs w:val="24"/>
        </w:rPr>
        <w:t xml:space="preserve">Damodaran, A. (2024) The Dark Side of Valuation: Valuing Young, Distressed, and Complex Businesses. 4th </w:t>
      </w:r>
      <w:proofErr w:type="spellStart"/>
      <w:r w:rsidRPr="00AB1DB1">
        <w:rPr>
          <w:rFonts w:ascii="Arial" w:hAnsi="Arial" w:cs="Arial"/>
          <w:sz w:val="24"/>
          <w:szCs w:val="24"/>
        </w:rPr>
        <w:t>edn</w:t>
      </w:r>
      <w:proofErr w:type="spellEnd"/>
      <w:r w:rsidRPr="00AB1DB1">
        <w:rPr>
          <w:rFonts w:ascii="Arial" w:hAnsi="Arial" w:cs="Arial"/>
          <w:sz w:val="24"/>
          <w:szCs w:val="24"/>
        </w:rPr>
        <w:t>. Upper Saddle River: FT Press.</w:t>
      </w:r>
    </w:p>
    <w:p w14:paraId="0095DCEE" w14:textId="77777777" w:rsidR="00AB1DB1" w:rsidRPr="00AB1DB1" w:rsidRDefault="00AB1DB1" w:rsidP="00A03C9B">
      <w:pPr>
        <w:pStyle w:val="ListParagraph"/>
        <w:numPr>
          <w:ilvl w:val="0"/>
          <w:numId w:val="40"/>
        </w:numPr>
        <w:spacing w:line="360" w:lineRule="auto"/>
        <w:jc w:val="both"/>
        <w:rPr>
          <w:rFonts w:ascii="Arial" w:hAnsi="Arial" w:cs="Arial"/>
          <w:sz w:val="24"/>
          <w:szCs w:val="24"/>
        </w:rPr>
      </w:pPr>
      <w:proofErr w:type="spellStart"/>
      <w:r w:rsidRPr="00AB1DB1">
        <w:rPr>
          <w:rFonts w:ascii="Arial" w:hAnsi="Arial" w:cs="Arial"/>
          <w:sz w:val="24"/>
          <w:szCs w:val="24"/>
        </w:rPr>
        <w:t>Elkarkasy</w:t>
      </w:r>
      <w:proofErr w:type="spellEnd"/>
      <w:r w:rsidRPr="00AB1DB1">
        <w:rPr>
          <w:rFonts w:ascii="Arial" w:hAnsi="Arial" w:cs="Arial"/>
          <w:sz w:val="24"/>
          <w:szCs w:val="24"/>
        </w:rPr>
        <w:t xml:space="preserve">, O. (2023) Tesla Inc. Equity valuation. Undergraduate Thesis. </w:t>
      </w:r>
      <w:proofErr w:type="spellStart"/>
      <w:r w:rsidRPr="00AB1DB1">
        <w:rPr>
          <w:rFonts w:ascii="Arial" w:hAnsi="Arial" w:cs="Arial"/>
          <w:sz w:val="24"/>
          <w:szCs w:val="24"/>
        </w:rPr>
        <w:t>Universitat</w:t>
      </w:r>
      <w:proofErr w:type="spellEnd"/>
      <w:r w:rsidRPr="00AB1DB1">
        <w:rPr>
          <w:rFonts w:ascii="Arial" w:hAnsi="Arial" w:cs="Arial"/>
          <w:sz w:val="24"/>
          <w:szCs w:val="24"/>
        </w:rPr>
        <w:t xml:space="preserve"> </w:t>
      </w:r>
      <w:proofErr w:type="spellStart"/>
      <w:r w:rsidRPr="00AB1DB1">
        <w:rPr>
          <w:rFonts w:ascii="Arial" w:hAnsi="Arial" w:cs="Arial"/>
          <w:sz w:val="24"/>
          <w:szCs w:val="24"/>
        </w:rPr>
        <w:t>Autnoma</w:t>
      </w:r>
      <w:proofErr w:type="spellEnd"/>
      <w:r w:rsidRPr="00AB1DB1">
        <w:rPr>
          <w:rFonts w:ascii="Arial" w:hAnsi="Arial" w:cs="Arial"/>
          <w:sz w:val="24"/>
          <w:szCs w:val="24"/>
        </w:rPr>
        <w:t xml:space="preserve"> de Barcelona. Available at: https://ddd.uab.cat/pub/tfg/2022/tfg1378850/TFGOMAR_ELKARKASY.pdf (Accessed: 10 April 2026).</w:t>
      </w:r>
    </w:p>
    <w:p w14:paraId="2A55F331" w14:textId="4269DCF2" w:rsidR="00A03C9B" w:rsidRDefault="00AB1DB1" w:rsidP="00A03C9B">
      <w:pPr>
        <w:pStyle w:val="ListParagraph"/>
        <w:numPr>
          <w:ilvl w:val="0"/>
          <w:numId w:val="40"/>
        </w:numPr>
        <w:spacing w:line="360" w:lineRule="auto"/>
        <w:jc w:val="both"/>
        <w:rPr>
          <w:rFonts w:ascii="Arial" w:hAnsi="Arial" w:cs="Arial"/>
          <w:sz w:val="24"/>
          <w:szCs w:val="24"/>
        </w:rPr>
      </w:pPr>
      <w:r w:rsidRPr="00AB1DB1">
        <w:rPr>
          <w:rFonts w:ascii="Arial" w:hAnsi="Arial" w:cs="Arial"/>
          <w:sz w:val="24"/>
          <w:szCs w:val="24"/>
        </w:rPr>
        <w:t>Huang, W. (2023) 'Understanding Tesla's Financial Strength: Analysis of Financial Reports and DuPont Analysis', Highlights in Business, Economics and Management, 6, pp. 250-261.</w:t>
      </w:r>
    </w:p>
    <w:p w14:paraId="3E5F7591" w14:textId="77777777" w:rsidR="00A03C9B" w:rsidRPr="00A03C9B" w:rsidRDefault="00A03C9B" w:rsidP="00A03C9B">
      <w:pPr>
        <w:pStyle w:val="ListParagraph"/>
        <w:numPr>
          <w:ilvl w:val="0"/>
          <w:numId w:val="40"/>
        </w:numPr>
        <w:spacing w:line="360" w:lineRule="auto"/>
        <w:jc w:val="both"/>
        <w:rPr>
          <w:rFonts w:ascii="Arial" w:hAnsi="Arial" w:cs="Arial"/>
          <w:sz w:val="24"/>
          <w:szCs w:val="24"/>
        </w:rPr>
      </w:pPr>
      <w:r w:rsidRPr="00A03C9B">
        <w:rPr>
          <w:rFonts w:ascii="Arial" w:hAnsi="Arial" w:cs="Arial"/>
          <w:sz w:val="24"/>
          <w:szCs w:val="24"/>
        </w:rPr>
        <w:t>International Energy Agency (2023) Global EV outlook 2023. Paris: IEA Publications.</w:t>
      </w:r>
    </w:p>
    <w:p w14:paraId="57F0641F" w14:textId="77777777" w:rsidR="00A03C9B" w:rsidRPr="00A03C9B" w:rsidRDefault="00A03C9B" w:rsidP="00A03C9B">
      <w:pPr>
        <w:pStyle w:val="ListParagraph"/>
        <w:numPr>
          <w:ilvl w:val="0"/>
          <w:numId w:val="40"/>
        </w:numPr>
        <w:spacing w:line="360" w:lineRule="auto"/>
        <w:jc w:val="both"/>
        <w:rPr>
          <w:rFonts w:ascii="Arial" w:hAnsi="Arial" w:cs="Arial"/>
          <w:sz w:val="24"/>
          <w:szCs w:val="24"/>
        </w:rPr>
      </w:pPr>
      <w:r w:rsidRPr="00A03C9B">
        <w:rPr>
          <w:rFonts w:ascii="Arial" w:hAnsi="Arial" w:cs="Arial"/>
          <w:sz w:val="24"/>
          <w:szCs w:val="24"/>
        </w:rPr>
        <w:t xml:space="preserve">Lin, P., Lu, Y. And Xu, Z. (2022) 'Tesla's Dilemma and Future Development Trends', Proceedings of the 2022 7th International Conference on Financial </w:t>
      </w:r>
      <w:r w:rsidRPr="00A03C9B">
        <w:rPr>
          <w:rFonts w:ascii="Arial" w:hAnsi="Arial" w:cs="Arial"/>
          <w:sz w:val="24"/>
          <w:szCs w:val="24"/>
        </w:rPr>
        <w:lastRenderedPageBreak/>
        <w:t>Innovation and Economic Development (ICFIED 2022), Atlantis Press, pp. 2174-2180.</w:t>
      </w:r>
    </w:p>
    <w:p w14:paraId="2C8D4A76" w14:textId="77777777" w:rsidR="00A03C9B" w:rsidRPr="00A03C9B" w:rsidRDefault="00A03C9B" w:rsidP="00A03C9B">
      <w:pPr>
        <w:pStyle w:val="ListParagraph"/>
        <w:numPr>
          <w:ilvl w:val="0"/>
          <w:numId w:val="40"/>
        </w:numPr>
        <w:spacing w:line="360" w:lineRule="auto"/>
        <w:jc w:val="both"/>
        <w:rPr>
          <w:rFonts w:ascii="Arial" w:hAnsi="Arial" w:cs="Arial"/>
          <w:sz w:val="24"/>
          <w:szCs w:val="24"/>
        </w:rPr>
      </w:pPr>
      <w:r w:rsidRPr="00A03C9B">
        <w:rPr>
          <w:rFonts w:ascii="Arial" w:hAnsi="Arial" w:cs="Arial"/>
          <w:sz w:val="24"/>
          <w:szCs w:val="24"/>
        </w:rPr>
        <w:t>Moubray, L. (2024) 'Tesla's strategic shift towards a software-driven model', Journal of Automotive Software Systems, 18(3), pp. 95-111.</w:t>
      </w:r>
    </w:p>
    <w:p w14:paraId="7C0C49ED" w14:textId="77777777" w:rsidR="00A03C9B" w:rsidRPr="00A03C9B" w:rsidRDefault="00A03C9B" w:rsidP="00A03C9B">
      <w:pPr>
        <w:pStyle w:val="ListParagraph"/>
        <w:numPr>
          <w:ilvl w:val="0"/>
          <w:numId w:val="40"/>
        </w:numPr>
        <w:spacing w:line="360" w:lineRule="auto"/>
        <w:jc w:val="both"/>
        <w:rPr>
          <w:rFonts w:ascii="Arial" w:hAnsi="Arial" w:cs="Arial"/>
          <w:sz w:val="24"/>
          <w:szCs w:val="24"/>
        </w:rPr>
      </w:pPr>
      <w:r w:rsidRPr="00A03C9B">
        <w:rPr>
          <w:rFonts w:ascii="Arial" w:hAnsi="Arial" w:cs="Arial"/>
          <w:sz w:val="24"/>
          <w:szCs w:val="24"/>
        </w:rPr>
        <w:t>Tesla, Inc. (2023) Annual Report (Form 10-K) for the fiscal year ended December 31, 2022. Washington, D.C.: U.S. Securities and Exchange Commission.</w:t>
      </w:r>
    </w:p>
    <w:p w14:paraId="0649F08F" w14:textId="1C0335EE" w:rsidR="00F60AE1" w:rsidRDefault="00A03C9B" w:rsidP="00A03C9B">
      <w:pPr>
        <w:pStyle w:val="ListParagraph"/>
        <w:numPr>
          <w:ilvl w:val="0"/>
          <w:numId w:val="40"/>
        </w:numPr>
        <w:spacing w:line="360" w:lineRule="auto"/>
        <w:jc w:val="both"/>
        <w:rPr>
          <w:rFonts w:ascii="Arial" w:hAnsi="Arial" w:cs="Arial"/>
          <w:sz w:val="24"/>
          <w:szCs w:val="24"/>
        </w:rPr>
      </w:pPr>
      <w:r w:rsidRPr="00A03C9B">
        <w:rPr>
          <w:rFonts w:ascii="Arial" w:hAnsi="Arial" w:cs="Arial"/>
          <w:sz w:val="24"/>
          <w:szCs w:val="24"/>
        </w:rPr>
        <w:t>Tesla, Inc. (2024) Annual Report (Form 10-K) for the fiscal year ended December 31, 2023. Washington, D.C.: U.S. Securities and Exchange Commission.</w:t>
      </w:r>
    </w:p>
    <w:p w14:paraId="0F7FF3AC" w14:textId="77777777" w:rsidR="00A03C9B" w:rsidRPr="00A03C9B" w:rsidRDefault="00A03C9B" w:rsidP="00A03C9B">
      <w:pPr>
        <w:pStyle w:val="ListParagraph"/>
        <w:numPr>
          <w:ilvl w:val="0"/>
          <w:numId w:val="40"/>
        </w:numPr>
        <w:spacing w:line="360" w:lineRule="auto"/>
        <w:jc w:val="both"/>
        <w:rPr>
          <w:rFonts w:ascii="Arial" w:hAnsi="Arial" w:cs="Arial"/>
          <w:sz w:val="24"/>
          <w:szCs w:val="24"/>
        </w:rPr>
      </w:pPr>
      <w:r w:rsidRPr="00A03C9B">
        <w:rPr>
          <w:rFonts w:ascii="Arial" w:hAnsi="Arial" w:cs="Arial"/>
          <w:sz w:val="24"/>
          <w:szCs w:val="24"/>
        </w:rPr>
        <w:t>University of Iowa Henry Fund (2025) Tesla, Inc. (TSLA) Equity Valuation Report. Iowa City: Tippie College of Business. [Accessed 10 April 2026]. Available from https://henryfund.tippie.uiowa.edu.</w:t>
      </w:r>
    </w:p>
    <w:p w14:paraId="20B5E43C" w14:textId="77777777" w:rsidR="00A03C9B" w:rsidRPr="00A03C9B" w:rsidRDefault="00A03C9B" w:rsidP="00A03C9B">
      <w:pPr>
        <w:pStyle w:val="ListParagraph"/>
        <w:numPr>
          <w:ilvl w:val="0"/>
          <w:numId w:val="40"/>
        </w:numPr>
        <w:spacing w:line="360" w:lineRule="auto"/>
        <w:jc w:val="both"/>
        <w:rPr>
          <w:rFonts w:ascii="Arial" w:hAnsi="Arial" w:cs="Arial"/>
          <w:sz w:val="24"/>
          <w:szCs w:val="24"/>
        </w:rPr>
      </w:pPr>
      <w:r w:rsidRPr="00A03C9B">
        <w:rPr>
          <w:rFonts w:ascii="Arial" w:hAnsi="Arial" w:cs="Arial"/>
          <w:sz w:val="24"/>
          <w:szCs w:val="24"/>
        </w:rPr>
        <w:t>Wong, T. And Zhang, P. (2022) 'Navigating supply chain risks in the EV industry: A case study of Tesla', Journal of Supply Chain Management, 56(2), pp. 120-134.</w:t>
      </w:r>
    </w:p>
    <w:p w14:paraId="40DDE385" w14:textId="77777777" w:rsidR="00A03C9B" w:rsidRPr="00A03C9B" w:rsidRDefault="00A03C9B" w:rsidP="00A03C9B">
      <w:pPr>
        <w:pStyle w:val="ListParagraph"/>
        <w:numPr>
          <w:ilvl w:val="0"/>
          <w:numId w:val="40"/>
        </w:numPr>
        <w:spacing w:line="360" w:lineRule="auto"/>
        <w:jc w:val="both"/>
        <w:rPr>
          <w:rFonts w:ascii="Arial" w:hAnsi="Arial" w:cs="Arial"/>
          <w:sz w:val="24"/>
          <w:szCs w:val="24"/>
        </w:rPr>
      </w:pPr>
      <w:r w:rsidRPr="00A03C9B">
        <w:rPr>
          <w:rFonts w:ascii="Arial" w:hAnsi="Arial" w:cs="Arial"/>
          <w:sz w:val="24"/>
          <w:szCs w:val="24"/>
        </w:rPr>
        <w:t>Zeng, Y. Et al. (2024) 'Analysis of Financial Performance for Tesla: Based on Comparison with General Motors, Ford, and Toyota', Advances in Economics, Management and Political Sciences, 145(1), pp. 45-58.</w:t>
      </w:r>
    </w:p>
    <w:p w14:paraId="70E9A2A6" w14:textId="77777777" w:rsidR="00A03C9B" w:rsidRPr="00A03C9B" w:rsidRDefault="00A03C9B" w:rsidP="00A03C9B">
      <w:pPr>
        <w:pStyle w:val="ListParagraph"/>
        <w:numPr>
          <w:ilvl w:val="0"/>
          <w:numId w:val="40"/>
        </w:numPr>
        <w:spacing w:line="360" w:lineRule="auto"/>
        <w:jc w:val="both"/>
        <w:rPr>
          <w:rFonts w:ascii="Arial" w:hAnsi="Arial" w:cs="Arial"/>
          <w:sz w:val="24"/>
          <w:szCs w:val="24"/>
        </w:rPr>
      </w:pPr>
      <w:r w:rsidRPr="00A03C9B">
        <w:rPr>
          <w:rFonts w:ascii="Arial" w:hAnsi="Arial" w:cs="Arial"/>
          <w:sz w:val="24"/>
          <w:szCs w:val="24"/>
        </w:rPr>
        <w:t>Zhao, L. (2021) 'Capital Structure of New Energy Automobile Industry: Analysis Based on Tesla and Nio', in Proceedings of the 4th International Conference on Economic Management and Green Development. Springer, pp. 236-246.</w:t>
      </w:r>
    </w:p>
    <w:p w14:paraId="323423AC" w14:textId="14CBD16A" w:rsidR="00A03C9B" w:rsidRPr="00A03C9B" w:rsidRDefault="00A03C9B" w:rsidP="00A03C9B">
      <w:pPr>
        <w:pStyle w:val="ListParagraph"/>
        <w:numPr>
          <w:ilvl w:val="0"/>
          <w:numId w:val="40"/>
        </w:numPr>
        <w:spacing w:line="360" w:lineRule="auto"/>
        <w:jc w:val="both"/>
        <w:rPr>
          <w:rFonts w:ascii="Arial" w:hAnsi="Arial" w:cs="Arial"/>
          <w:sz w:val="24"/>
          <w:szCs w:val="24"/>
        </w:rPr>
      </w:pPr>
      <w:r w:rsidRPr="00A03C9B">
        <w:rPr>
          <w:rFonts w:ascii="Arial" w:hAnsi="Arial" w:cs="Arial"/>
          <w:sz w:val="24"/>
          <w:szCs w:val="24"/>
        </w:rPr>
        <w:t>Zhou, X. And Lin, Z. (2023) 'The rise of Chinese EV manufacturers and their impact on global markets', Journal of Global Automotive Trends, 29(2), pp. 45-59.</w:t>
      </w:r>
    </w:p>
    <w:p w14:paraId="2757D5EC" w14:textId="77777777" w:rsidR="00F60AE1" w:rsidRDefault="00F60AE1" w:rsidP="0071388E">
      <w:pPr>
        <w:rPr>
          <w:rFonts w:ascii="Arial" w:hAnsi="Arial" w:cs="Arial"/>
          <w:sz w:val="24"/>
          <w:szCs w:val="24"/>
        </w:rPr>
      </w:pPr>
    </w:p>
    <w:p w14:paraId="31139B06" w14:textId="77777777" w:rsidR="0071388E" w:rsidRPr="0071388E" w:rsidRDefault="0071388E" w:rsidP="0071388E">
      <w:pPr>
        <w:rPr>
          <w:rFonts w:ascii="Arial" w:hAnsi="Arial" w:cs="Arial"/>
          <w:b/>
          <w:bCs/>
          <w:sz w:val="24"/>
          <w:szCs w:val="24"/>
        </w:rPr>
      </w:pPr>
    </w:p>
    <w:sectPr w:rsidR="0071388E" w:rsidRPr="0071388E">
      <w:footerReference w:type="default" r:id="rId13"/>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7EAC4434" w14:textId="77777777" w:rsidR="00E040D0" w:rsidRDefault="00E040D0" w:rsidP="00DD10E9">
      <w:pPr>
        <w:spacing w:after="0" w:line="240" w:lineRule="auto"/>
      </w:pPr>
      <w:r>
        <w:separator/>
      </w:r>
    </w:p>
  </w:endnote>
  <w:endnote w:type="continuationSeparator" w:id="0">
    <w:p w14:paraId="650DA64B" w14:textId="77777777" w:rsidR="00E040D0" w:rsidRDefault="00E040D0" w:rsidP="00DD10E9">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Mangal">
    <w:panose1 w:val="02040503050203030202"/>
    <w:charset w:val="00"/>
    <w:family w:val="roman"/>
    <w:pitch w:val="variable"/>
    <w:sig w:usb0="00008003" w:usb1="00000000" w:usb2="00000000" w:usb3="00000000" w:csb0="00000001" w:csb1="00000000"/>
  </w:font>
  <w:font w:name="Calibri Light">
    <w:panose1 w:val="020F0302020204030204"/>
    <w:charset w:val="00"/>
    <w:family w:val="swiss"/>
    <w:pitch w:val="variable"/>
    <w:sig w:usb0="E4002EFF" w:usb1="C200247B" w:usb2="00000009" w:usb3="00000000" w:csb0="000001FF" w:csb1="00000000"/>
  </w:font>
  <w:font w:name="Arial">
    <w:panose1 w:val="020B0604020202020204"/>
    <w:charset w:val="00"/>
    <w:family w:val="swiss"/>
    <w:pitch w:val="variable"/>
    <w:sig w:usb0="E0002EFF" w:usb1="C000785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348463497"/>
      <w:docPartObj>
        <w:docPartGallery w:val="Page Numbers (Bottom of Page)"/>
        <w:docPartUnique/>
      </w:docPartObj>
    </w:sdtPr>
    <w:sdtEndPr>
      <w:rPr>
        <w:noProof/>
      </w:rPr>
    </w:sdtEndPr>
    <w:sdtContent>
      <w:p w14:paraId="4B910D80" w14:textId="570125E9" w:rsidR="00DD10E9" w:rsidRDefault="00DD10E9">
        <w:pPr>
          <w:pStyle w:val="Footer"/>
        </w:pPr>
        <w:r>
          <w:fldChar w:fldCharType="begin"/>
        </w:r>
        <w:r>
          <w:instrText xml:space="preserve"> PAGE   \* MERGEFORMAT </w:instrText>
        </w:r>
        <w:r>
          <w:fldChar w:fldCharType="separate"/>
        </w:r>
        <w:r>
          <w:rPr>
            <w:noProof/>
          </w:rPr>
          <w:t>2</w:t>
        </w:r>
        <w:r>
          <w:rPr>
            <w:noProof/>
          </w:rPr>
          <w:fldChar w:fldCharType="end"/>
        </w:r>
      </w:p>
    </w:sdtContent>
  </w:sdt>
  <w:p w14:paraId="3D91E1B0" w14:textId="77777777" w:rsidR="00DD10E9" w:rsidRDefault="00DD10E9">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362306D0" w14:textId="77777777" w:rsidR="00E040D0" w:rsidRDefault="00E040D0" w:rsidP="00DD10E9">
      <w:pPr>
        <w:spacing w:after="0" w:line="240" w:lineRule="auto"/>
      </w:pPr>
      <w:r>
        <w:separator/>
      </w:r>
    </w:p>
  </w:footnote>
  <w:footnote w:type="continuationSeparator" w:id="0">
    <w:p w14:paraId="56369116" w14:textId="77777777" w:rsidR="00E040D0" w:rsidRDefault="00E040D0" w:rsidP="00DD10E9">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4E036F8"/>
    <w:multiLevelType w:val="multilevel"/>
    <w:tmpl w:val="FC38A76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15:restartNumberingAfterBreak="0">
    <w:nsid w:val="06F46EAB"/>
    <w:multiLevelType w:val="multilevel"/>
    <w:tmpl w:val="C3088A4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 w15:restartNumberingAfterBreak="0">
    <w:nsid w:val="07F324A7"/>
    <w:multiLevelType w:val="hybridMultilevel"/>
    <w:tmpl w:val="9EA80AE0"/>
    <w:lvl w:ilvl="0" w:tplc="40090001">
      <w:start w:val="1"/>
      <w:numFmt w:val="bullet"/>
      <w:lvlText w:val=""/>
      <w:lvlJc w:val="left"/>
      <w:pPr>
        <w:ind w:left="1080" w:hanging="360"/>
      </w:pPr>
      <w:rPr>
        <w:rFonts w:ascii="Symbol" w:hAnsi="Symbol" w:hint="default"/>
      </w:rPr>
    </w:lvl>
    <w:lvl w:ilvl="1" w:tplc="40090003" w:tentative="1">
      <w:start w:val="1"/>
      <w:numFmt w:val="bullet"/>
      <w:lvlText w:val="o"/>
      <w:lvlJc w:val="left"/>
      <w:pPr>
        <w:ind w:left="1800" w:hanging="360"/>
      </w:pPr>
      <w:rPr>
        <w:rFonts w:ascii="Courier New" w:hAnsi="Courier New" w:cs="Courier New" w:hint="default"/>
      </w:rPr>
    </w:lvl>
    <w:lvl w:ilvl="2" w:tplc="40090005" w:tentative="1">
      <w:start w:val="1"/>
      <w:numFmt w:val="bullet"/>
      <w:lvlText w:val=""/>
      <w:lvlJc w:val="left"/>
      <w:pPr>
        <w:ind w:left="2520" w:hanging="360"/>
      </w:pPr>
      <w:rPr>
        <w:rFonts w:ascii="Wingdings" w:hAnsi="Wingdings" w:hint="default"/>
      </w:rPr>
    </w:lvl>
    <w:lvl w:ilvl="3" w:tplc="40090001" w:tentative="1">
      <w:start w:val="1"/>
      <w:numFmt w:val="bullet"/>
      <w:lvlText w:val=""/>
      <w:lvlJc w:val="left"/>
      <w:pPr>
        <w:ind w:left="3240" w:hanging="360"/>
      </w:pPr>
      <w:rPr>
        <w:rFonts w:ascii="Symbol" w:hAnsi="Symbol" w:hint="default"/>
      </w:rPr>
    </w:lvl>
    <w:lvl w:ilvl="4" w:tplc="40090003" w:tentative="1">
      <w:start w:val="1"/>
      <w:numFmt w:val="bullet"/>
      <w:lvlText w:val="o"/>
      <w:lvlJc w:val="left"/>
      <w:pPr>
        <w:ind w:left="3960" w:hanging="360"/>
      </w:pPr>
      <w:rPr>
        <w:rFonts w:ascii="Courier New" w:hAnsi="Courier New" w:cs="Courier New" w:hint="default"/>
      </w:rPr>
    </w:lvl>
    <w:lvl w:ilvl="5" w:tplc="40090005" w:tentative="1">
      <w:start w:val="1"/>
      <w:numFmt w:val="bullet"/>
      <w:lvlText w:val=""/>
      <w:lvlJc w:val="left"/>
      <w:pPr>
        <w:ind w:left="4680" w:hanging="360"/>
      </w:pPr>
      <w:rPr>
        <w:rFonts w:ascii="Wingdings" w:hAnsi="Wingdings" w:hint="default"/>
      </w:rPr>
    </w:lvl>
    <w:lvl w:ilvl="6" w:tplc="40090001" w:tentative="1">
      <w:start w:val="1"/>
      <w:numFmt w:val="bullet"/>
      <w:lvlText w:val=""/>
      <w:lvlJc w:val="left"/>
      <w:pPr>
        <w:ind w:left="5400" w:hanging="360"/>
      </w:pPr>
      <w:rPr>
        <w:rFonts w:ascii="Symbol" w:hAnsi="Symbol" w:hint="default"/>
      </w:rPr>
    </w:lvl>
    <w:lvl w:ilvl="7" w:tplc="40090003" w:tentative="1">
      <w:start w:val="1"/>
      <w:numFmt w:val="bullet"/>
      <w:lvlText w:val="o"/>
      <w:lvlJc w:val="left"/>
      <w:pPr>
        <w:ind w:left="6120" w:hanging="360"/>
      </w:pPr>
      <w:rPr>
        <w:rFonts w:ascii="Courier New" w:hAnsi="Courier New" w:cs="Courier New" w:hint="default"/>
      </w:rPr>
    </w:lvl>
    <w:lvl w:ilvl="8" w:tplc="40090005" w:tentative="1">
      <w:start w:val="1"/>
      <w:numFmt w:val="bullet"/>
      <w:lvlText w:val=""/>
      <w:lvlJc w:val="left"/>
      <w:pPr>
        <w:ind w:left="6840" w:hanging="360"/>
      </w:pPr>
      <w:rPr>
        <w:rFonts w:ascii="Wingdings" w:hAnsi="Wingdings" w:hint="default"/>
      </w:rPr>
    </w:lvl>
  </w:abstractNum>
  <w:abstractNum w:abstractNumId="3" w15:restartNumberingAfterBreak="0">
    <w:nsid w:val="09FA7862"/>
    <w:multiLevelType w:val="hybridMultilevel"/>
    <w:tmpl w:val="54CED7E8"/>
    <w:lvl w:ilvl="0" w:tplc="40090001">
      <w:start w:val="1"/>
      <w:numFmt w:val="bullet"/>
      <w:lvlText w:val=""/>
      <w:lvlJc w:val="left"/>
      <w:pPr>
        <w:ind w:left="720" w:hanging="360"/>
      </w:pPr>
      <w:rPr>
        <w:rFonts w:ascii="Symbol" w:hAnsi="Symbol" w:hint="default"/>
      </w:r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abstractNum w:abstractNumId="4" w15:restartNumberingAfterBreak="0">
    <w:nsid w:val="0EF32DB0"/>
    <w:multiLevelType w:val="hybridMultilevel"/>
    <w:tmpl w:val="053C451A"/>
    <w:lvl w:ilvl="0" w:tplc="40090001">
      <w:start w:val="1"/>
      <w:numFmt w:val="bullet"/>
      <w:lvlText w:val=""/>
      <w:lvlJc w:val="left"/>
      <w:pPr>
        <w:ind w:left="1080" w:hanging="360"/>
      </w:pPr>
      <w:rPr>
        <w:rFonts w:ascii="Symbol" w:hAnsi="Symbol" w:hint="default"/>
      </w:rPr>
    </w:lvl>
    <w:lvl w:ilvl="1" w:tplc="40090003" w:tentative="1">
      <w:start w:val="1"/>
      <w:numFmt w:val="bullet"/>
      <w:lvlText w:val="o"/>
      <w:lvlJc w:val="left"/>
      <w:pPr>
        <w:ind w:left="1800" w:hanging="360"/>
      </w:pPr>
      <w:rPr>
        <w:rFonts w:ascii="Courier New" w:hAnsi="Courier New" w:cs="Courier New" w:hint="default"/>
      </w:rPr>
    </w:lvl>
    <w:lvl w:ilvl="2" w:tplc="40090005" w:tentative="1">
      <w:start w:val="1"/>
      <w:numFmt w:val="bullet"/>
      <w:lvlText w:val=""/>
      <w:lvlJc w:val="left"/>
      <w:pPr>
        <w:ind w:left="2520" w:hanging="360"/>
      </w:pPr>
      <w:rPr>
        <w:rFonts w:ascii="Wingdings" w:hAnsi="Wingdings" w:hint="default"/>
      </w:rPr>
    </w:lvl>
    <w:lvl w:ilvl="3" w:tplc="40090001" w:tentative="1">
      <w:start w:val="1"/>
      <w:numFmt w:val="bullet"/>
      <w:lvlText w:val=""/>
      <w:lvlJc w:val="left"/>
      <w:pPr>
        <w:ind w:left="3240" w:hanging="360"/>
      </w:pPr>
      <w:rPr>
        <w:rFonts w:ascii="Symbol" w:hAnsi="Symbol" w:hint="default"/>
      </w:rPr>
    </w:lvl>
    <w:lvl w:ilvl="4" w:tplc="40090003" w:tentative="1">
      <w:start w:val="1"/>
      <w:numFmt w:val="bullet"/>
      <w:lvlText w:val="o"/>
      <w:lvlJc w:val="left"/>
      <w:pPr>
        <w:ind w:left="3960" w:hanging="360"/>
      </w:pPr>
      <w:rPr>
        <w:rFonts w:ascii="Courier New" w:hAnsi="Courier New" w:cs="Courier New" w:hint="default"/>
      </w:rPr>
    </w:lvl>
    <w:lvl w:ilvl="5" w:tplc="40090005" w:tentative="1">
      <w:start w:val="1"/>
      <w:numFmt w:val="bullet"/>
      <w:lvlText w:val=""/>
      <w:lvlJc w:val="left"/>
      <w:pPr>
        <w:ind w:left="4680" w:hanging="360"/>
      </w:pPr>
      <w:rPr>
        <w:rFonts w:ascii="Wingdings" w:hAnsi="Wingdings" w:hint="default"/>
      </w:rPr>
    </w:lvl>
    <w:lvl w:ilvl="6" w:tplc="40090001" w:tentative="1">
      <w:start w:val="1"/>
      <w:numFmt w:val="bullet"/>
      <w:lvlText w:val=""/>
      <w:lvlJc w:val="left"/>
      <w:pPr>
        <w:ind w:left="5400" w:hanging="360"/>
      </w:pPr>
      <w:rPr>
        <w:rFonts w:ascii="Symbol" w:hAnsi="Symbol" w:hint="default"/>
      </w:rPr>
    </w:lvl>
    <w:lvl w:ilvl="7" w:tplc="40090003" w:tentative="1">
      <w:start w:val="1"/>
      <w:numFmt w:val="bullet"/>
      <w:lvlText w:val="o"/>
      <w:lvlJc w:val="left"/>
      <w:pPr>
        <w:ind w:left="6120" w:hanging="360"/>
      </w:pPr>
      <w:rPr>
        <w:rFonts w:ascii="Courier New" w:hAnsi="Courier New" w:cs="Courier New" w:hint="default"/>
      </w:rPr>
    </w:lvl>
    <w:lvl w:ilvl="8" w:tplc="40090005" w:tentative="1">
      <w:start w:val="1"/>
      <w:numFmt w:val="bullet"/>
      <w:lvlText w:val=""/>
      <w:lvlJc w:val="left"/>
      <w:pPr>
        <w:ind w:left="6840" w:hanging="360"/>
      </w:pPr>
      <w:rPr>
        <w:rFonts w:ascii="Wingdings" w:hAnsi="Wingdings" w:hint="default"/>
      </w:rPr>
    </w:lvl>
  </w:abstractNum>
  <w:abstractNum w:abstractNumId="5" w15:restartNumberingAfterBreak="0">
    <w:nsid w:val="108A307D"/>
    <w:multiLevelType w:val="hybridMultilevel"/>
    <w:tmpl w:val="E4C62246"/>
    <w:lvl w:ilvl="0" w:tplc="40090001">
      <w:start w:val="1"/>
      <w:numFmt w:val="bullet"/>
      <w:lvlText w:val=""/>
      <w:lvlJc w:val="left"/>
      <w:pPr>
        <w:ind w:left="1080" w:hanging="360"/>
      </w:pPr>
      <w:rPr>
        <w:rFonts w:ascii="Symbol" w:hAnsi="Symbol" w:hint="default"/>
      </w:rPr>
    </w:lvl>
    <w:lvl w:ilvl="1" w:tplc="40090003" w:tentative="1">
      <w:start w:val="1"/>
      <w:numFmt w:val="bullet"/>
      <w:lvlText w:val="o"/>
      <w:lvlJc w:val="left"/>
      <w:pPr>
        <w:ind w:left="1800" w:hanging="360"/>
      </w:pPr>
      <w:rPr>
        <w:rFonts w:ascii="Courier New" w:hAnsi="Courier New" w:cs="Courier New" w:hint="default"/>
      </w:rPr>
    </w:lvl>
    <w:lvl w:ilvl="2" w:tplc="40090005" w:tentative="1">
      <w:start w:val="1"/>
      <w:numFmt w:val="bullet"/>
      <w:lvlText w:val=""/>
      <w:lvlJc w:val="left"/>
      <w:pPr>
        <w:ind w:left="2520" w:hanging="360"/>
      </w:pPr>
      <w:rPr>
        <w:rFonts w:ascii="Wingdings" w:hAnsi="Wingdings" w:hint="default"/>
      </w:rPr>
    </w:lvl>
    <w:lvl w:ilvl="3" w:tplc="40090001" w:tentative="1">
      <w:start w:val="1"/>
      <w:numFmt w:val="bullet"/>
      <w:lvlText w:val=""/>
      <w:lvlJc w:val="left"/>
      <w:pPr>
        <w:ind w:left="3240" w:hanging="360"/>
      </w:pPr>
      <w:rPr>
        <w:rFonts w:ascii="Symbol" w:hAnsi="Symbol" w:hint="default"/>
      </w:rPr>
    </w:lvl>
    <w:lvl w:ilvl="4" w:tplc="40090003" w:tentative="1">
      <w:start w:val="1"/>
      <w:numFmt w:val="bullet"/>
      <w:lvlText w:val="o"/>
      <w:lvlJc w:val="left"/>
      <w:pPr>
        <w:ind w:left="3960" w:hanging="360"/>
      </w:pPr>
      <w:rPr>
        <w:rFonts w:ascii="Courier New" w:hAnsi="Courier New" w:cs="Courier New" w:hint="default"/>
      </w:rPr>
    </w:lvl>
    <w:lvl w:ilvl="5" w:tplc="40090005" w:tentative="1">
      <w:start w:val="1"/>
      <w:numFmt w:val="bullet"/>
      <w:lvlText w:val=""/>
      <w:lvlJc w:val="left"/>
      <w:pPr>
        <w:ind w:left="4680" w:hanging="360"/>
      </w:pPr>
      <w:rPr>
        <w:rFonts w:ascii="Wingdings" w:hAnsi="Wingdings" w:hint="default"/>
      </w:rPr>
    </w:lvl>
    <w:lvl w:ilvl="6" w:tplc="40090001" w:tentative="1">
      <w:start w:val="1"/>
      <w:numFmt w:val="bullet"/>
      <w:lvlText w:val=""/>
      <w:lvlJc w:val="left"/>
      <w:pPr>
        <w:ind w:left="5400" w:hanging="360"/>
      </w:pPr>
      <w:rPr>
        <w:rFonts w:ascii="Symbol" w:hAnsi="Symbol" w:hint="default"/>
      </w:rPr>
    </w:lvl>
    <w:lvl w:ilvl="7" w:tplc="40090003" w:tentative="1">
      <w:start w:val="1"/>
      <w:numFmt w:val="bullet"/>
      <w:lvlText w:val="o"/>
      <w:lvlJc w:val="left"/>
      <w:pPr>
        <w:ind w:left="6120" w:hanging="360"/>
      </w:pPr>
      <w:rPr>
        <w:rFonts w:ascii="Courier New" w:hAnsi="Courier New" w:cs="Courier New" w:hint="default"/>
      </w:rPr>
    </w:lvl>
    <w:lvl w:ilvl="8" w:tplc="40090005" w:tentative="1">
      <w:start w:val="1"/>
      <w:numFmt w:val="bullet"/>
      <w:lvlText w:val=""/>
      <w:lvlJc w:val="left"/>
      <w:pPr>
        <w:ind w:left="6840" w:hanging="360"/>
      </w:pPr>
      <w:rPr>
        <w:rFonts w:ascii="Wingdings" w:hAnsi="Wingdings" w:hint="default"/>
      </w:rPr>
    </w:lvl>
  </w:abstractNum>
  <w:abstractNum w:abstractNumId="6" w15:restartNumberingAfterBreak="0">
    <w:nsid w:val="134C76BD"/>
    <w:multiLevelType w:val="multilevel"/>
    <w:tmpl w:val="27E83D3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7" w15:restartNumberingAfterBreak="0">
    <w:nsid w:val="18896F0E"/>
    <w:multiLevelType w:val="hybridMultilevel"/>
    <w:tmpl w:val="5ACCBC3C"/>
    <w:lvl w:ilvl="0" w:tplc="40090001">
      <w:start w:val="1"/>
      <w:numFmt w:val="bullet"/>
      <w:lvlText w:val=""/>
      <w:lvlJc w:val="left"/>
      <w:pPr>
        <w:ind w:left="720" w:hanging="360"/>
      </w:pPr>
      <w:rPr>
        <w:rFonts w:ascii="Symbol" w:hAnsi="Symbol" w:hint="default"/>
      </w:r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abstractNum w:abstractNumId="8" w15:restartNumberingAfterBreak="0">
    <w:nsid w:val="18F52CFC"/>
    <w:multiLevelType w:val="hybridMultilevel"/>
    <w:tmpl w:val="E02CB7DA"/>
    <w:lvl w:ilvl="0" w:tplc="40090001">
      <w:start w:val="1"/>
      <w:numFmt w:val="bullet"/>
      <w:lvlText w:val=""/>
      <w:lvlJc w:val="left"/>
      <w:pPr>
        <w:ind w:left="720" w:hanging="360"/>
      </w:pPr>
      <w:rPr>
        <w:rFonts w:ascii="Symbol" w:hAnsi="Symbol" w:hint="default"/>
      </w:r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abstractNum w:abstractNumId="9" w15:restartNumberingAfterBreak="0">
    <w:nsid w:val="1E0A24A6"/>
    <w:multiLevelType w:val="hybridMultilevel"/>
    <w:tmpl w:val="72966652"/>
    <w:lvl w:ilvl="0" w:tplc="40090001">
      <w:start w:val="1"/>
      <w:numFmt w:val="bullet"/>
      <w:lvlText w:val=""/>
      <w:lvlJc w:val="left"/>
      <w:pPr>
        <w:ind w:left="720" w:hanging="360"/>
      </w:pPr>
      <w:rPr>
        <w:rFonts w:ascii="Symbol" w:hAnsi="Symbol" w:hint="default"/>
      </w:r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abstractNum w:abstractNumId="10" w15:restartNumberingAfterBreak="0">
    <w:nsid w:val="1F1B7A1F"/>
    <w:multiLevelType w:val="hybridMultilevel"/>
    <w:tmpl w:val="71F8B47E"/>
    <w:lvl w:ilvl="0" w:tplc="40090001">
      <w:start w:val="1"/>
      <w:numFmt w:val="bullet"/>
      <w:lvlText w:val=""/>
      <w:lvlJc w:val="left"/>
      <w:pPr>
        <w:ind w:left="1080" w:hanging="360"/>
      </w:pPr>
      <w:rPr>
        <w:rFonts w:ascii="Symbol" w:hAnsi="Symbol" w:hint="default"/>
      </w:rPr>
    </w:lvl>
    <w:lvl w:ilvl="1" w:tplc="40090003" w:tentative="1">
      <w:start w:val="1"/>
      <w:numFmt w:val="bullet"/>
      <w:lvlText w:val="o"/>
      <w:lvlJc w:val="left"/>
      <w:pPr>
        <w:ind w:left="1800" w:hanging="360"/>
      </w:pPr>
      <w:rPr>
        <w:rFonts w:ascii="Courier New" w:hAnsi="Courier New" w:cs="Courier New" w:hint="default"/>
      </w:rPr>
    </w:lvl>
    <w:lvl w:ilvl="2" w:tplc="40090005" w:tentative="1">
      <w:start w:val="1"/>
      <w:numFmt w:val="bullet"/>
      <w:lvlText w:val=""/>
      <w:lvlJc w:val="left"/>
      <w:pPr>
        <w:ind w:left="2520" w:hanging="360"/>
      </w:pPr>
      <w:rPr>
        <w:rFonts w:ascii="Wingdings" w:hAnsi="Wingdings" w:hint="default"/>
      </w:rPr>
    </w:lvl>
    <w:lvl w:ilvl="3" w:tplc="40090001" w:tentative="1">
      <w:start w:val="1"/>
      <w:numFmt w:val="bullet"/>
      <w:lvlText w:val=""/>
      <w:lvlJc w:val="left"/>
      <w:pPr>
        <w:ind w:left="3240" w:hanging="360"/>
      </w:pPr>
      <w:rPr>
        <w:rFonts w:ascii="Symbol" w:hAnsi="Symbol" w:hint="default"/>
      </w:rPr>
    </w:lvl>
    <w:lvl w:ilvl="4" w:tplc="40090003" w:tentative="1">
      <w:start w:val="1"/>
      <w:numFmt w:val="bullet"/>
      <w:lvlText w:val="o"/>
      <w:lvlJc w:val="left"/>
      <w:pPr>
        <w:ind w:left="3960" w:hanging="360"/>
      </w:pPr>
      <w:rPr>
        <w:rFonts w:ascii="Courier New" w:hAnsi="Courier New" w:cs="Courier New" w:hint="default"/>
      </w:rPr>
    </w:lvl>
    <w:lvl w:ilvl="5" w:tplc="40090005" w:tentative="1">
      <w:start w:val="1"/>
      <w:numFmt w:val="bullet"/>
      <w:lvlText w:val=""/>
      <w:lvlJc w:val="left"/>
      <w:pPr>
        <w:ind w:left="4680" w:hanging="360"/>
      </w:pPr>
      <w:rPr>
        <w:rFonts w:ascii="Wingdings" w:hAnsi="Wingdings" w:hint="default"/>
      </w:rPr>
    </w:lvl>
    <w:lvl w:ilvl="6" w:tplc="40090001" w:tentative="1">
      <w:start w:val="1"/>
      <w:numFmt w:val="bullet"/>
      <w:lvlText w:val=""/>
      <w:lvlJc w:val="left"/>
      <w:pPr>
        <w:ind w:left="5400" w:hanging="360"/>
      </w:pPr>
      <w:rPr>
        <w:rFonts w:ascii="Symbol" w:hAnsi="Symbol" w:hint="default"/>
      </w:rPr>
    </w:lvl>
    <w:lvl w:ilvl="7" w:tplc="40090003" w:tentative="1">
      <w:start w:val="1"/>
      <w:numFmt w:val="bullet"/>
      <w:lvlText w:val="o"/>
      <w:lvlJc w:val="left"/>
      <w:pPr>
        <w:ind w:left="6120" w:hanging="360"/>
      </w:pPr>
      <w:rPr>
        <w:rFonts w:ascii="Courier New" w:hAnsi="Courier New" w:cs="Courier New" w:hint="default"/>
      </w:rPr>
    </w:lvl>
    <w:lvl w:ilvl="8" w:tplc="40090005" w:tentative="1">
      <w:start w:val="1"/>
      <w:numFmt w:val="bullet"/>
      <w:lvlText w:val=""/>
      <w:lvlJc w:val="left"/>
      <w:pPr>
        <w:ind w:left="6840" w:hanging="360"/>
      </w:pPr>
      <w:rPr>
        <w:rFonts w:ascii="Wingdings" w:hAnsi="Wingdings" w:hint="default"/>
      </w:rPr>
    </w:lvl>
  </w:abstractNum>
  <w:abstractNum w:abstractNumId="11" w15:restartNumberingAfterBreak="0">
    <w:nsid w:val="21306605"/>
    <w:multiLevelType w:val="hybridMultilevel"/>
    <w:tmpl w:val="2D2654FA"/>
    <w:lvl w:ilvl="0" w:tplc="40090001">
      <w:start w:val="1"/>
      <w:numFmt w:val="bullet"/>
      <w:lvlText w:val=""/>
      <w:lvlJc w:val="left"/>
      <w:pPr>
        <w:ind w:left="720" w:hanging="360"/>
      </w:pPr>
      <w:rPr>
        <w:rFonts w:ascii="Symbol" w:hAnsi="Symbol" w:hint="default"/>
      </w:r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abstractNum w:abstractNumId="12" w15:restartNumberingAfterBreak="0">
    <w:nsid w:val="22AB3488"/>
    <w:multiLevelType w:val="multilevel"/>
    <w:tmpl w:val="FEC695C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3" w15:restartNumberingAfterBreak="0">
    <w:nsid w:val="248236A5"/>
    <w:multiLevelType w:val="hybridMultilevel"/>
    <w:tmpl w:val="1CBA8532"/>
    <w:lvl w:ilvl="0" w:tplc="40090001">
      <w:start w:val="1"/>
      <w:numFmt w:val="bullet"/>
      <w:lvlText w:val=""/>
      <w:lvlJc w:val="left"/>
      <w:pPr>
        <w:ind w:left="720" w:hanging="360"/>
      </w:pPr>
      <w:rPr>
        <w:rFonts w:ascii="Symbol" w:hAnsi="Symbol" w:hint="default"/>
      </w:r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abstractNum w:abstractNumId="14" w15:restartNumberingAfterBreak="0">
    <w:nsid w:val="28DE7F55"/>
    <w:multiLevelType w:val="hybridMultilevel"/>
    <w:tmpl w:val="4E36E534"/>
    <w:lvl w:ilvl="0" w:tplc="40090001">
      <w:start w:val="1"/>
      <w:numFmt w:val="bullet"/>
      <w:lvlText w:val=""/>
      <w:lvlJc w:val="left"/>
      <w:pPr>
        <w:ind w:left="1080" w:hanging="360"/>
      </w:pPr>
      <w:rPr>
        <w:rFonts w:ascii="Symbol" w:hAnsi="Symbol" w:hint="default"/>
      </w:rPr>
    </w:lvl>
    <w:lvl w:ilvl="1" w:tplc="40090003" w:tentative="1">
      <w:start w:val="1"/>
      <w:numFmt w:val="bullet"/>
      <w:lvlText w:val="o"/>
      <w:lvlJc w:val="left"/>
      <w:pPr>
        <w:ind w:left="1800" w:hanging="360"/>
      </w:pPr>
      <w:rPr>
        <w:rFonts w:ascii="Courier New" w:hAnsi="Courier New" w:cs="Courier New" w:hint="default"/>
      </w:rPr>
    </w:lvl>
    <w:lvl w:ilvl="2" w:tplc="40090005" w:tentative="1">
      <w:start w:val="1"/>
      <w:numFmt w:val="bullet"/>
      <w:lvlText w:val=""/>
      <w:lvlJc w:val="left"/>
      <w:pPr>
        <w:ind w:left="2520" w:hanging="360"/>
      </w:pPr>
      <w:rPr>
        <w:rFonts w:ascii="Wingdings" w:hAnsi="Wingdings" w:hint="default"/>
      </w:rPr>
    </w:lvl>
    <w:lvl w:ilvl="3" w:tplc="40090001" w:tentative="1">
      <w:start w:val="1"/>
      <w:numFmt w:val="bullet"/>
      <w:lvlText w:val=""/>
      <w:lvlJc w:val="left"/>
      <w:pPr>
        <w:ind w:left="3240" w:hanging="360"/>
      </w:pPr>
      <w:rPr>
        <w:rFonts w:ascii="Symbol" w:hAnsi="Symbol" w:hint="default"/>
      </w:rPr>
    </w:lvl>
    <w:lvl w:ilvl="4" w:tplc="40090003" w:tentative="1">
      <w:start w:val="1"/>
      <w:numFmt w:val="bullet"/>
      <w:lvlText w:val="o"/>
      <w:lvlJc w:val="left"/>
      <w:pPr>
        <w:ind w:left="3960" w:hanging="360"/>
      </w:pPr>
      <w:rPr>
        <w:rFonts w:ascii="Courier New" w:hAnsi="Courier New" w:cs="Courier New" w:hint="default"/>
      </w:rPr>
    </w:lvl>
    <w:lvl w:ilvl="5" w:tplc="40090005" w:tentative="1">
      <w:start w:val="1"/>
      <w:numFmt w:val="bullet"/>
      <w:lvlText w:val=""/>
      <w:lvlJc w:val="left"/>
      <w:pPr>
        <w:ind w:left="4680" w:hanging="360"/>
      </w:pPr>
      <w:rPr>
        <w:rFonts w:ascii="Wingdings" w:hAnsi="Wingdings" w:hint="default"/>
      </w:rPr>
    </w:lvl>
    <w:lvl w:ilvl="6" w:tplc="40090001" w:tentative="1">
      <w:start w:val="1"/>
      <w:numFmt w:val="bullet"/>
      <w:lvlText w:val=""/>
      <w:lvlJc w:val="left"/>
      <w:pPr>
        <w:ind w:left="5400" w:hanging="360"/>
      </w:pPr>
      <w:rPr>
        <w:rFonts w:ascii="Symbol" w:hAnsi="Symbol" w:hint="default"/>
      </w:rPr>
    </w:lvl>
    <w:lvl w:ilvl="7" w:tplc="40090003" w:tentative="1">
      <w:start w:val="1"/>
      <w:numFmt w:val="bullet"/>
      <w:lvlText w:val="o"/>
      <w:lvlJc w:val="left"/>
      <w:pPr>
        <w:ind w:left="6120" w:hanging="360"/>
      </w:pPr>
      <w:rPr>
        <w:rFonts w:ascii="Courier New" w:hAnsi="Courier New" w:cs="Courier New" w:hint="default"/>
      </w:rPr>
    </w:lvl>
    <w:lvl w:ilvl="8" w:tplc="40090005" w:tentative="1">
      <w:start w:val="1"/>
      <w:numFmt w:val="bullet"/>
      <w:lvlText w:val=""/>
      <w:lvlJc w:val="left"/>
      <w:pPr>
        <w:ind w:left="6840" w:hanging="360"/>
      </w:pPr>
      <w:rPr>
        <w:rFonts w:ascii="Wingdings" w:hAnsi="Wingdings" w:hint="default"/>
      </w:rPr>
    </w:lvl>
  </w:abstractNum>
  <w:abstractNum w:abstractNumId="15" w15:restartNumberingAfterBreak="0">
    <w:nsid w:val="2A20503C"/>
    <w:multiLevelType w:val="hybridMultilevel"/>
    <w:tmpl w:val="8F4A6BEA"/>
    <w:lvl w:ilvl="0" w:tplc="40090001">
      <w:start w:val="1"/>
      <w:numFmt w:val="bullet"/>
      <w:lvlText w:val=""/>
      <w:lvlJc w:val="left"/>
      <w:pPr>
        <w:ind w:left="720" w:hanging="360"/>
      </w:pPr>
      <w:rPr>
        <w:rFonts w:ascii="Symbol" w:hAnsi="Symbol" w:hint="default"/>
      </w:r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abstractNum w:abstractNumId="16" w15:restartNumberingAfterBreak="0">
    <w:nsid w:val="2A22129B"/>
    <w:multiLevelType w:val="hybridMultilevel"/>
    <w:tmpl w:val="E8E42572"/>
    <w:lvl w:ilvl="0" w:tplc="40090001">
      <w:start w:val="1"/>
      <w:numFmt w:val="bullet"/>
      <w:lvlText w:val=""/>
      <w:lvlJc w:val="left"/>
      <w:pPr>
        <w:ind w:left="720" w:hanging="360"/>
      </w:pPr>
      <w:rPr>
        <w:rFonts w:ascii="Symbol" w:hAnsi="Symbol" w:hint="default"/>
      </w:r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abstractNum w:abstractNumId="17" w15:restartNumberingAfterBreak="0">
    <w:nsid w:val="345C6A7A"/>
    <w:multiLevelType w:val="hybridMultilevel"/>
    <w:tmpl w:val="55F6469C"/>
    <w:lvl w:ilvl="0" w:tplc="40090001">
      <w:start w:val="1"/>
      <w:numFmt w:val="bullet"/>
      <w:lvlText w:val=""/>
      <w:lvlJc w:val="left"/>
      <w:pPr>
        <w:ind w:left="720" w:hanging="360"/>
      </w:pPr>
      <w:rPr>
        <w:rFonts w:ascii="Symbol" w:hAnsi="Symbol" w:hint="default"/>
      </w:r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abstractNum w:abstractNumId="18" w15:restartNumberingAfterBreak="0">
    <w:nsid w:val="346B1A31"/>
    <w:multiLevelType w:val="hybridMultilevel"/>
    <w:tmpl w:val="E5161DDC"/>
    <w:lvl w:ilvl="0" w:tplc="40090001">
      <w:start w:val="1"/>
      <w:numFmt w:val="bullet"/>
      <w:lvlText w:val=""/>
      <w:lvlJc w:val="left"/>
      <w:pPr>
        <w:ind w:left="720" w:hanging="360"/>
      </w:pPr>
      <w:rPr>
        <w:rFonts w:ascii="Symbol" w:hAnsi="Symbol" w:hint="default"/>
      </w:r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abstractNum w:abstractNumId="19" w15:restartNumberingAfterBreak="0">
    <w:nsid w:val="3B3D442F"/>
    <w:multiLevelType w:val="hybridMultilevel"/>
    <w:tmpl w:val="FD88F2DC"/>
    <w:lvl w:ilvl="0" w:tplc="40090001">
      <w:start w:val="1"/>
      <w:numFmt w:val="bullet"/>
      <w:lvlText w:val=""/>
      <w:lvlJc w:val="left"/>
      <w:pPr>
        <w:ind w:left="720" w:hanging="360"/>
      </w:pPr>
      <w:rPr>
        <w:rFonts w:ascii="Symbol" w:hAnsi="Symbol" w:hint="default"/>
      </w:r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abstractNum w:abstractNumId="20" w15:restartNumberingAfterBreak="0">
    <w:nsid w:val="3D146875"/>
    <w:multiLevelType w:val="hybridMultilevel"/>
    <w:tmpl w:val="33FA4BAC"/>
    <w:lvl w:ilvl="0" w:tplc="40090001">
      <w:start w:val="1"/>
      <w:numFmt w:val="bullet"/>
      <w:lvlText w:val=""/>
      <w:lvlJc w:val="left"/>
      <w:pPr>
        <w:ind w:left="720" w:hanging="360"/>
      </w:pPr>
      <w:rPr>
        <w:rFonts w:ascii="Symbol" w:hAnsi="Symbol" w:hint="default"/>
      </w:r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abstractNum w:abstractNumId="21" w15:restartNumberingAfterBreak="0">
    <w:nsid w:val="3D327918"/>
    <w:multiLevelType w:val="multilevel"/>
    <w:tmpl w:val="B3847A1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2" w15:restartNumberingAfterBreak="0">
    <w:nsid w:val="41407AC2"/>
    <w:multiLevelType w:val="multilevel"/>
    <w:tmpl w:val="91366DF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3" w15:restartNumberingAfterBreak="0">
    <w:nsid w:val="4519025C"/>
    <w:multiLevelType w:val="hybridMultilevel"/>
    <w:tmpl w:val="8746E88A"/>
    <w:lvl w:ilvl="0" w:tplc="40090001">
      <w:start w:val="1"/>
      <w:numFmt w:val="bullet"/>
      <w:lvlText w:val=""/>
      <w:lvlJc w:val="left"/>
      <w:pPr>
        <w:ind w:left="720" w:hanging="360"/>
      </w:pPr>
      <w:rPr>
        <w:rFonts w:ascii="Symbol" w:hAnsi="Symbol" w:hint="default"/>
      </w:r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abstractNum w:abstractNumId="24" w15:restartNumberingAfterBreak="0">
    <w:nsid w:val="4BB65554"/>
    <w:multiLevelType w:val="hybridMultilevel"/>
    <w:tmpl w:val="77EC37BE"/>
    <w:lvl w:ilvl="0" w:tplc="40090001">
      <w:start w:val="1"/>
      <w:numFmt w:val="bullet"/>
      <w:lvlText w:val=""/>
      <w:lvlJc w:val="left"/>
      <w:pPr>
        <w:ind w:left="1080" w:hanging="360"/>
      </w:pPr>
      <w:rPr>
        <w:rFonts w:ascii="Symbol" w:hAnsi="Symbol" w:hint="default"/>
      </w:rPr>
    </w:lvl>
    <w:lvl w:ilvl="1" w:tplc="40090003" w:tentative="1">
      <w:start w:val="1"/>
      <w:numFmt w:val="bullet"/>
      <w:lvlText w:val="o"/>
      <w:lvlJc w:val="left"/>
      <w:pPr>
        <w:ind w:left="1800" w:hanging="360"/>
      </w:pPr>
      <w:rPr>
        <w:rFonts w:ascii="Courier New" w:hAnsi="Courier New" w:cs="Courier New" w:hint="default"/>
      </w:rPr>
    </w:lvl>
    <w:lvl w:ilvl="2" w:tplc="40090005" w:tentative="1">
      <w:start w:val="1"/>
      <w:numFmt w:val="bullet"/>
      <w:lvlText w:val=""/>
      <w:lvlJc w:val="left"/>
      <w:pPr>
        <w:ind w:left="2520" w:hanging="360"/>
      </w:pPr>
      <w:rPr>
        <w:rFonts w:ascii="Wingdings" w:hAnsi="Wingdings" w:hint="default"/>
      </w:rPr>
    </w:lvl>
    <w:lvl w:ilvl="3" w:tplc="40090001" w:tentative="1">
      <w:start w:val="1"/>
      <w:numFmt w:val="bullet"/>
      <w:lvlText w:val=""/>
      <w:lvlJc w:val="left"/>
      <w:pPr>
        <w:ind w:left="3240" w:hanging="360"/>
      </w:pPr>
      <w:rPr>
        <w:rFonts w:ascii="Symbol" w:hAnsi="Symbol" w:hint="default"/>
      </w:rPr>
    </w:lvl>
    <w:lvl w:ilvl="4" w:tplc="40090003" w:tentative="1">
      <w:start w:val="1"/>
      <w:numFmt w:val="bullet"/>
      <w:lvlText w:val="o"/>
      <w:lvlJc w:val="left"/>
      <w:pPr>
        <w:ind w:left="3960" w:hanging="360"/>
      </w:pPr>
      <w:rPr>
        <w:rFonts w:ascii="Courier New" w:hAnsi="Courier New" w:cs="Courier New" w:hint="default"/>
      </w:rPr>
    </w:lvl>
    <w:lvl w:ilvl="5" w:tplc="40090005" w:tentative="1">
      <w:start w:val="1"/>
      <w:numFmt w:val="bullet"/>
      <w:lvlText w:val=""/>
      <w:lvlJc w:val="left"/>
      <w:pPr>
        <w:ind w:left="4680" w:hanging="360"/>
      </w:pPr>
      <w:rPr>
        <w:rFonts w:ascii="Wingdings" w:hAnsi="Wingdings" w:hint="default"/>
      </w:rPr>
    </w:lvl>
    <w:lvl w:ilvl="6" w:tplc="40090001" w:tentative="1">
      <w:start w:val="1"/>
      <w:numFmt w:val="bullet"/>
      <w:lvlText w:val=""/>
      <w:lvlJc w:val="left"/>
      <w:pPr>
        <w:ind w:left="5400" w:hanging="360"/>
      </w:pPr>
      <w:rPr>
        <w:rFonts w:ascii="Symbol" w:hAnsi="Symbol" w:hint="default"/>
      </w:rPr>
    </w:lvl>
    <w:lvl w:ilvl="7" w:tplc="40090003" w:tentative="1">
      <w:start w:val="1"/>
      <w:numFmt w:val="bullet"/>
      <w:lvlText w:val="o"/>
      <w:lvlJc w:val="left"/>
      <w:pPr>
        <w:ind w:left="6120" w:hanging="360"/>
      </w:pPr>
      <w:rPr>
        <w:rFonts w:ascii="Courier New" w:hAnsi="Courier New" w:cs="Courier New" w:hint="default"/>
      </w:rPr>
    </w:lvl>
    <w:lvl w:ilvl="8" w:tplc="40090005" w:tentative="1">
      <w:start w:val="1"/>
      <w:numFmt w:val="bullet"/>
      <w:lvlText w:val=""/>
      <w:lvlJc w:val="left"/>
      <w:pPr>
        <w:ind w:left="6840" w:hanging="360"/>
      </w:pPr>
      <w:rPr>
        <w:rFonts w:ascii="Wingdings" w:hAnsi="Wingdings" w:hint="default"/>
      </w:rPr>
    </w:lvl>
  </w:abstractNum>
  <w:abstractNum w:abstractNumId="25" w15:restartNumberingAfterBreak="0">
    <w:nsid w:val="4C32515E"/>
    <w:multiLevelType w:val="hybridMultilevel"/>
    <w:tmpl w:val="950C8C96"/>
    <w:lvl w:ilvl="0" w:tplc="40090001">
      <w:start w:val="1"/>
      <w:numFmt w:val="bullet"/>
      <w:lvlText w:val=""/>
      <w:lvlJc w:val="left"/>
      <w:pPr>
        <w:ind w:left="720" w:hanging="360"/>
      </w:pPr>
      <w:rPr>
        <w:rFonts w:ascii="Symbol" w:hAnsi="Symbol" w:hint="default"/>
      </w:r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abstractNum w:abstractNumId="26" w15:restartNumberingAfterBreak="0">
    <w:nsid w:val="4D9A4530"/>
    <w:multiLevelType w:val="hybridMultilevel"/>
    <w:tmpl w:val="1FBE20C6"/>
    <w:lvl w:ilvl="0" w:tplc="40090001">
      <w:start w:val="1"/>
      <w:numFmt w:val="bullet"/>
      <w:lvlText w:val=""/>
      <w:lvlJc w:val="left"/>
      <w:pPr>
        <w:ind w:left="720" w:hanging="360"/>
      </w:pPr>
      <w:rPr>
        <w:rFonts w:ascii="Symbol" w:hAnsi="Symbol" w:hint="default"/>
      </w:r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abstractNum w:abstractNumId="27" w15:restartNumberingAfterBreak="0">
    <w:nsid w:val="52E27423"/>
    <w:multiLevelType w:val="hybridMultilevel"/>
    <w:tmpl w:val="8418F754"/>
    <w:lvl w:ilvl="0" w:tplc="4009000F">
      <w:start w:val="1"/>
      <w:numFmt w:val="decimal"/>
      <w:lvlText w:val="%1."/>
      <w:lvlJc w:val="left"/>
      <w:pPr>
        <w:ind w:left="720" w:hanging="360"/>
      </w:pPr>
    </w:lvl>
    <w:lvl w:ilvl="1" w:tplc="40090019" w:tentative="1">
      <w:start w:val="1"/>
      <w:numFmt w:val="lowerLetter"/>
      <w:lvlText w:val="%2."/>
      <w:lvlJc w:val="left"/>
      <w:pPr>
        <w:ind w:left="1440" w:hanging="360"/>
      </w:pPr>
    </w:lvl>
    <w:lvl w:ilvl="2" w:tplc="4009001B" w:tentative="1">
      <w:start w:val="1"/>
      <w:numFmt w:val="lowerRoman"/>
      <w:lvlText w:val="%3."/>
      <w:lvlJc w:val="right"/>
      <w:pPr>
        <w:ind w:left="2160" w:hanging="180"/>
      </w:pPr>
    </w:lvl>
    <w:lvl w:ilvl="3" w:tplc="4009000F" w:tentative="1">
      <w:start w:val="1"/>
      <w:numFmt w:val="decimal"/>
      <w:lvlText w:val="%4."/>
      <w:lvlJc w:val="left"/>
      <w:pPr>
        <w:ind w:left="2880" w:hanging="360"/>
      </w:pPr>
    </w:lvl>
    <w:lvl w:ilvl="4" w:tplc="40090019" w:tentative="1">
      <w:start w:val="1"/>
      <w:numFmt w:val="lowerLetter"/>
      <w:lvlText w:val="%5."/>
      <w:lvlJc w:val="left"/>
      <w:pPr>
        <w:ind w:left="3600" w:hanging="360"/>
      </w:pPr>
    </w:lvl>
    <w:lvl w:ilvl="5" w:tplc="4009001B" w:tentative="1">
      <w:start w:val="1"/>
      <w:numFmt w:val="lowerRoman"/>
      <w:lvlText w:val="%6."/>
      <w:lvlJc w:val="right"/>
      <w:pPr>
        <w:ind w:left="4320" w:hanging="180"/>
      </w:pPr>
    </w:lvl>
    <w:lvl w:ilvl="6" w:tplc="4009000F" w:tentative="1">
      <w:start w:val="1"/>
      <w:numFmt w:val="decimal"/>
      <w:lvlText w:val="%7."/>
      <w:lvlJc w:val="left"/>
      <w:pPr>
        <w:ind w:left="5040" w:hanging="360"/>
      </w:pPr>
    </w:lvl>
    <w:lvl w:ilvl="7" w:tplc="40090019" w:tentative="1">
      <w:start w:val="1"/>
      <w:numFmt w:val="lowerLetter"/>
      <w:lvlText w:val="%8."/>
      <w:lvlJc w:val="left"/>
      <w:pPr>
        <w:ind w:left="5760" w:hanging="360"/>
      </w:pPr>
    </w:lvl>
    <w:lvl w:ilvl="8" w:tplc="4009001B" w:tentative="1">
      <w:start w:val="1"/>
      <w:numFmt w:val="lowerRoman"/>
      <w:lvlText w:val="%9."/>
      <w:lvlJc w:val="right"/>
      <w:pPr>
        <w:ind w:left="6480" w:hanging="180"/>
      </w:pPr>
    </w:lvl>
  </w:abstractNum>
  <w:abstractNum w:abstractNumId="28" w15:restartNumberingAfterBreak="0">
    <w:nsid w:val="578C5A67"/>
    <w:multiLevelType w:val="hybridMultilevel"/>
    <w:tmpl w:val="E5CA3D9E"/>
    <w:lvl w:ilvl="0" w:tplc="40090001">
      <w:start w:val="1"/>
      <w:numFmt w:val="bullet"/>
      <w:lvlText w:val=""/>
      <w:lvlJc w:val="left"/>
      <w:pPr>
        <w:ind w:left="720" w:hanging="360"/>
      </w:pPr>
      <w:rPr>
        <w:rFonts w:ascii="Symbol" w:hAnsi="Symbol" w:hint="default"/>
      </w:r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abstractNum w:abstractNumId="29" w15:restartNumberingAfterBreak="0">
    <w:nsid w:val="5C1F516F"/>
    <w:multiLevelType w:val="multilevel"/>
    <w:tmpl w:val="BFEA2C0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0" w15:restartNumberingAfterBreak="0">
    <w:nsid w:val="5D6C3FA1"/>
    <w:multiLevelType w:val="hybridMultilevel"/>
    <w:tmpl w:val="85545648"/>
    <w:lvl w:ilvl="0" w:tplc="40090001">
      <w:start w:val="1"/>
      <w:numFmt w:val="bullet"/>
      <w:lvlText w:val=""/>
      <w:lvlJc w:val="left"/>
      <w:pPr>
        <w:ind w:left="720" w:hanging="360"/>
      </w:pPr>
      <w:rPr>
        <w:rFonts w:ascii="Symbol" w:hAnsi="Symbol" w:hint="default"/>
      </w:r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abstractNum w:abstractNumId="31" w15:restartNumberingAfterBreak="0">
    <w:nsid w:val="6230266B"/>
    <w:multiLevelType w:val="hybridMultilevel"/>
    <w:tmpl w:val="03A06E3C"/>
    <w:lvl w:ilvl="0" w:tplc="40090001">
      <w:start w:val="1"/>
      <w:numFmt w:val="bullet"/>
      <w:lvlText w:val=""/>
      <w:lvlJc w:val="left"/>
      <w:pPr>
        <w:ind w:left="720" w:hanging="360"/>
      </w:pPr>
      <w:rPr>
        <w:rFonts w:ascii="Symbol" w:hAnsi="Symbol" w:hint="default"/>
      </w:r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abstractNum w:abstractNumId="32" w15:restartNumberingAfterBreak="0">
    <w:nsid w:val="67FB633D"/>
    <w:multiLevelType w:val="hybridMultilevel"/>
    <w:tmpl w:val="F3CA301E"/>
    <w:lvl w:ilvl="0" w:tplc="40090001">
      <w:start w:val="1"/>
      <w:numFmt w:val="bullet"/>
      <w:lvlText w:val=""/>
      <w:lvlJc w:val="left"/>
      <w:pPr>
        <w:ind w:left="1080" w:hanging="360"/>
      </w:pPr>
      <w:rPr>
        <w:rFonts w:ascii="Symbol" w:hAnsi="Symbol" w:hint="default"/>
      </w:rPr>
    </w:lvl>
    <w:lvl w:ilvl="1" w:tplc="40090003" w:tentative="1">
      <w:start w:val="1"/>
      <w:numFmt w:val="bullet"/>
      <w:lvlText w:val="o"/>
      <w:lvlJc w:val="left"/>
      <w:pPr>
        <w:ind w:left="1800" w:hanging="360"/>
      </w:pPr>
      <w:rPr>
        <w:rFonts w:ascii="Courier New" w:hAnsi="Courier New" w:cs="Courier New" w:hint="default"/>
      </w:rPr>
    </w:lvl>
    <w:lvl w:ilvl="2" w:tplc="40090005" w:tentative="1">
      <w:start w:val="1"/>
      <w:numFmt w:val="bullet"/>
      <w:lvlText w:val=""/>
      <w:lvlJc w:val="left"/>
      <w:pPr>
        <w:ind w:left="2520" w:hanging="360"/>
      </w:pPr>
      <w:rPr>
        <w:rFonts w:ascii="Wingdings" w:hAnsi="Wingdings" w:hint="default"/>
      </w:rPr>
    </w:lvl>
    <w:lvl w:ilvl="3" w:tplc="40090001" w:tentative="1">
      <w:start w:val="1"/>
      <w:numFmt w:val="bullet"/>
      <w:lvlText w:val=""/>
      <w:lvlJc w:val="left"/>
      <w:pPr>
        <w:ind w:left="3240" w:hanging="360"/>
      </w:pPr>
      <w:rPr>
        <w:rFonts w:ascii="Symbol" w:hAnsi="Symbol" w:hint="default"/>
      </w:rPr>
    </w:lvl>
    <w:lvl w:ilvl="4" w:tplc="40090003" w:tentative="1">
      <w:start w:val="1"/>
      <w:numFmt w:val="bullet"/>
      <w:lvlText w:val="o"/>
      <w:lvlJc w:val="left"/>
      <w:pPr>
        <w:ind w:left="3960" w:hanging="360"/>
      </w:pPr>
      <w:rPr>
        <w:rFonts w:ascii="Courier New" w:hAnsi="Courier New" w:cs="Courier New" w:hint="default"/>
      </w:rPr>
    </w:lvl>
    <w:lvl w:ilvl="5" w:tplc="40090005" w:tentative="1">
      <w:start w:val="1"/>
      <w:numFmt w:val="bullet"/>
      <w:lvlText w:val=""/>
      <w:lvlJc w:val="left"/>
      <w:pPr>
        <w:ind w:left="4680" w:hanging="360"/>
      </w:pPr>
      <w:rPr>
        <w:rFonts w:ascii="Wingdings" w:hAnsi="Wingdings" w:hint="default"/>
      </w:rPr>
    </w:lvl>
    <w:lvl w:ilvl="6" w:tplc="40090001" w:tentative="1">
      <w:start w:val="1"/>
      <w:numFmt w:val="bullet"/>
      <w:lvlText w:val=""/>
      <w:lvlJc w:val="left"/>
      <w:pPr>
        <w:ind w:left="5400" w:hanging="360"/>
      </w:pPr>
      <w:rPr>
        <w:rFonts w:ascii="Symbol" w:hAnsi="Symbol" w:hint="default"/>
      </w:rPr>
    </w:lvl>
    <w:lvl w:ilvl="7" w:tplc="40090003" w:tentative="1">
      <w:start w:val="1"/>
      <w:numFmt w:val="bullet"/>
      <w:lvlText w:val="o"/>
      <w:lvlJc w:val="left"/>
      <w:pPr>
        <w:ind w:left="6120" w:hanging="360"/>
      </w:pPr>
      <w:rPr>
        <w:rFonts w:ascii="Courier New" w:hAnsi="Courier New" w:cs="Courier New" w:hint="default"/>
      </w:rPr>
    </w:lvl>
    <w:lvl w:ilvl="8" w:tplc="40090005" w:tentative="1">
      <w:start w:val="1"/>
      <w:numFmt w:val="bullet"/>
      <w:lvlText w:val=""/>
      <w:lvlJc w:val="left"/>
      <w:pPr>
        <w:ind w:left="6840" w:hanging="360"/>
      </w:pPr>
      <w:rPr>
        <w:rFonts w:ascii="Wingdings" w:hAnsi="Wingdings" w:hint="default"/>
      </w:rPr>
    </w:lvl>
  </w:abstractNum>
  <w:abstractNum w:abstractNumId="33" w15:restartNumberingAfterBreak="0">
    <w:nsid w:val="681D6463"/>
    <w:multiLevelType w:val="hybridMultilevel"/>
    <w:tmpl w:val="03623ED2"/>
    <w:lvl w:ilvl="0" w:tplc="40090001">
      <w:start w:val="1"/>
      <w:numFmt w:val="bullet"/>
      <w:lvlText w:val=""/>
      <w:lvlJc w:val="left"/>
      <w:pPr>
        <w:ind w:left="720" w:hanging="360"/>
      </w:pPr>
      <w:rPr>
        <w:rFonts w:ascii="Symbol" w:hAnsi="Symbol" w:hint="default"/>
      </w:r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abstractNum w:abstractNumId="34" w15:restartNumberingAfterBreak="0">
    <w:nsid w:val="6905341A"/>
    <w:multiLevelType w:val="hybridMultilevel"/>
    <w:tmpl w:val="EE2A7558"/>
    <w:lvl w:ilvl="0" w:tplc="4009000F">
      <w:start w:val="1"/>
      <w:numFmt w:val="decimal"/>
      <w:lvlText w:val="%1."/>
      <w:lvlJc w:val="left"/>
      <w:pPr>
        <w:ind w:left="720" w:hanging="360"/>
      </w:pPr>
    </w:lvl>
    <w:lvl w:ilvl="1" w:tplc="40090019" w:tentative="1">
      <w:start w:val="1"/>
      <w:numFmt w:val="lowerLetter"/>
      <w:lvlText w:val="%2."/>
      <w:lvlJc w:val="left"/>
      <w:pPr>
        <w:ind w:left="1440" w:hanging="360"/>
      </w:pPr>
    </w:lvl>
    <w:lvl w:ilvl="2" w:tplc="4009001B" w:tentative="1">
      <w:start w:val="1"/>
      <w:numFmt w:val="lowerRoman"/>
      <w:lvlText w:val="%3."/>
      <w:lvlJc w:val="right"/>
      <w:pPr>
        <w:ind w:left="2160" w:hanging="180"/>
      </w:pPr>
    </w:lvl>
    <w:lvl w:ilvl="3" w:tplc="4009000F" w:tentative="1">
      <w:start w:val="1"/>
      <w:numFmt w:val="decimal"/>
      <w:lvlText w:val="%4."/>
      <w:lvlJc w:val="left"/>
      <w:pPr>
        <w:ind w:left="2880" w:hanging="360"/>
      </w:pPr>
    </w:lvl>
    <w:lvl w:ilvl="4" w:tplc="40090019" w:tentative="1">
      <w:start w:val="1"/>
      <w:numFmt w:val="lowerLetter"/>
      <w:lvlText w:val="%5."/>
      <w:lvlJc w:val="left"/>
      <w:pPr>
        <w:ind w:left="3600" w:hanging="360"/>
      </w:pPr>
    </w:lvl>
    <w:lvl w:ilvl="5" w:tplc="4009001B" w:tentative="1">
      <w:start w:val="1"/>
      <w:numFmt w:val="lowerRoman"/>
      <w:lvlText w:val="%6."/>
      <w:lvlJc w:val="right"/>
      <w:pPr>
        <w:ind w:left="4320" w:hanging="180"/>
      </w:pPr>
    </w:lvl>
    <w:lvl w:ilvl="6" w:tplc="4009000F" w:tentative="1">
      <w:start w:val="1"/>
      <w:numFmt w:val="decimal"/>
      <w:lvlText w:val="%7."/>
      <w:lvlJc w:val="left"/>
      <w:pPr>
        <w:ind w:left="5040" w:hanging="360"/>
      </w:pPr>
    </w:lvl>
    <w:lvl w:ilvl="7" w:tplc="40090019" w:tentative="1">
      <w:start w:val="1"/>
      <w:numFmt w:val="lowerLetter"/>
      <w:lvlText w:val="%8."/>
      <w:lvlJc w:val="left"/>
      <w:pPr>
        <w:ind w:left="5760" w:hanging="360"/>
      </w:pPr>
    </w:lvl>
    <w:lvl w:ilvl="8" w:tplc="4009001B" w:tentative="1">
      <w:start w:val="1"/>
      <w:numFmt w:val="lowerRoman"/>
      <w:lvlText w:val="%9."/>
      <w:lvlJc w:val="right"/>
      <w:pPr>
        <w:ind w:left="6480" w:hanging="180"/>
      </w:pPr>
    </w:lvl>
  </w:abstractNum>
  <w:abstractNum w:abstractNumId="35" w15:restartNumberingAfterBreak="0">
    <w:nsid w:val="6A656D62"/>
    <w:multiLevelType w:val="multilevel"/>
    <w:tmpl w:val="22BAA89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6" w15:restartNumberingAfterBreak="0">
    <w:nsid w:val="6B6D0FF9"/>
    <w:multiLevelType w:val="hybridMultilevel"/>
    <w:tmpl w:val="EA848FDE"/>
    <w:lvl w:ilvl="0" w:tplc="40090001">
      <w:start w:val="1"/>
      <w:numFmt w:val="bullet"/>
      <w:lvlText w:val=""/>
      <w:lvlJc w:val="left"/>
      <w:pPr>
        <w:ind w:left="720" w:hanging="360"/>
      </w:pPr>
      <w:rPr>
        <w:rFonts w:ascii="Symbol" w:hAnsi="Symbol" w:hint="default"/>
      </w:r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abstractNum w:abstractNumId="37" w15:restartNumberingAfterBreak="0">
    <w:nsid w:val="6E6D118C"/>
    <w:multiLevelType w:val="hybridMultilevel"/>
    <w:tmpl w:val="54E41EA8"/>
    <w:lvl w:ilvl="0" w:tplc="40090001">
      <w:start w:val="1"/>
      <w:numFmt w:val="bullet"/>
      <w:lvlText w:val=""/>
      <w:lvlJc w:val="left"/>
      <w:pPr>
        <w:ind w:left="1080" w:hanging="360"/>
      </w:pPr>
      <w:rPr>
        <w:rFonts w:ascii="Symbol" w:hAnsi="Symbol" w:hint="default"/>
      </w:rPr>
    </w:lvl>
    <w:lvl w:ilvl="1" w:tplc="40090003" w:tentative="1">
      <w:start w:val="1"/>
      <w:numFmt w:val="bullet"/>
      <w:lvlText w:val="o"/>
      <w:lvlJc w:val="left"/>
      <w:pPr>
        <w:ind w:left="1800" w:hanging="360"/>
      </w:pPr>
      <w:rPr>
        <w:rFonts w:ascii="Courier New" w:hAnsi="Courier New" w:cs="Courier New" w:hint="default"/>
      </w:rPr>
    </w:lvl>
    <w:lvl w:ilvl="2" w:tplc="40090005" w:tentative="1">
      <w:start w:val="1"/>
      <w:numFmt w:val="bullet"/>
      <w:lvlText w:val=""/>
      <w:lvlJc w:val="left"/>
      <w:pPr>
        <w:ind w:left="2520" w:hanging="360"/>
      </w:pPr>
      <w:rPr>
        <w:rFonts w:ascii="Wingdings" w:hAnsi="Wingdings" w:hint="default"/>
      </w:rPr>
    </w:lvl>
    <w:lvl w:ilvl="3" w:tplc="40090001" w:tentative="1">
      <w:start w:val="1"/>
      <w:numFmt w:val="bullet"/>
      <w:lvlText w:val=""/>
      <w:lvlJc w:val="left"/>
      <w:pPr>
        <w:ind w:left="3240" w:hanging="360"/>
      </w:pPr>
      <w:rPr>
        <w:rFonts w:ascii="Symbol" w:hAnsi="Symbol" w:hint="default"/>
      </w:rPr>
    </w:lvl>
    <w:lvl w:ilvl="4" w:tplc="40090003" w:tentative="1">
      <w:start w:val="1"/>
      <w:numFmt w:val="bullet"/>
      <w:lvlText w:val="o"/>
      <w:lvlJc w:val="left"/>
      <w:pPr>
        <w:ind w:left="3960" w:hanging="360"/>
      </w:pPr>
      <w:rPr>
        <w:rFonts w:ascii="Courier New" w:hAnsi="Courier New" w:cs="Courier New" w:hint="default"/>
      </w:rPr>
    </w:lvl>
    <w:lvl w:ilvl="5" w:tplc="40090005" w:tentative="1">
      <w:start w:val="1"/>
      <w:numFmt w:val="bullet"/>
      <w:lvlText w:val=""/>
      <w:lvlJc w:val="left"/>
      <w:pPr>
        <w:ind w:left="4680" w:hanging="360"/>
      </w:pPr>
      <w:rPr>
        <w:rFonts w:ascii="Wingdings" w:hAnsi="Wingdings" w:hint="default"/>
      </w:rPr>
    </w:lvl>
    <w:lvl w:ilvl="6" w:tplc="40090001" w:tentative="1">
      <w:start w:val="1"/>
      <w:numFmt w:val="bullet"/>
      <w:lvlText w:val=""/>
      <w:lvlJc w:val="left"/>
      <w:pPr>
        <w:ind w:left="5400" w:hanging="360"/>
      </w:pPr>
      <w:rPr>
        <w:rFonts w:ascii="Symbol" w:hAnsi="Symbol" w:hint="default"/>
      </w:rPr>
    </w:lvl>
    <w:lvl w:ilvl="7" w:tplc="40090003" w:tentative="1">
      <w:start w:val="1"/>
      <w:numFmt w:val="bullet"/>
      <w:lvlText w:val="o"/>
      <w:lvlJc w:val="left"/>
      <w:pPr>
        <w:ind w:left="6120" w:hanging="360"/>
      </w:pPr>
      <w:rPr>
        <w:rFonts w:ascii="Courier New" w:hAnsi="Courier New" w:cs="Courier New" w:hint="default"/>
      </w:rPr>
    </w:lvl>
    <w:lvl w:ilvl="8" w:tplc="40090005" w:tentative="1">
      <w:start w:val="1"/>
      <w:numFmt w:val="bullet"/>
      <w:lvlText w:val=""/>
      <w:lvlJc w:val="left"/>
      <w:pPr>
        <w:ind w:left="6840" w:hanging="360"/>
      </w:pPr>
      <w:rPr>
        <w:rFonts w:ascii="Wingdings" w:hAnsi="Wingdings" w:hint="default"/>
      </w:rPr>
    </w:lvl>
  </w:abstractNum>
  <w:abstractNum w:abstractNumId="38" w15:restartNumberingAfterBreak="0">
    <w:nsid w:val="6F68364C"/>
    <w:multiLevelType w:val="hybridMultilevel"/>
    <w:tmpl w:val="BD7CEECA"/>
    <w:lvl w:ilvl="0" w:tplc="40090001">
      <w:start w:val="1"/>
      <w:numFmt w:val="bullet"/>
      <w:lvlText w:val=""/>
      <w:lvlJc w:val="left"/>
      <w:pPr>
        <w:ind w:left="1080" w:hanging="360"/>
      </w:pPr>
      <w:rPr>
        <w:rFonts w:ascii="Symbol" w:hAnsi="Symbol" w:hint="default"/>
      </w:rPr>
    </w:lvl>
    <w:lvl w:ilvl="1" w:tplc="40090003" w:tentative="1">
      <w:start w:val="1"/>
      <w:numFmt w:val="bullet"/>
      <w:lvlText w:val="o"/>
      <w:lvlJc w:val="left"/>
      <w:pPr>
        <w:ind w:left="1800" w:hanging="360"/>
      </w:pPr>
      <w:rPr>
        <w:rFonts w:ascii="Courier New" w:hAnsi="Courier New" w:cs="Courier New" w:hint="default"/>
      </w:rPr>
    </w:lvl>
    <w:lvl w:ilvl="2" w:tplc="40090005" w:tentative="1">
      <w:start w:val="1"/>
      <w:numFmt w:val="bullet"/>
      <w:lvlText w:val=""/>
      <w:lvlJc w:val="left"/>
      <w:pPr>
        <w:ind w:left="2520" w:hanging="360"/>
      </w:pPr>
      <w:rPr>
        <w:rFonts w:ascii="Wingdings" w:hAnsi="Wingdings" w:hint="default"/>
      </w:rPr>
    </w:lvl>
    <w:lvl w:ilvl="3" w:tplc="40090001" w:tentative="1">
      <w:start w:val="1"/>
      <w:numFmt w:val="bullet"/>
      <w:lvlText w:val=""/>
      <w:lvlJc w:val="left"/>
      <w:pPr>
        <w:ind w:left="3240" w:hanging="360"/>
      </w:pPr>
      <w:rPr>
        <w:rFonts w:ascii="Symbol" w:hAnsi="Symbol" w:hint="default"/>
      </w:rPr>
    </w:lvl>
    <w:lvl w:ilvl="4" w:tplc="40090003" w:tentative="1">
      <w:start w:val="1"/>
      <w:numFmt w:val="bullet"/>
      <w:lvlText w:val="o"/>
      <w:lvlJc w:val="left"/>
      <w:pPr>
        <w:ind w:left="3960" w:hanging="360"/>
      </w:pPr>
      <w:rPr>
        <w:rFonts w:ascii="Courier New" w:hAnsi="Courier New" w:cs="Courier New" w:hint="default"/>
      </w:rPr>
    </w:lvl>
    <w:lvl w:ilvl="5" w:tplc="40090005" w:tentative="1">
      <w:start w:val="1"/>
      <w:numFmt w:val="bullet"/>
      <w:lvlText w:val=""/>
      <w:lvlJc w:val="left"/>
      <w:pPr>
        <w:ind w:left="4680" w:hanging="360"/>
      </w:pPr>
      <w:rPr>
        <w:rFonts w:ascii="Wingdings" w:hAnsi="Wingdings" w:hint="default"/>
      </w:rPr>
    </w:lvl>
    <w:lvl w:ilvl="6" w:tplc="40090001" w:tentative="1">
      <w:start w:val="1"/>
      <w:numFmt w:val="bullet"/>
      <w:lvlText w:val=""/>
      <w:lvlJc w:val="left"/>
      <w:pPr>
        <w:ind w:left="5400" w:hanging="360"/>
      </w:pPr>
      <w:rPr>
        <w:rFonts w:ascii="Symbol" w:hAnsi="Symbol" w:hint="default"/>
      </w:rPr>
    </w:lvl>
    <w:lvl w:ilvl="7" w:tplc="40090003" w:tentative="1">
      <w:start w:val="1"/>
      <w:numFmt w:val="bullet"/>
      <w:lvlText w:val="o"/>
      <w:lvlJc w:val="left"/>
      <w:pPr>
        <w:ind w:left="6120" w:hanging="360"/>
      </w:pPr>
      <w:rPr>
        <w:rFonts w:ascii="Courier New" w:hAnsi="Courier New" w:cs="Courier New" w:hint="default"/>
      </w:rPr>
    </w:lvl>
    <w:lvl w:ilvl="8" w:tplc="40090005" w:tentative="1">
      <w:start w:val="1"/>
      <w:numFmt w:val="bullet"/>
      <w:lvlText w:val=""/>
      <w:lvlJc w:val="left"/>
      <w:pPr>
        <w:ind w:left="6840" w:hanging="360"/>
      </w:pPr>
      <w:rPr>
        <w:rFonts w:ascii="Wingdings" w:hAnsi="Wingdings" w:hint="default"/>
      </w:rPr>
    </w:lvl>
  </w:abstractNum>
  <w:abstractNum w:abstractNumId="39" w15:restartNumberingAfterBreak="0">
    <w:nsid w:val="79AB6DAD"/>
    <w:multiLevelType w:val="hybridMultilevel"/>
    <w:tmpl w:val="90DEFD06"/>
    <w:lvl w:ilvl="0" w:tplc="40090001">
      <w:start w:val="1"/>
      <w:numFmt w:val="bullet"/>
      <w:lvlText w:val=""/>
      <w:lvlJc w:val="left"/>
      <w:pPr>
        <w:ind w:left="1152" w:hanging="360"/>
      </w:pPr>
      <w:rPr>
        <w:rFonts w:ascii="Symbol" w:hAnsi="Symbol" w:hint="default"/>
      </w:rPr>
    </w:lvl>
    <w:lvl w:ilvl="1" w:tplc="40090003" w:tentative="1">
      <w:start w:val="1"/>
      <w:numFmt w:val="bullet"/>
      <w:lvlText w:val="o"/>
      <w:lvlJc w:val="left"/>
      <w:pPr>
        <w:ind w:left="1872" w:hanging="360"/>
      </w:pPr>
      <w:rPr>
        <w:rFonts w:ascii="Courier New" w:hAnsi="Courier New" w:cs="Courier New" w:hint="default"/>
      </w:rPr>
    </w:lvl>
    <w:lvl w:ilvl="2" w:tplc="40090005" w:tentative="1">
      <w:start w:val="1"/>
      <w:numFmt w:val="bullet"/>
      <w:lvlText w:val=""/>
      <w:lvlJc w:val="left"/>
      <w:pPr>
        <w:ind w:left="2592" w:hanging="360"/>
      </w:pPr>
      <w:rPr>
        <w:rFonts w:ascii="Wingdings" w:hAnsi="Wingdings" w:hint="default"/>
      </w:rPr>
    </w:lvl>
    <w:lvl w:ilvl="3" w:tplc="40090001" w:tentative="1">
      <w:start w:val="1"/>
      <w:numFmt w:val="bullet"/>
      <w:lvlText w:val=""/>
      <w:lvlJc w:val="left"/>
      <w:pPr>
        <w:ind w:left="3312" w:hanging="360"/>
      </w:pPr>
      <w:rPr>
        <w:rFonts w:ascii="Symbol" w:hAnsi="Symbol" w:hint="default"/>
      </w:rPr>
    </w:lvl>
    <w:lvl w:ilvl="4" w:tplc="40090003" w:tentative="1">
      <w:start w:val="1"/>
      <w:numFmt w:val="bullet"/>
      <w:lvlText w:val="o"/>
      <w:lvlJc w:val="left"/>
      <w:pPr>
        <w:ind w:left="4032" w:hanging="360"/>
      </w:pPr>
      <w:rPr>
        <w:rFonts w:ascii="Courier New" w:hAnsi="Courier New" w:cs="Courier New" w:hint="default"/>
      </w:rPr>
    </w:lvl>
    <w:lvl w:ilvl="5" w:tplc="40090005" w:tentative="1">
      <w:start w:val="1"/>
      <w:numFmt w:val="bullet"/>
      <w:lvlText w:val=""/>
      <w:lvlJc w:val="left"/>
      <w:pPr>
        <w:ind w:left="4752" w:hanging="360"/>
      </w:pPr>
      <w:rPr>
        <w:rFonts w:ascii="Wingdings" w:hAnsi="Wingdings" w:hint="default"/>
      </w:rPr>
    </w:lvl>
    <w:lvl w:ilvl="6" w:tplc="40090001" w:tentative="1">
      <w:start w:val="1"/>
      <w:numFmt w:val="bullet"/>
      <w:lvlText w:val=""/>
      <w:lvlJc w:val="left"/>
      <w:pPr>
        <w:ind w:left="5472" w:hanging="360"/>
      </w:pPr>
      <w:rPr>
        <w:rFonts w:ascii="Symbol" w:hAnsi="Symbol" w:hint="default"/>
      </w:rPr>
    </w:lvl>
    <w:lvl w:ilvl="7" w:tplc="40090003" w:tentative="1">
      <w:start w:val="1"/>
      <w:numFmt w:val="bullet"/>
      <w:lvlText w:val="o"/>
      <w:lvlJc w:val="left"/>
      <w:pPr>
        <w:ind w:left="6192" w:hanging="360"/>
      </w:pPr>
      <w:rPr>
        <w:rFonts w:ascii="Courier New" w:hAnsi="Courier New" w:cs="Courier New" w:hint="default"/>
      </w:rPr>
    </w:lvl>
    <w:lvl w:ilvl="8" w:tplc="40090005" w:tentative="1">
      <w:start w:val="1"/>
      <w:numFmt w:val="bullet"/>
      <w:lvlText w:val=""/>
      <w:lvlJc w:val="left"/>
      <w:pPr>
        <w:ind w:left="6912" w:hanging="360"/>
      </w:pPr>
      <w:rPr>
        <w:rFonts w:ascii="Wingdings" w:hAnsi="Wingdings" w:hint="default"/>
      </w:rPr>
    </w:lvl>
  </w:abstractNum>
  <w:abstractNum w:abstractNumId="40" w15:restartNumberingAfterBreak="0">
    <w:nsid w:val="7B583125"/>
    <w:multiLevelType w:val="hybridMultilevel"/>
    <w:tmpl w:val="2B76CD00"/>
    <w:lvl w:ilvl="0" w:tplc="40090001">
      <w:start w:val="1"/>
      <w:numFmt w:val="bullet"/>
      <w:lvlText w:val=""/>
      <w:lvlJc w:val="left"/>
      <w:pPr>
        <w:ind w:left="1080" w:hanging="360"/>
      </w:pPr>
      <w:rPr>
        <w:rFonts w:ascii="Symbol" w:hAnsi="Symbol" w:hint="default"/>
      </w:rPr>
    </w:lvl>
    <w:lvl w:ilvl="1" w:tplc="40090003" w:tentative="1">
      <w:start w:val="1"/>
      <w:numFmt w:val="bullet"/>
      <w:lvlText w:val="o"/>
      <w:lvlJc w:val="left"/>
      <w:pPr>
        <w:ind w:left="1800" w:hanging="360"/>
      </w:pPr>
      <w:rPr>
        <w:rFonts w:ascii="Courier New" w:hAnsi="Courier New" w:cs="Courier New" w:hint="default"/>
      </w:rPr>
    </w:lvl>
    <w:lvl w:ilvl="2" w:tplc="40090005" w:tentative="1">
      <w:start w:val="1"/>
      <w:numFmt w:val="bullet"/>
      <w:lvlText w:val=""/>
      <w:lvlJc w:val="left"/>
      <w:pPr>
        <w:ind w:left="2520" w:hanging="360"/>
      </w:pPr>
      <w:rPr>
        <w:rFonts w:ascii="Wingdings" w:hAnsi="Wingdings" w:hint="default"/>
      </w:rPr>
    </w:lvl>
    <w:lvl w:ilvl="3" w:tplc="40090001" w:tentative="1">
      <w:start w:val="1"/>
      <w:numFmt w:val="bullet"/>
      <w:lvlText w:val=""/>
      <w:lvlJc w:val="left"/>
      <w:pPr>
        <w:ind w:left="3240" w:hanging="360"/>
      </w:pPr>
      <w:rPr>
        <w:rFonts w:ascii="Symbol" w:hAnsi="Symbol" w:hint="default"/>
      </w:rPr>
    </w:lvl>
    <w:lvl w:ilvl="4" w:tplc="40090003" w:tentative="1">
      <w:start w:val="1"/>
      <w:numFmt w:val="bullet"/>
      <w:lvlText w:val="o"/>
      <w:lvlJc w:val="left"/>
      <w:pPr>
        <w:ind w:left="3960" w:hanging="360"/>
      </w:pPr>
      <w:rPr>
        <w:rFonts w:ascii="Courier New" w:hAnsi="Courier New" w:cs="Courier New" w:hint="default"/>
      </w:rPr>
    </w:lvl>
    <w:lvl w:ilvl="5" w:tplc="40090005" w:tentative="1">
      <w:start w:val="1"/>
      <w:numFmt w:val="bullet"/>
      <w:lvlText w:val=""/>
      <w:lvlJc w:val="left"/>
      <w:pPr>
        <w:ind w:left="4680" w:hanging="360"/>
      </w:pPr>
      <w:rPr>
        <w:rFonts w:ascii="Wingdings" w:hAnsi="Wingdings" w:hint="default"/>
      </w:rPr>
    </w:lvl>
    <w:lvl w:ilvl="6" w:tplc="40090001" w:tentative="1">
      <w:start w:val="1"/>
      <w:numFmt w:val="bullet"/>
      <w:lvlText w:val=""/>
      <w:lvlJc w:val="left"/>
      <w:pPr>
        <w:ind w:left="5400" w:hanging="360"/>
      </w:pPr>
      <w:rPr>
        <w:rFonts w:ascii="Symbol" w:hAnsi="Symbol" w:hint="default"/>
      </w:rPr>
    </w:lvl>
    <w:lvl w:ilvl="7" w:tplc="40090003" w:tentative="1">
      <w:start w:val="1"/>
      <w:numFmt w:val="bullet"/>
      <w:lvlText w:val="o"/>
      <w:lvlJc w:val="left"/>
      <w:pPr>
        <w:ind w:left="6120" w:hanging="360"/>
      </w:pPr>
      <w:rPr>
        <w:rFonts w:ascii="Courier New" w:hAnsi="Courier New" w:cs="Courier New" w:hint="default"/>
      </w:rPr>
    </w:lvl>
    <w:lvl w:ilvl="8" w:tplc="40090005" w:tentative="1">
      <w:start w:val="1"/>
      <w:numFmt w:val="bullet"/>
      <w:lvlText w:val=""/>
      <w:lvlJc w:val="left"/>
      <w:pPr>
        <w:ind w:left="6840" w:hanging="360"/>
      </w:pPr>
      <w:rPr>
        <w:rFonts w:ascii="Wingdings" w:hAnsi="Wingdings" w:hint="default"/>
      </w:rPr>
    </w:lvl>
  </w:abstractNum>
  <w:abstractNum w:abstractNumId="41" w15:restartNumberingAfterBreak="0">
    <w:nsid w:val="7C897A0F"/>
    <w:multiLevelType w:val="hybridMultilevel"/>
    <w:tmpl w:val="D4EABC3C"/>
    <w:lvl w:ilvl="0" w:tplc="40090001">
      <w:start w:val="1"/>
      <w:numFmt w:val="bullet"/>
      <w:lvlText w:val=""/>
      <w:lvlJc w:val="left"/>
      <w:pPr>
        <w:ind w:left="1080" w:hanging="360"/>
      </w:pPr>
      <w:rPr>
        <w:rFonts w:ascii="Symbol" w:hAnsi="Symbol" w:hint="default"/>
      </w:rPr>
    </w:lvl>
    <w:lvl w:ilvl="1" w:tplc="40090003" w:tentative="1">
      <w:start w:val="1"/>
      <w:numFmt w:val="bullet"/>
      <w:lvlText w:val="o"/>
      <w:lvlJc w:val="left"/>
      <w:pPr>
        <w:ind w:left="1800" w:hanging="360"/>
      </w:pPr>
      <w:rPr>
        <w:rFonts w:ascii="Courier New" w:hAnsi="Courier New" w:cs="Courier New" w:hint="default"/>
      </w:rPr>
    </w:lvl>
    <w:lvl w:ilvl="2" w:tplc="40090005" w:tentative="1">
      <w:start w:val="1"/>
      <w:numFmt w:val="bullet"/>
      <w:lvlText w:val=""/>
      <w:lvlJc w:val="left"/>
      <w:pPr>
        <w:ind w:left="2520" w:hanging="360"/>
      </w:pPr>
      <w:rPr>
        <w:rFonts w:ascii="Wingdings" w:hAnsi="Wingdings" w:hint="default"/>
      </w:rPr>
    </w:lvl>
    <w:lvl w:ilvl="3" w:tplc="40090001" w:tentative="1">
      <w:start w:val="1"/>
      <w:numFmt w:val="bullet"/>
      <w:lvlText w:val=""/>
      <w:lvlJc w:val="left"/>
      <w:pPr>
        <w:ind w:left="3240" w:hanging="360"/>
      </w:pPr>
      <w:rPr>
        <w:rFonts w:ascii="Symbol" w:hAnsi="Symbol" w:hint="default"/>
      </w:rPr>
    </w:lvl>
    <w:lvl w:ilvl="4" w:tplc="40090003" w:tentative="1">
      <w:start w:val="1"/>
      <w:numFmt w:val="bullet"/>
      <w:lvlText w:val="o"/>
      <w:lvlJc w:val="left"/>
      <w:pPr>
        <w:ind w:left="3960" w:hanging="360"/>
      </w:pPr>
      <w:rPr>
        <w:rFonts w:ascii="Courier New" w:hAnsi="Courier New" w:cs="Courier New" w:hint="default"/>
      </w:rPr>
    </w:lvl>
    <w:lvl w:ilvl="5" w:tplc="40090005" w:tentative="1">
      <w:start w:val="1"/>
      <w:numFmt w:val="bullet"/>
      <w:lvlText w:val=""/>
      <w:lvlJc w:val="left"/>
      <w:pPr>
        <w:ind w:left="4680" w:hanging="360"/>
      </w:pPr>
      <w:rPr>
        <w:rFonts w:ascii="Wingdings" w:hAnsi="Wingdings" w:hint="default"/>
      </w:rPr>
    </w:lvl>
    <w:lvl w:ilvl="6" w:tplc="40090001" w:tentative="1">
      <w:start w:val="1"/>
      <w:numFmt w:val="bullet"/>
      <w:lvlText w:val=""/>
      <w:lvlJc w:val="left"/>
      <w:pPr>
        <w:ind w:left="5400" w:hanging="360"/>
      </w:pPr>
      <w:rPr>
        <w:rFonts w:ascii="Symbol" w:hAnsi="Symbol" w:hint="default"/>
      </w:rPr>
    </w:lvl>
    <w:lvl w:ilvl="7" w:tplc="40090003" w:tentative="1">
      <w:start w:val="1"/>
      <w:numFmt w:val="bullet"/>
      <w:lvlText w:val="o"/>
      <w:lvlJc w:val="left"/>
      <w:pPr>
        <w:ind w:left="6120" w:hanging="360"/>
      </w:pPr>
      <w:rPr>
        <w:rFonts w:ascii="Courier New" w:hAnsi="Courier New" w:cs="Courier New" w:hint="default"/>
      </w:rPr>
    </w:lvl>
    <w:lvl w:ilvl="8" w:tplc="40090005" w:tentative="1">
      <w:start w:val="1"/>
      <w:numFmt w:val="bullet"/>
      <w:lvlText w:val=""/>
      <w:lvlJc w:val="left"/>
      <w:pPr>
        <w:ind w:left="6840" w:hanging="360"/>
      </w:pPr>
      <w:rPr>
        <w:rFonts w:ascii="Wingdings" w:hAnsi="Wingdings" w:hint="default"/>
      </w:rPr>
    </w:lvl>
  </w:abstractNum>
  <w:abstractNum w:abstractNumId="42" w15:restartNumberingAfterBreak="0">
    <w:nsid w:val="7F3E4765"/>
    <w:multiLevelType w:val="multilevel"/>
    <w:tmpl w:val="41B66B6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3" w15:restartNumberingAfterBreak="0">
    <w:nsid w:val="7F745F8B"/>
    <w:multiLevelType w:val="multilevel"/>
    <w:tmpl w:val="521A098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16cid:durableId="347945149">
    <w:abstractNumId w:val="12"/>
  </w:num>
  <w:num w:numId="2" w16cid:durableId="1200241734">
    <w:abstractNumId w:val="43"/>
  </w:num>
  <w:num w:numId="3" w16cid:durableId="1324315615">
    <w:abstractNumId w:val="1"/>
  </w:num>
  <w:num w:numId="4" w16cid:durableId="1079789271">
    <w:abstractNumId w:val="0"/>
  </w:num>
  <w:num w:numId="5" w16cid:durableId="1466656315">
    <w:abstractNumId w:val="29"/>
  </w:num>
  <w:num w:numId="6" w16cid:durableId="867833120">
    <w:abstractNumId w:val="22"/>
  </w:num>
  <w:num w:numId="7" w16cid:durableId="11811026">
    <w:abstractNumId w:val="6"/>
  </w:num>
  <w:num w:numId="8" w16cid:durableId="1619484220">
    <w:abstractNumId w:val="35"/>
  </w:num>
  <w:num w:numId="9" w16cid:durableId="1020199910">
    <w:abstractNumId w:val="42"/>
  </w:num>
  <w:num w:numId="10" w16cid:durableId="290135976">
    <w:abstractNumId w:val="21"/>
  </w:num>
  <w:num w:numId="11" w16cid:durableId="176501538">
    <w:abstractNumId w:val="34"/>
  </w:num>
  <w:num w:numId="12" w16cid:durableId="99103548">
    <w:abstractNumId w:val="27"/>
  </w:num>
  <w:num w:numId="13" w16cid:durableId="1098870303">
    <w:abstractNumId w:val="39"/>
  </w:num>
  <w:num w:numId="14" w16cid:durableId="1461993548">
    <w:abstractNumId w:val="37"/>
  </w:num>
  <w:num w:numId="15" w16cid:durableId="1995060130">
    <w:abstractNumId w:val="41"/>
  </w:num>
  <w:num w:numId="16" w16cid:durableId="251202509">
    <w:abstractNumId w:val="38"/>
  </w:num>
  <w:num w:numId="17" w16cid:durableId="550312898">
    <w:abstractNumId w:val="14"/>
  </w:num>
  <w:num w:numId="18" w16cid:durableId="1903249046">
    <w:abstractNumId w:val="10"/>
  </w:num>
  <w:num w:numId="19" w16cid:durableId="289478453">
    <w:abstractNumId w:val="5"/>
  </w:num>
  <w:num w:numId="20" w16cid:durableId="236593730">
    <w:abstractNumId w:val="2"/>
  </w:num>
  <w:num w:numId="21" w16cid:durableId="2008824141">
    <w:abstractNumId w:val="40"/>
  </w:num>
  <w:num w:numId="22" w16cid:durableId="665978287">
    <w:abstractNumId w:val="24"/>
  </w:num>
  <w:num w:numId="23" w16cid:durableId="685517885">
    <w:abstractNumId w:val="26"/>
  </w:num>
  <w:num w:numId="24" w16cid:durableId="335815535">
    <w:abstractNumId w:val="4"/>
  </w:num>
  <w:num w:numId="25" w16cid:durableId="1700005116">
    <w:abstractNumId w:val="31"/>
  </w:num>
  <w:num w:numId="26" w16cid:durableId="1064179160">
    <w:abstractNumId w:val="23"/>
  </w:num>
  <w:num w:numId="27" w16cid:durableId="1787505150">
    <w:abstractNumId w:val="13"/>
  </w:num>
  <w:num w:numId="28" w16cid:durableId="1362318206">
    <w:abstractNumId w:val="30"/>
  </w:num>
  <w:num w:numId="29" w16cid:durableId="948777277">
    <w:abstractNumId w:val="16"/>
  </w:num>
  <w:num w:numId="30" w16cid:durableId="241716086">
    <w:abstractNumId w:val="18"/>
  </w:num>
  <w:num w:numId="31" w16cid:durableId="307977554">
    <w:abstractNumId w:val="28"/>
  </w:num>
  <w:num w:numId="32" w16cid:durableId="174812769">
    <w:abstractNumId w:val="25"/>
  </w:num>
  <w:num w:numId="33" w16cid:durableId="833028166">
    <w:abstractNumId w:val="20"/>
  </w:num>
  <w:num w:numId="34" w16cid:durableId="1411350180">
    <w:abstractNumId w:val="9"/>
  </w:num>
  <w:num w:numId="35" w16cid:durableId="1131706994">
    <w:abstractNumId w:val="15"/>
  </w:num>
  <w:num w:numId="36" w16cid:durableId="1613978873">
    <w:abstractNumId w:val="3"/>
  </w:num>
  <w:num w:numId="37" w16cid:durableId="7563331">
    <w:abstractNumId w:val="8"/>
  </w:num>
  <w:num w:numId="38" w16cid:durableId="976960097">
    <w:abstractNumId w:val="33"/>
  </w:num>
  <w:num w:numId="39" w16cid:durableId="475531787">
    <w:abstractNumId w:val="32"/>
  </w:num>
  <w:num w:numId="40" w16cid:durableId="989017806">
    <w:abstractNumId w:val="17"/>
  </w:num>
  <w:num w:numId="41" w16cid:durableId="2035769640">
    <w:abstractNumId w:val="7"/>
  </w:num>
  <w:num w:numId="42" w16cid:durableId="1566525523">
    <w:abstractNumId w:val="36"/>
  </w:num>
  <w:num w:numId="43" w16cid:durableId="261037515">
    <w:abstractNumId w:val="19"/>
  </w:num>
  <w:num w:numId="44" w16cid:durableId="966542517">
    <w:abstractNumId w:val="1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DD10E9"/>
    <w:rsid w:val="00006D7F"/>
    <w:rsid w:val="00220817"/>
    <w:rsid w:val="002275A3"/>
    <w:rsid w:val="00264E8C"/>
    <w:rsid w:val="0029359B"/>
    <w:rsid w:val="002F7589"/>
    <w:rsid w:val="00456C46"/>
    <w:rsid w:val="004B6001"/>
    <w:rsid w:val="005043BF"/>
    <w:rsid w:val="00561468"/>
    <w:rsid w:val="00577D82"/>
    <w:rsid w:val="005B1169"/>
    <w:rsid w:val="005B4451"/>
    <w:rsid w:val="005D0979"/>
    <w:rsid w:val="006850D2"/>
    <w:rsid w:val="0071388E"/>
    <w:rsid w:val="00805753"/>
    <w:rsid w:val="0080592C"/>
    <w:rsid w:val="00932E64"/>
    <w:rsid w:val="00975CD4"/>
    <w:rsid w:val="009A6669"/>
    <w:rsid w:val="00A03C9B"/>
    <w:rsid w:val="00A25D4A"/>
    <w:rsid w:val="00AB1DB1"/>
    <w:rsid w:val="00AE3ED6"/>
    <w:rsid w:val="00AF6A68"/>
    <w:rsid w:val="00D11EC3"/>
    <w:rsid w:val="00D66727"/>
    <w:rsid w:val="00D826F2"/>
    <w:rsid w:val="00DA3C00"/>
    <w:rsid w:val="00DA4553"/>
    <w:rsid w:val="00DD10E9"/>
    <w:rsid w:val="00DD76A9"/>
    <w:rsid w:val="00DE71CD"/>
    <w:rsid w:val="00E040D0"/>
    <w:rsid w:val="00F60AE1"/>
    <w:rsid w:val="00FC1A7D"/>
  </w:rsids>
  <m:mathPr>
    <m:mathFont m:val="Cambria Math"/>
    <m:brkBin m:val="before"/>
    <m:brkBinSub m:val="--"/>
    <m:smallFrac m:val="0"/>
    <m:dispDef/>
    <m:lMargin m:val="0"/>
    <m:rMargin m:val="0"/>
    <m:defJc m:val="centerGroup"/>
    <m:wrapIndent m:val="1440"/>
    <m:intLim m:val="subSup"/>
    <m:naryLim m:val="undOvr"/>
  </m:mathPr>
  <w:themeFontLang w:val="en-IN" w:bidi="hi-I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16A9908"/>
  <w15:chartTrackingRefBased/>
  <w15:docId w15:val="{CEE2BCDC-14B3-4E6C-B873-DE61770A5E9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2"/>
        <w:szCs w:val="22"/>
        <w:lang w:val="en-IN"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DD10E9"/>
    <w:pPr>
      <w:keepNext/>
      <w:keepLines/>
      <w:spacing w:before="360" w:after="80"/>
      <w:outlineLvl w:val="0"/>
    </w:pPr>
    <w:rPr>
      <w:rFonts w:asciiTheme="majorHAnsi" w:eastAsiaTheme="majorEastAsia" w:hAnsiTheme="majorHAnsi" w:cstheme="majorBidi"/>
      <w:color w:val="2F5496" w:themeColor="accent1" w:themeShade="BF"/>
      <w:sz w:val="40"/>
      <w:szCs w:val="40"/>
    </w:rPr>
  </w:style>
  <w:style w:type="paragraph" w:styleId="Heading2">
    <w:name w:val="heading 2"/>
    <w:basedOn w:val="Normal"/>
    <w:next w:val="Normal"/>
    <w:link w:val="Heading2Char"/>
    <w:uiPriority w:val="9"/>
    <w:semiHidden/>
    <w:unhideWhenUsed/>
    <w:qFormat/>
    <w:rsid w:val="00DD10E9"/>
    <w:pPr>
      <w:keepNext/>
      <w:keepLines/>
      <w:spacing w:before="160" w:after="80"/>
      <w:outlineLvl w:val="1"/>
    </w:pPr>
    <w:rPr>
      <w:rFonts w:asciiTheme="majorHAnsi" w:eastAsiaTheme="majorEastAsia" w:hAnsiTheme="majorHAnsi" w:cstheme="majorBidi"/>
      <w:color w:val="2F5496" w:themeColor="accent1" w:themeShade="BF"/>
      <w:sz w:val="32"/>
      <w:szCs w:val="32"/>
    </w:rPr>
  </w:style>
  <w:style w:type="paragraph" w:styleId="Heading3">
    <w:name w:val="heading 3"/>
    <w:basedOn w:val="Normal"/>
    <w:next w:val="Normal"/>
    <w:link w:val="Heading3Char"/>
    <w:uiPriority w:val="9"/>
    <w:unhideWhenUsed/>
    <w:qFormat/>
    <w:rsid w:val="00DD10E9"/>
    <w:pPr>
      <w:keepNext/>
      <w:keepLines/>
      <w:spacing w:before="160" w:after="80"/>
      <w:outlineLvl w:val="2"/>
    </w:pPr>
    <w:rPr>
      <w:rFonts w:eastAsiaTheme="majorEastAsia" w:cstheme="majorBidi"/>
      <w:color w:val="2F5496" w:themeColor="accent1" w:themeShade="BF"/>
      <w:sz w:val="28"/>
      <w:szCs w:val="28"/>
    </w:rPr>
  </w:style>
  <w:style w:type="paragraph" w:styleId="Heading4">
    <w:name w:val="heading 4"/>
    <w:basedOn w:val="Normal"/>
    <w:next w:val="Normal"/>
    <w:link w:val="Heading4Char"/>
    <w:uiPriority w:val="9"/>
    <w:semiHidden/>
    <w:unhideWhenUsed/>
    <w:qFormat/>
    <w:rsid w:val="00DD10E9"/>
    <w:pPr>
      <w:keepNext/>
      <w:keepLines/>
      <w:spacing w:before="80" w:after="40"/>
      <w:outlineLvl w:val="3"/>
    </w:pPr>
    <w:rPr>
      <w:rFonts w:eastAsiaTheme="majorEastAsia" w:cstheme="majorBidi"/>
      <w:i/>
      <w:iCs/>
      <w:color w:val="2F5496" w:themeColor="accent1" w:themeShade="BF"/>
    </w:rPr>
  </w:style>
  <w:style w:type="paragraph" w:styleId="Heading5">
    <w:name w:val="heading 5"/>
    <w:basedOn w:val="Normal"/>
    <w:next w:val="Normal"/>
    <w:link w:val="Heading5Char"/>
    <w:uiPriority w:val="9"/>
    <w:semiHidden/>
    <w:unhideWhenUsed/>
    <w:qFormat/>
    <w:rsid w:val="00DD10E9"/>
    <w:pPr>
      <w:keepNext/>
      <w:keepLines/>
      <w:spacing w:before="80" w:after="40"/>
      <w:outlineLvl w:val="4"/>
    </w:pPr>
    <w:rPr>
      <w:rFonts w:eastAsiaTheme="majorEastAsia" w:cstheme="majorBidi"/>
      <w:color w:val="2F5496" w:themeColor="accent1" w:themeShade="BF"/>
    </w:rPr>
  </w:style>
  <w:style w:type="paragraph" w:styleId="Heading6">
    <w:name w:val="heading 6"/>
    <w:basedOn w:val="Normal"/>
    <w:next w:val="Normal"/>
    <w:link w:val="Heading6Char"/>
    <w:uiPriority w:val="9"/>
    <w:semiHidden/>
    <w:unhideWhenUsed/>
    <w:qFormat/>
    <w:rsid w:val="00DD10E9"/>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DD10E9"/>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DD10E9"/>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DD10E9"/>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DD10E9"/>
    <w:rPr>
      <w:rFonts w:asciiTheme="majorHAnsi" w:eastAsiaTheme="majorEastAsia" w:hAnsiTheme="majorHAnsi" w:cstheme="majorBidi"/>
      <w:color w:val="2F5496" w:themeColor="accent1" w:themeShade="BF"/>
      <w:sz w:val="40"/>
      <w:szCs w:val="40"/>
    </w:rPr>
  </w:style>
  <w:style w:type="character" w:customStyle="1" w:styleId="Heading2Char">
    <w:name w:val="Heading 2 Char"/>
    <w:basedOn w:val="DefaultParagraphFont"/>
    <w:link w:val="Heading2"/>
    <w:uiPriority w:val="9"/>
    <w:semiHidden/>
    <w:rsid w:val="00DD10E9"/>
    <w:rPr>
      <w:rFonts w:asciiTheme="majorHAnsi" w:eastAsiaTheme="majorEastAsia" w:hAnsiTheme="majorHAnsi" w:cstheme="majorBidi"/>
      <w:color w:val="2F5496" w:themeColor="accent1" w:themeShade="BF"/>
      <w:sz w:val="32"/>
      <w:szCs w:val="32"/>
    </w:rPr>
  </w:style>
  <w:style w:type="character" w:customStyle="1" w:styleId="Heading3Char">
    <w:name w:val="Heading 3 Char"/>
    <w:basedOn w:val="DefaultParagraphFont"/>
    <w:link w:val="Heading3"/>
    <w:uiPriority w:val="9"/>
    <w:rsid w:val="00DD10E9"/>
    <w:rPr>
      <w:rFonts w:eastAsiaTheme="majorEastAsia" w:cstheme="majorBidi"/>
      <w:color w:val="2F5496" w:themeColor="accent1" w:themeShade="BF"/>
      <w:sz w:val="28"/>
      <w:szCs w:val="28"/>
    </w:rPr>
  </w:style>
  <w:style w:type="character" w:customStyle="1" w:styleId="Heading4Char">
    <w:name w:val="Heading 4 Char"/>
    <w:basedOn w:val="DefaultParagraphFont"/>
    <w:link w:val="Heading4"/>
    <w:uiPriority w:val="9"/>
    <w:semiHidden/>
    <w:rsid w:val="00DD10E9"/>
    <w:rPr>
      <w:rFonts w:eastAsiaTheme="majorEastAsia" w:cstheme="majorBidi"/>
      <w:i/>
      <w:iCs/>
      <w:color w:val="2F5496" w:themeColor="accent1" w:themeShade="BF"/>
    </w:rPr>
  </w:style>
  <w:style w:type="character" w:customStyle="1" w:styleId="Heading5Char">
    <w:name w:val="Heading 5 Char"/>
    <w:basedOn w:val="DefaultParagraphFont"/>
    <w:link w:val="Heading5"/>
    <w:uiPriority w:val="9"/>
    <w:semiHidden/>
    <w:rsid w:val="00DD10E9"/>
    <w:rPr>
      <w:rFonts w:eastAsiaTheme="majorEastAsia" w:cstheme="majorBidi"/>
      <w:color w:val="2F5496" w:themeColor="accent1" w:themeShade="BF"/>
    </w:rPr>
  </w:style>
  <w:style w:type="character" w:customStyle="1" w:styleId="Heading6Char">
    <w:name w:val="Heading 6 Char"/>
    <w:basedOn w:val="DefaultParagraphFont"/>
    <w:link w:val="Heading6"/>
    <w:uiPriority w:val="9"/>
    <w:semiHidden/>
    <w:rsid w:val="00DD10E9"/>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DD10E9"/>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DD10E9"/>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DD10E9"/>
    <w:rPr>
      <w:rFonts w:eastAsiaTheme="majorEastAsia" w:cstheme="majorBidi"/>
      <w:color w:val="272727" w:themeColor="text1" w:themeTint="D8"/>
    </w:rPr>
  </w:style>
  <w:style w:type="paragraph" w:styleId="Title">
    <w:name w:val="Title"/>
    <w:basedOn w:val="Normal"/>
    <w:next w:val="Normal"/>
    <w:link w:val="TitleChar"/>
    <w:uiPriority w:val="10"/>
    <w:qFormat/>
    <w:rsid w:val="00DD10E9"/>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DD10E9"/>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DD10E9"/>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DD10E9"/>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DD10E9"/>
    <w:pPr>
      <w:spacing w:before="160"/>
      <w:jc w:val="center"/>
    </w:pPr>
    <w:rPr>
      <w:i/>
      <w:iCs/>
      <w:color w:val="404040" w:themeColor="text1" w:themeTint="BF"/>
    </w:rPr>
  </w:style>
  <w:style w:type="character" w:customStyle="1" w:styleId="QuoteChar">
    <w:name w:val="Quote Char"/>
    <w:basedOn w:val="DefaultParagraphFont"/>
    <w:link w:val="Quote"/>
    <w:uiPriority w:val="29"/>
    <w:rsid w:val="00DD10E9"/>
    <w:rPr>
      <w:i/>
      <w:iCs/>
      <w:color w:val="404040" w:themeColor="text1" w:themeTint="BF"/>
    </w:rPr>
  </w:style>
  <w:style w:type="paragraph" w:styleId="ListParagraph">
    <w:name w:val="List Paragraph"/>
    <w:basedOn w:val="Normal"/>
    <w:uiPriority w:val="34"/>
    <w:qFormat/>
    <w:rsid w:val="00DD10E9"/>
    <w:pPr>
      <w:ind w:left="720"/>
      <w:contextualSpacing/>
    </w:pPr>
  </w:style>
  <w:style w:type="character" w:styleId="IntenseEmphasis">
    <w:name w:val="Intense Emphasis"/>
    <w:basedOn w:val="DefaultParagraphFont"/>
    <w:uiPriority w:val="21"/>
    <w:qFormat/>
    <w:rsid w:val="00DD10E9"/>
    <w:rPr>
      <w:i/>
      <w:iCs/>
      <w:color w:val="2F5496" w:themeColor="accent1" w:themeShade="BF"/>
    </w:rPr>
  </w:style>
  <w:style w:type="paragraph" w:styleId="IntenseQuote">
    <w:name w:val="Intense Quote"/>
    <w:basedOn w:val="Normal"/>
    <w:next w:val="Normal"/>
    <w:link w:val="IntenseQuoteChar"/>
    <w:uiPriority w:val="30"/>
    <w:qFormat/>
    <w:rsid w:val="00DD10E9"/>
    <w:pPr>
      <w:pBdr>
        <w:top w:val="single" w:sz="4" w:space="10" w:color="2F5496" w:themeColor="accent1" w:themeShade="BF"/>
        <w:bottom w:val="single" w:sz="4" w:space="10" w:color="2F5496" w:themeColor="accent1" w:themeShade="BF"/>
      </w:pBdr>
      <w:spacing w:before="360" w:after="360"/>
      <w:ind w:left="864" w:right="864"/>
      <w:jc w:val="center"/>
    </w:pPr>
    <w:rPr>
      <w:i/>
      <w:iCs/>
      <w:color w:val="2F5496" w:themeColor="accent1" w:themeShade="BF"/>
    </w:rPr>
  </w:style>
  <w:style w:type="character" w:customStyle="1" w:styleId="IntenseQuoteChar">
    <w:name w:val="Intense Quote Char"/>
    <w:basedOn w:val="DefaultParagraphFont"/>
    <w:link w:val="IntenseQuote"/>
    <w:uiPriority w:val="30"/>
    <w:rsid w:val="00DD10E9"/>
    <w:rPr>
      <w:i/>
      <w:iCs/>
      <w:color w:val="2F5496" w:themeColor="accent1" w:themeShade="BF"/>
    </w:rPr>
  </w:style>
  <w:style w:type="character" w:styleId="IntenseReference">
    <w:name w:val="Intense Reference"/>
    <w:basedOn w:val="DefaultParagraphFont"/>
    <w:uiPriority w:val="32"/>
    <w:qFormat/>
    <w:rsid w:val="00DD10E9"/>
    <w:rPr>
      <w:b/>
      <w:bCs/>
      <w:smallCaps/>
      <w:color w:val="2F5496" w:themeColor="accent1" w:themeShade="BF"/>
      <w:spacing w:val="5"/>
    </w:rPr>
  </w:style>
  <w:style w:type="paragraph" w:styleId="Header">
    <w:name w:val="header"/>
    <w:basedOn w:val="Normal"/>
    <w:link w:val="HeaderChar"/>
    <w:uiPriority w:val="99"/>
    <w:unhideWhenUsed/>
    <w:rsid w:val="00DD10E9"/>
    <w:pPr>
      <w:tabs>
        <w:tab w:val="center" w:pos="4513"/>
        <w:tab w:val="right" w:pos="9026"/>
      </w:tabs>
      <w:spacing w:after="0" w:line="240" w:lineRule="auto"/>
    </w:pPr>
  </w:style>
  <w:style w:type="character" w:customStyle="1" w:styleId="HeaderChar">
    <w:name w:val="Header Char"/>
    <w:basedOn w:val="DefaultParagraphFont"/>
    <w:link w:val="Header"/>
    <w:uiPriority w:val="99"/>
    <w:rsid w:val="00DD10E9"/>
  </w:style>
  <w:style w:type="paragraph" w:styleId="Footer">
    <w:name w:val="footer"/>
    <w:basedOn w:val="Normal"/>
    <w:link w:val="FooterChar"/>
    <w:uiPriority w:val="99"/>
    <w:unhideWhenUsed/>
    <w:rsid w:val="00DD10E9"/>
    <w:pPr>
      <w:tabs>
        <w:tab w:val="center" w:pos="4513"/>
        <w:tab w:val="right" w:pos="9026"/>
      </w:tabs>
      <w:spacing w:after="0" w:line="240" w:lineRule="auto"/>
    </w:pPr>
  </w:style>
  <w:style w:type="character" w:customStyle="1" w:styleId="FooterChar">
    <w:name w:val="Footer Char"/>
    <w:basedOn w:val="DefaultParagraphFont"/>
    <w:link w:val="Footer"/>
    <w:uiPriority w:val="99"/>
    <w:rsid w:val="00DD10E9"/>
  </w:style>
  <w:style w:type="table" w:styleId="TableGrid">
    <w:name w:val="Table Grid"/>
    <w:basedOn w:val="TableNormal"/>
    <w:uiPriority w:val="39"/>
    <w:rsid w:val="00DD10E9"/>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NormalWeb">
    <w:name w:val="Normal (Web)"/>
    <w:basedOn w:val="Normal"/>
    <w:uiPriority w:val="99"/>
    <w:semiHidden/>
    <w:unhideWhenUsed/>
    <w:rsid w:val="00F60AE1"/>
    <w:pPr>
      <w:spacing w:before="100" w:beforeAutospacing="1" w:after="100" w:afterAutospacing="1" w:line="240" w:lineRule="auto"/>
    </w:pPr>
    <w:rPr>
      <w:rFonts w:ascii="Times New Roman" w:eastAsia="Times New Roman" w:hAnsi="Times New Roman" w:cs="Times New Roman"/>
      <w:kern w:val="0"/>
      <w:sz w:val="24"/>
      <w:szCs w:val="24"/>
      <w:lang w:eastAsia="en-IN" w:bidi="hi-IN"/>
      <w14:ligatures w14:val="non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footer" Target="footer1.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image" Target="media/image2.png"/><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chart" Target="charts/chart3.xml"/><Relationship Id="rId5" Type="http://schemas.openxmlformats.org/officeDocument/2006/relationships/webSettings" Target="webSettings.xml"/><Relationship Id="rId15" Type="http://schemas.openxmlformats.org/officeDocument/2006/relationships/theme" Target="theme/theme1.xml"/><Relationship Id="rId10" Type="http://schemas.openxmlformats.org/officeDocument/2006/relationships/chart" Target="charts/chart2.xml"/><Relationship Id="rId4" Type="http://schemas.openxmlformats.org/officeDocument/2006/relationships/settings" Target="settings.xml"/><Relationship Id="rId9" Type="http://schemas.openxmlformats.org/officeDocument/2006/relationships/chart" Target="charts/chart1.xml"/><Relationship Id="rId14" Type="http://schemas.openxmlformats.org/officeDocument/2006/relationships/fontTable" Target="fontTable.xml"/></Relationships>
</file>

<file path=word/charts/_rels/chart1.xml.rels><?xml version="1.0" encoding="UTF-8" standalone="yes"?>
<Relationships xmlns="http://schemas.openxmlformats.org/package/2006/relationships"><Relationship Id="rId1" Type="http://schemas.openxmlformats.org/officeDocument/2006/relationships/oleObject" Target="file:///C:\Users\SHLOK\Downloads\Tesla_Financial_Charts.xlsx" TargetMode="External"/></Relationships>
</file>

<file path=word/charts/_rels/chart2.xml.rels><?xml version="1.0" encoding="UTF-8" standalone="yes"?>
<Relationships xmlns="http://schemas.openxmlformats.org/package/2006/relationships"><Relationship Id="rId1" Type="http://schemas.openxmlformats.org/officeDocument/2006/relationships/oleObject" Target="file:///C:\Users\SHLOK\Downloads\Tesla_Financial_Charts.xlsx" TargetMode="External"/></Relationships>
</file>

<file path=word/charts/_rels/chart3.xml.rels><?xml version="1.0" encoding="UTF-8" standalone="yes"?>
<Relationships xmlns="http://schemas.openxmlformats.org/package/2006/relationships"><Relationship Id="rId1" Type="http://schemas.openxmlformats.org/officeDocument/2006/relationships/oleObject" Target="file:///C:\Users\SHLOK\Downloads\Tesla_Financial_Charts.xlsx" TargetMode="External"/></Relationships>
</file>

<file path=word/charts/chart1.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1"/>
  <mc:AlternateContent xmlns:mc="http://schemas.openxmlformats.org/markup-compatibility/2006">
    <mc:Choice xmlns:c14="http://schemas.microsoft.com/office/drawing/2007/8/2/chart" Requires="c14">
      <c14:style val="102"/>
    </mc:Choice>
    <mc:Fallback>
      <c:style val="2"/>
    </mc:Fallback>
  </mc:AlternateContent>
  <c:chart>
    <c:title>
      <c:tx>
        <c:rich>
          <a:bodyPr/>
          <a:lstStyle/>
          <a:p>
            <a:pPr>
              <a:defRPr/>
            </a:pPr>
            <a:r>
              <a:rPr lang="en-IN"/>
              <a:t>Revenue Trend</a:t>
            </a:r>
          </a:p>
        </c:rich>
      </c:tx>
      <c:overlay val="1"/>
    </c:title>
    <c:autoTitleDeleted val="0"/>
    <c:plotArea>
      <c:layout/>
      <c:lineChart>
        <c:grouping val="standard"/>
        <c:varyColors val="1"/>
        <c:ser>
          <c:idx val="0"/>
          <c:order val="0"/>
          <c:tx>
            <c:strRef>
              <c:f>'Tesla Financials'!$B$1</c:f>
              <c:strCache>
                <c:ptCount val="1"/>
                <c:pt idx="0">
                  <c:v>Revenue ($B)</c:v>
                </c:pt>
              </c:strCache>
            </c:strRef>
          </c:tx>
          <c:spPr>
            <a:ln>
              <a:prstDash val="solid"/>
            </a:ln>
          </c:spPr>
          <c:marker>
            <c:symbol val="none"/>
          </c:marker>
          <c:cat>
            <c:numRef>
              <c:f>'Tesla Financials'!$A$2:$A$6</c:f>
              <c:numCache>
                <c:formatCode>General</c:formatCode>
                <c:ptCount val="5"/>
                <c:pt idx="0">
                  <c:v>2021</c:v>
                </c:pt>
                <c:pt idx="1">
                  <c:v>2022</c:v>
                </c:pt>
                <c:pt idx="2">
                  <c:v>2023</c:v>
                </c:pt>
                <c:pt idx="3">
                  <c:v>2024</c:v>
                </c:pt>
                <c:pt idx="4">
                  <c:v>2025</c:v>
                </c:pt>
              </c:numCache>
            </c:numRef>
          </c:cat>
          <c:val>
            <c:numRef>
              <c:f>'Tesla Financials'!$B$2:$B$6</c:f>
              <c:numCache>
                <c:formatCode>General</c:formatCode>
                <c:ptCount val="5"/>
                <c:pt idx="0">
                  <c:v>53.8</c:v>
                </c:pt>
                <c:pt idx="1">
                  <c:v>81.5</c:v>
                </c:pt>
                <c:pt idx="2">
                  <c:v>96.8</c:v>
                </c:pt>
                <c:pt idx="3">
                  <c:v>97.7</c:v>
                </c:pt>
                <c:pt idx="4">
                  <c:v>94.8</c:v>
                </c:pt>
              </c:numCache>
            </c:numRef>
          </c:val>
          <c:smooth val="1"/>
          <c:extLst>
            <c:ext xmlns:c16="http://schemas.microsoft.com/office/drawing/2014/chart" uri="{C3380CC4-5D6E-409C-BE32-E72D297353CC}">
              <c16:uniqueId val="{00000000-1412-4146-B088-A14F885F93DB}"/>
            </c:ext>
          </c:extLst>
        </c:ser>
        <c:dLbls>
          <c:showLegendKey val="0"/>
          <c:showVal val="0"/>
          <c:showCatName val="0"/>
          <c:showSerName val="0"/>
          <c:showPercent val="0"/>
          <c:showBubbleSize val="0"/>
        </c:dLbls>
        <c:smooth val="0"/>
        <c:axId val="10"/>
        <c:axId val="100"/>
      </c:lineChart>
      <c:catAx>
        <c:axId val="10"/>
        <c:scaling>
          <c:orientation val="minMax"/>
        </c:scaling>
        <c:delete val="1"/>
        <c:axPos val="b"/>
        <c:numFmt formatCode="General" sourceLinked="1"/>
        <c:majorTickMark val="none"/>
        <c:minorTickMark val="none"/>
        <c:tickLblPos val="nextTo"/>
        <c:crossAx val="100"/>
        <c:crosses val="autoZero"/>
        <c:auto val="1"/>
        <c:lblAlgn val="ctr"/>
        <c:lblOffset val="100"/>
        <c:noMultiLvlLbl val="1"/>
      </c:catAx>
      <c:valAx>
        <c:axId val="100"/>
        <c:scaling>
          <c:orientation val="minMax"/>
        </c:scaling>
        <c:delete val="1"/>
        <c:axPos val="l"/>
        <c:majorGridlines/>
        <c:numFmt formatCode="General" sourceLinked="1"/>
        <c:majorTickMark val="none"/>
        <c:minorTickMark val="none"/>
        <c:tickLblPos val="nextTo"/>
        <c:crossAx val="10"/>
        <c:crosses val="autoZero"/>
        <c:crossBetween val="between"/>
      </c:valAx>
    </c:plotArea>
    <c:legend>
      <c:legendPos val="r"/>
      <c:overlay val="0"/>
    </c:legend>
    <c:plotVisOnly val="1"/>
    <c:dispBlanksAs val="gap"/>
    <c:showDLblsOverMax val="1"/>
  </c:chart>
  <c:externalData r:id="rId1">
    <c:autoUpdate val="0"/>
  </c:externalData>
</c:chartSpace>
</file>

<file path=word/charts/chart2.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1"/>
  <mc:AlternateContent xmlns:mc="http://schemas.openxmlformats.org/markup-compatibility/2006">
    <mc:Choice xmlns:c14="http://schemas.microsoft.com/office/drawing/2007/8/2/chart" Requires="c14">
      <c14:style val="102"/>
    </mc:Choice>
    <mc:Fallback>
      <c:style val="2"/>
    </mc:Fallback>
  </mc:AlternateContent>
  <c:chart>
    <c:title>
      <c:tx>
        <c:rich>
          <a:bodyPr/>
          <a:lstStyle/>
          <a:p>
            <a:pPr>
              <a:defRPr/>
            </a:pPr>
            <a:r>
              <a:rPr lang="en-IN"/>
              <a:t>Net Income Trend</a:t>
            </a:r>
          </a:p>
        </c:rich>
      </c:tx>
      <c:overlay val="1"/>
    </c:title>
    <c:autoTitleDeleted val="0"/>
    <c:plotArea>
      <c:layout/>
      <c:lineChart>
        <c:grouping val="standard"/>
        <c:varyColors val="1"/>
        <c:ser>
          <c:idx val="0"/>
          <c:order val="0"/>
          <c:tx>
            <c:strRef>
              <c:f>'Tesla Financials'!$C$1</c:f>
              <c:strCache>
                <c:ptCount val="1"/>
                <c:pt idx="0">
                  <c:v>Net Income ($B)</c:v>
                </c:pt>
              </c:strCache>
            </c:strRef>
          </c:tx>
          <c:spPr>
            <a:ln>
              <a:prstDash val="solid"/>
            </a:ln>
          </c:spPr>
          <c:marker>
            <c:symbol val="none"/>
          </c:marker>
          <c:cat>
            <c:numRef>
              <c:f>'Tesla Financials'!$A$2:$A$6</c:f>
              <c:numCache>
                <c:formatCode>General</c:formatCode>
                <c:ptCount val="5"/>
                <c:pt idx="0">
                  <c:v>2021</c:v>
                </c:pt>
                <c:pt idx="1">
                  <c:v>2022</c:v>
                </c:pt>
                <c:pt idx="2">
                  <c:v>2023</c:v>
                </c:pt>
                <c:pt idx="3">
                  <c:v>2024</c:v>
                </c:pt>
                <c:pt idx="4">
                  <c:v>2025</c:v>
                </c:pt>
              </c:numCache>
            </c:numRef>
          </c:cat>
          <c:val>
            <c:numRef>
              <c:f>'Tesla Financials'!$C$2:$C$6</c:f>
              <c:numCache>
                <c:formatCode>General</c:formatCode>
                <c:ptCount val="5"/>
                <c:pt idx="0">
                  <c:v>5.5</c:v>
                </c:pt>
                <c:pt idx="1">
                  <c:v>12.5</c:v>
                </c:pt>
                <c:pt idx="2">
                  <c:v>15</c:v>
                </c:pt>
                <c:pt idx="3">
                  <c:v>7.1</c:v>
                </c:pt>
                <c:pt idx="4">
                  <c:v>3.8</c:v>
                </c:pt>
              </c:numCache>
            </c:numRef>
          </c:val>
          <c:smooth val="1"/>
          <c:extLst>
            <c:ext xmlns:c16="http://schemas.microsoft.com/office/drawing/2014/chart" uri="{C3380CC4-5D6E-409C-BE32-E72D297353CC}">
              <c16:uniqueId val="{00000000-4919-417A-9FE3-0658F82B4B71}"/>
            </c:ext>
          </c:extLst>
        </c:ser>
        <c:dLbls>
          <c:showLegendKey val="0"/>
          <c:showVal val="0"/>
          <c:showCatName val="0"/>
          <c:showSerName val="0"/>
          <c:showPercent val="0"/>
          <c:showBubbleSize val="0"/>
        </c:dLbls>
        <c:smooth val="0"/>
        <c:axId val="10"/>
        <c:axId val="100"/>
      </c:lineChart>
      <c:catAx>
        <c:axId val="10"/>
        <c:scaling>
          <c:orientation val="minMax"/>
        </c:scaling>
        <c:delete val="1"/>
        <c:axPos val="b"/>
        <c:numFmt formatCode="General" sourceLinked="1"/>
        <c:majorTickMark val="none"/>
        <c:minorTickMark val="none"/>
        <c:tickLblPos val="nextTo"/>
        <c:crossAx val="100"/>
        <c:crosses val="autoZero"/>
        <c:auto val="1"/>
        <c:lblAlgn val="ctr"/>
        <c:lblOffset val="100"/>
        <c:noMultiLvlLbl val="1"/>
      </c:catAx>
      <c:valAx>
        <c:axId val="100"/>
        <c:scaling>
          <c:orientation val="minMax"/>
        </c:scaling>
        <c:delete val="1"/>
        <c:axPos val="l"/>
        <c:majorGridlines/>
        <c:numFmt formatCode="General" sourceLinked="1"/>
        <c:majorTickMark val="none"/>
        <c:minorTickMark val="none"/>
        <c:tickLblPos val="nextTo"/>
        <c:crossAx val="10"/>
        <c:crosses val="autoZero"/>
        <c:crossBetween val="between"/>
      </c:valAx>
    </c:plotArea>
    <c:legend>
      <c:legendPos val="r"/>
      <c:overlay val="0"/>
    </c:legend>
    <c:plotVisOnly val="1"/>
    <c:dispBlanksAs val="gap"/>
    <c:showDLblsOverMax val="1"/>
  </c:chart>
  <c:externalData r:id="rId1">
    <c:autoUpdate val="0"/>
  </c:externalData>
</c:chartSpace>
</file>

<file path=word/charts/chart3.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1"/>
  <mc:AlternateContent xmlns:mc="http://schemas.openxmlformats.org/markup-compatibility/2006">
    <mc:Choice xmlns:c14="http://schemas.microsoft.com/office/drawing/2007/8/2/chart" Requires="c14">
      <c14:style val="102"/>
    </mc:Choice>
    <mc:Fallback>
      <c:style val="2"/>
    </mc:Fallback>
  </mc:AlternateContent>
  <c:chart>
    <c:title>
      <c:tx>
        <c:rich>
          <a:bodyPr/>
          <a:lstStyle/>
          <a:p>
            <a:pPr>
              <a:defRPr/>
            </a:pPr>
            <a:r>
              <a:rPr lang="en-IN"/>
              <a:t>Operating Margin Trend</a:t>
            </a:r>
          </a:p>
        </c:rich>
      </c:tx>
      <c:overlay val="1"/>
    </c:title>
    <c:autoTitleDeleted val="0"/>
    <c:plotArea>
      <c:layout/>
      <c:lineChart>
        <c:grouping val="standard"/>
        <c:varyColors val="1"/>
        <c:ser>
          <c:idx val="0"/>
          <c:order val="0"/>
          <c:tx>
            <c:strRef>
              <c:f>'Tesla Financials'!$D$1</c:f>
              <c:strCache>
                <c:ptCount val="1"/>
                <c:pt idx="0">
                  <c:v>Operating Margin (%)</c:v>
                </c:pt>
              </c:strCache>
            </c:strRef>
          </c:tx>
          <c:spPr>
            <a:ln>
              <a:prstDash val="solid"/>
            </a:ln>
          </c:spPr>
          <c:marker>
            <c:symbol val="none"/>
          </c:marker>
          <c:cat>
            <c:numRef>
              <c:f>'Tesla Financials'!$A$2:$A$6</c:f>
              <c:numCache>
                <c:formatCode>General</c:formatCode>
                <c:ptCount val="5"/>
                <c:pt idx="0">
                  <c:v>2021</c:v>
                </c:pt>
                <c:pt idx="1">
                  <c:v>2022</c:v>
                </c:pt>
                <c:pt idx="2">
                  <c:v>2023</c:v>
                </c:pt>
                <c:pt idx="3">
                  <c:v>2024</c:v>
                </c:pt>
                <c:pt idx="4">
                  <c:v>2025</c:v>
                </c:pt>
              </c:numCache>
            </c:numRef>
          </c:cat>
          <c:val>
            <c:numRef>
              <c:f>'Tesla Financials'!$D$2:$D$6</c:f>
              <c:numCache>
                <c:formatCode>General</c:formatCode>
                <c:ptCount val="5"/>
                <c:pt idx="0">
                  <c:v>12</c:v>
                </c:pt>
                <c:pt idx="1">
                  <c:v>16.8</c:v>
                </c:pt>
                <c:pt idx="2">
                  <c:v>10</c:v>
                </c:pt>
                <c:pt idx="3">
                  <c:v>6</c:v>
                </c:pt>
                <c:pt idx="4">
                  <c:v>4.5999999999999996</c:v>
                </c:pt>
              </c:numCache>
            </c:numRef>
          </c:val>
          <c:smooth val="1"/>
          <c:extLst>
            <c:ext xmlns:c16="http://schemas.microsoft.com/office/drawing/2014/chart" uri="{C3380CC4-5D6E-409C-BE32-E72D297353CC}">
              <c16:uniqueId val="{00000000-F35C-4369-B1F8-D88EB4ADE5FC}"/>
            </c:ext>
          </c:extLst>
        </c:ser>
        <c:dLbls>
          <c:showLegendKey val="0"/>
          <c:showVal val="0"/>
          <c:showCatName val="0"/>
          <c:showSerName val="0"/>
          <c:showPercent val="0"/>
          <c:showBubbleSize val="0"/>
        </c:dLbls>
        <c:smooth val="0"/>
        <c:axId val="10"/>
        <c:axId val="100"/>
      </c:lineChart>
      <c:catAx>
        <c:axId val="10"/>
        <c:scaling>
          <c:orientation val="minMax"/>
        </c:scaling>
        <c:delete val="1"/>
        <c:axPos val="b"/>
        <c:numFmt formatCode="General" sourceLinked="1"/>
        <c:majorTickMark val="none"/>
        <c:minorTickMark val="none"/>
        <c:tickLblPos val="nextTo"/>
        <c:crossAx val="100"/>
        <c:crosses val="autoZero"/>
        <c:auto val="1"/>
        <c:lblAlgn val="ctr"/>
        <c:lblOffset val="100"/>
        <c:noMultiLvlLbl val="1"/>
      </c:catAx>
      <c:valAx>
        <c:axId val="100"/>
        <c:scaling>
          <c:orientation val="minMax"/>
        </c:scaling>
        <c:delete val="1"/>
        <c:axPos val="l"/>
        <c:majorGridlines/>
        <c:numFmt formatCode="General" sourceLinked="1"/>
        <c:majorTickMark val="none"/>
        <c:minorTickMark val="none"/>
        <c:tickLblPos val="nextTo"/>
        <c:crossAx val="10"/>
        <c:crosses val="autoZero"/>
        <c:crossBetween val="between"/>
      </c:valAx>
    </c:plotArea>
    <c:legend>
      <c:legendPos val="r"/>
      <c:overlay val="0"/>
    </c:legend>
    <c:plotVisOnly val="1"/>
    <c:dispBlanksAs val="gap"/>
    <c:showDLblsOverMax val="1"/>
  </c:chart>
  <c:externalData r:id="rId1">
    <c:autoUpdate val="0"/>
  </c:externalData>
</c:chartSpace>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5D6186CC-22BB-46CE-9C3E-087F7B5F4323}">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5</TotalTime>
  <Pages>22</Pages>
  <Words>5338</Words>
  <Characters>30429</Characters>
  <Application>Microsoft Office Word</Application>
  <DocSecurity>0</DocSecurity>
  <Lines>253</Lines>
  <Paragraphs>71</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35696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SHLOK CHOUDHARY</dc:creator>
  <cp:keywords/>
  <dc:description/>
  <cp:lastModifiedBy>SHLOK CHOUDHARY</cp:lastModifiedBy>
  <cp:revision>3</cp:revision>
  <dcterms:created xsi:type="dcterms:W3CDTF">2026-04-20T14:19:00Z</dcterms:created>
  <dcterms:modified xsi:type="dcterms:W3CDTF">2026-04-20T14:28:00Z</dcterms:modified>
</cp:coreProperties>
</file>