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CBCB96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80E19">
              <w:rPr>
                <w:b/>
                <w:color w:val="auto"/>
                <w:sz w:val="32"/>
              </w:rPr>
              <w:t>Christi</w:t>
            </w:r>
            <w:r w:rsidR="00846B1C">
              <w:rPr>
                <w:b/>
                <w:color w:val="auto"/>
                <w:sz w:val="32"/>
              </w:rPr>
              <w:t>a</w:t>
            </w:r>
            <w:r w:rsidR="00D80E19">
              <w:rPr>
                <w:b/>
                <w:color w:val="auto"/>
                <w:sz w:val="32"/>
              </w:rPr>
              <w:t>n James Coomer</w:t>
            </w:r>
          </w:p>
          <w:p w14:paraId="44290483" w14:textId="77777777" w:rsidR="00FF6BE0" w:rsidRDefault="00FF6BE0" w:rsidP="00340E9A">
            <w:pPr>
              <w:overflowPunct/>
              <w:autoSpaceDE/>
              <w:autoSpaceDN/>
              <w:adjustRightInd/>
              <w:ind w:right="237"/>
              <w:textAlignment w:val="auto"/>
              <w:rPr>
                <w:b/>
                <w:color w:val="auto"/>
                <w:sz w:val="32"/>
              </w:rPr>
            </w:pPr>
          </w:p>
          <w:p w14:paraId="4A4B1989" w14:textId="73D12502"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80E19">
              <w:rPr>
                <w:b/>
                <w:color w:val="auto"/>
                <w:sz w:val="32"/>
              </w:rPr>
              <w:t xml:space="preserve"> </w:t>
            </w:r>
            <w:bookmarkStart w:id="0" w:name="_GoBack"/>
            <w:r w:rsidR="00D80E19">
              <w:rPr>
                <w:b/>
                <w:color w:val="auto"/>
                <w:sz w:val="32"/>
              </w:rPr>
              <w:t>1916803</w:t>
            </w:r>
            <w:bookmarkEnd w:id="0"/>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5C1976"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5E7835D" w:rsidR="00AA666E" w:rsidRDefault="00025650" w:rsidP="00340E9A">
      <w:pPr>
        <w:ind w:right="237"/>
        <w:jc w:val="both"/>
        <w:rPr>
          <w:b/>
          <w:sz w:val="24"/>
          <w:szCs w:val="24"/>
        </w:rPr>
      </w:pPr>
      <w:r w:rsidRPr="00025650">
        <w:rPr>
          <w:b/>
          <w:sz w:val="24"/>
          <w:szCs w:val="24"/>
        </w:rPr>
        <w:t>ANSWER:</w:t>
      </w:r>
    </w:p>
    <w:p w14:paraId="09005D64" w14:textId="77777777" w:rsidR="00BF1B5F" w:rsidRPr="00C56A6B" w:rsidRDefault="00BF1B5F" w:rsidP="00B81B17">
      <w:pPr>
        <w:spacing w:before="240"/>
        <w:rPr>
          <w:sz w:val="24"/>
          <w:szCs w:val="24"/>
        </w:rPr>
      </w:pPr>
      <w:r w:rsidRPr="00C56A6B">
        <w:rPr>
          <w:sz w:val="24"/>
          <w:szCs w:val="24"/>
        </w:rPr>
        <w:t>Using Driscoll’s reflective model (2000) I will explore my coping strategies to manage stress and build resilience during the tutorship period of police training.</w:t>
      </w:r>
      <w:bookmarkStart w:id="1" w:name="_Hlk52198575"/>
      <w:r w:rsidRPr="00C56A6B">
        <w:rPr>
          <w:sz w:val="24"/>
          <w:szCs w:val="24"/>
        </w:rPr>
        <w:t xml:space="preserve"> </w:t>
      </w:r>
      <w:bookmarkEnd w:id="1"/>
      <w:r w:rsidRPr="00C56A6B">
        <w:rPr>
          <w:sz w:val="24"/>
          <w:szCs w:val="24"/>
        </w:rPr>
        <w:t>The model will break down my thoughts, feelings and allow me to reflect on coping strategies that have helped and what can I take going forwards from this experience.</w:t>
      </w:r>
    </w:p>
    <w:p w14:paraId="6E0B7E0C" w14:textId="77777777" w:rsidR="00BF1B5F" w:rsidRPr="00C56A6B" w:rsidRDefault="00BF1B5F" w:rsidP="00B81B17">
      <w:pPr>
        <w:spacing w:before="240"/>
        <w:rPr>
          <w:sz w:val="24"/>
          <w:szCs w:val="24"/>
        </w:rPr>
      </w:pPr>
      <w:r w:rsidRPr="00C56A6B">
        <w:rPr>
          <w:sz w:val="24"/>
          <w:szCs w:val="24"/>
        </w:rPr>
        <w:t xml:space="preserve">During the tutorship phase of my training I have spent the last twelve weeks applying practically what I have learnt in the classroom under the supervision of my tutor. I have had to cope with pressures such as adjusting to a shift pattern, managing my workload while achieving a good work life balance and fitting into a new team.  </w:t>
      </w:r>
    </w:p>
    <w:p w14:paraId="49EF7F74" w14:textId="77777777" w:rsidR="00BF1B5F" w:rsidRPr="00C56A6B" w:rsidRDefault="00BF1B5F" w:rsidP="00B81B17">
      <w:pPr>
        <w:spacing w:before="240"/>
        <w:rPr>
          <w:sz w:val="24"/>
          <w:szCs w:val="24"/>
        </w:rPr>
      </w:pPr>
      <w:r w:rsidRPr="00C56A6B">
        <w:rPr>
          <w:sz w:val="24"/>
          <w:szCs w:val="24"/>
        </w:rPr>
        <w:t>Mind (2017) suggest that stress is caused by pressure of situations that we have little control of or demands on us that are difficult to cope with. They also suggest that pressure is a normal part of life and being able to deal with pressure can have a positive impact. It was important that I look at what caused me stress from the change I faced so that I could manage it in a positive way and build emotional resilience.</w:t>
      </w:r>
    </w:p>
    <w:p w14:paraId="03F970F7" w14:textId="77777777" w:rsidR="00BF1B5F" w:rsidRPr="00C56A6B" w:rsidRDefault="00BF1B5F" w:rsidP="00B81B17">
      <w:pPr>
        <w:spacing w:before="240"/>
        <w:rPr>
          <w:sz w:val="24"/>
          <w:szCs w:val="24"/>
        </w:rPr>
      </w:pPr>
      <w:r w:rsidRPr="00C56A6B">
        <w:rPr>
          <w:sz w:val="24"/>
          <w:szCs w:val="24"/>
        </w:rPr>
        <w:t>Having a young family and a partner working I found it difficult balancing the working shift pattern of a response officer. NHS (2018) advise that taking control of a situation is a way of managing stress. I had to take control and change how I planned work and family life. In my previous civilian job, I worked mainly sociable hours Monday to Friday. I have had to adapt to a shift pattern consisting of a mixture of days, evenings and nights covering over a six day block. Balancing work life around family life was difficult, particularly the childcare aspect. To ensure I was able to meet the demands expected of me in my new role I began by forward planning childcare with my family. It has enabled me to relieve some of the stresses attached to a new working shift pattern by sharing the problem. This enabled me to focus on my new role without the extra stress of worrying about childcare issues.</w:t>
      </w:r>
    </w:p>
    <w:p w14:paraId="136F75D2" w14:textId="77777777" w:rsidR="00BF1B5F" w:rsidRPr="00C56A6B" w:rsidRDefault="00BF1B5F" w:rsidP="00B81B17">
      <w:pPr>
        <w:spacing w:before="240"/>
        <w:rPr>
          <w:sz w:val="24"/>
          <w:szCs w:val="24"/>
        </w:rPr>
      </w:pPr>
      <w:r w:rsidRPr="00C56A6B">
        <w:rPr>
          <w:sz w:val="24"/>
          <w:szCs w:val="24"/>
        </w:rPr>
        <w:t xml:space="preserve">I have also had to deal with the pressure of joining a new team. This has been daunting, as I wanted to make the right first impression. Young (2018) suggests that first impressions matter when starting a new job. To help cope with the pressure of joining a new team I attended the station with my tutor to meet them before starting my first shift with them. This meant that I was able to introduce myself in a relaxed </w:t>
      </w:r>
      <w:r w:rsidRPr="00C56A6B">
        <w:rPr>
          <w:sz w:val="24"/>
          <w:szCs w:val="24"/>
        </w:rPr>
        <w:lastRenderedPageBreak/>
        <w:t xml:space="preserve">environment. I was then able to speak to everyone individually and all at the same time instead of just passing by between jobs without any real time to introduce myself. I felt this helped in breaking the ice and relieved some of the pressure when attending my first day. Ensuring I make every effort to fit into my new team is a key skill required of me under the Policing Education and Qualification Framework which states I should ‘proactively develop effective working relationships with colleagues’ (College of Policing 2020). </w:t>
      </w:r>
    </w:p>
    <w:p w14:paraId="3607B4B5" w14:textId="77777777" w:rsidR="00BF1B5F" w:rsidRPr="00C56A6B" w:rsidRDefault="00BF1B5F" w:rsidP="00B81B17">
      <w:pPr>
        <w:spacing w:before="240"/>
        <w:rPr>
          <w:sz w:val="24"/>
          <w:szCs w:val="24"/>
        </w:rPr>
      </w:pPr>
      <w:r w:rsidRPr="00C56A6B">
        <w:rPr>
          <w:sz w:val="24"/>
          <w:szCs w:val="24"/>
        </w:rPr>
        <w:t xml:space="preserve">I have now come to the end of my twelve-week tutorship and will now move onto my station working alongside my new team. I will continue to pre-plan my childcare around my new shift pattern so that I can relieve the stress’s that come when balancing a work and family life. I will also continue to build personal bonds with individuals on my team so that I can eliminate the pressure of joining a new team and become a useful team member. By doing this I hope that this time next year the pressure of joining a new team will be a thing of the past. </w:t>
      </w:r>
    </w:p>
    <w:p w14:paraId="6C3463D3" w14:textId="4CF388D1" w:rsidR="00BF1B5F" w:rsidRPr="00C56A6B" w:rsidRDefault="00BF1B5F" w:rsidP="00B81B17">
      <w:pPr>
        <w:spacing w:before="240"/>
        <w:ind w:right="237"/>
        <w:jc w:val="both"/>
        <w:rPr>
          <w:bCs/>
          <w:sz w:val="24"/>
          <w:szCs w:val="24"/>
        </w:rPr>
      </w:pPr>
      <w:r w:rsidRPr="00C56A6B">
        <w:rPr>
          <w:bCs/>
          <w:sz w:val="24"/>
          <w:szCs w:val="24"/>
        </w:rPr>
        <w:t>Word count 629</w:t>
      </w:r>
    </w:p>
    <w:p w14:paraId="12F61621" w14:textId="77777777" w:rsidR="00BF1B5F" w:rsidRDefault="00BF1B5F" w:rsidP="00B81B17">
      <w:pPr>
        <w:spacing w:before="240"/>
        <w:ind w:right="237"/>
        <w:jc w:val="both"/>
        <w:rPr>
          <w:b/>
          <w:sz w:val="24"/>
          <w:szCs w:val="24"/>
        </w:rPr>
      </w:pPr>
    </w:p>
    <w:p w14:paraId="184ECB33" w14:textId="21D61CDA" w:rsidR="0011102D" w:rsidRDefault="0011102D" w:rsidP="00B81B17">
      <w:pPr>
        <w:spacing w:before="240"/>
        <w:ind w:right="237"/>
        <w:jc w:val="both"/>
        <w:rPr>
          <w:b/>
          <w:sz w:val="24"/>
          <w:szCs w:val="24"/>
        </w:rPr>
      </w:pPr>
    </w:p>
    <w:p w14:paraId="2E1D88F3" w14:textId="77777777" w:rsidR="0011102D" w:rsidRPr="00025650" w:rsidRDefault="0011102D" w:rsidP="00B81B17">
      <w:pPr>
        <w:spacing w:before="240"/>
        <w:ind w:right="237"/>
        <w:jc w:val="both"/>
        <w:rPr>
          <w:b/>
          <w:sz w:val="24"/>
          <w:szCs w:val="24"/>
        </w:rPr>
      </w:pPr>
    </w:p>
    <w:p w14:paraId="616003F9" w14:textId="77777777" w:rsidR="00FF7784" w:rsidRPr="00270EEB" w:rsidRDefault="00FF7784" w:rsidP="00B81B17">
      <w:pPr>
        <w:spacing w:before="240"/>
        <w:ind w:right="237"/>
        <w:jc w:val="both"/>
        <w:rPr>
          <w:sz w:val="24"/>
          <w:szCs w:val="24"/>
        </w:rPr>
      </w:pPr>
    </w:p>
    <w:p w14:paraId="3B855813" w14:textId="77777777" w:rsidR="00FF7784" w:rsidRPr="00270EEB" w:rsidRDefault="00FF7784" w:rsidP="00B81B17">
      <w:pPr>
        <w:spacing w:before="240"/>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73C0F3C9" w14:textId="77777777" w:rsidR="00F073D0" w:rsidRDefault="00450C83" w:rsidP="00F073D0">
      <w:pPr>
        <w:rPr>
          <w:b/>
          <w:sz w:val="24"/>
          <w:szCs w:val="24"/>
        </w:rPr>
      </w:pPr>
      <w:r w:rsidRPr="00450C83">
        <w:rPr>
          <w:b/>
          <w:sz w:val="24"/>
          <w:szCs w:val="24"/>
        </w:rPr>
        <w:t>ANSWER:</w:t>
      </w:r>
    </w:p>
    <w:p w14:paraId="0554029E" w14:textId="4C555536" w:rsidR="00F073D0" w:rsidRPr="00C56A6B" w:rsidRDefault="00F073D0" w:rsidP="00B81B17">
      <w:pPr>
        <w:spacing w:before="240"/>
        <w:rPr>
          <w:sz w:val="24"/>
          <w:szCs w:val="24"/>
        </w:rPr>
      </w:pPr>
      <w:r w:rsidRPr="00C56A6B">
        <w:rPr>
          <w:sz w:val="24"/>
          <w:szCs w:val="24"/>
        </w:rPr>
        <w:t xml:space="preserve">Using Driscoll’s reflective model (2000) I explore a challenging domestic abuse incident I attended with my tutor. Domestic abuse can be defined as any incident whereby a person over age of 16 is subject to threatening, coercive or controlling behaviour by partners or family members, irrespective of gender or sexuality (Crown Prosecution Service 2017). This incident stood out for me due to the limited information, difficulty in establishing what had happened, potential risk and harm posed to the victim and history of multiple past incidents. I considered risk factors and vulnerability of the victim to decide how to assist and safeguard her. It required good communication skills to build rapport and gain trust and tested my instinct and observational skills.  </w:t>
      </w:r>
    </w:p>
    <w:p w14:paraId="02F50AFE" w14:textId="77777777" w:rsidR="00F073D0" w:rsidRPr="00C56A6B" w:rsidRDefault="00F073D0" w:rsidP="00B81B17">
      <w:pPr>
        <w:spacing w:before="240"/>
        <w:rPr>
          <w:sz w:val="24"/>
          <w:szCs w:val="24"/>
        </w:rPr>
      </w:pPr>
      <w:r w:rsidRPr="00C56A6B">
        <w:rPr>
          <w:sz w:val="24"/>
          <w:szCs w:val="24"/>
        </w:rPr>
        <w:t>On patrol with my tutor we were asked by the control room to attend an address and recognising this as a good learning opportunity we took the call.</w:t>
      </w:r>
    </w:p>
    <w:p w14:paraId="0DB37078" w14:textId="77777777" w:rsidR="00F073D0" w:rsidRPr="00C56A6B" w:rsidRDefault="00F073D0" w:rsidP="00B81B17">
      <w:pPr>
        <w:spacing w:before="240"/>
        <w:rPr>
          <w:sz w:val="24"/>
          <w:szCs w:val="24"/>
        </w:rPr>
      </w:pPr>
      <w:r w:rsidRPr="00C56A6B">
        <w:rPr>
          <w:sz w:val="24"/>
          <w:szCs w:val="24"/>
        </w:rPr>
        <w:t xml:space="preserve">The control room received an abandoned call where a female had asked for police help. Checks on the number identified a female with multiple high-risk warning marks </w:t>
      </w:r>
      <w:r w:rsidRPr="00C56A6B">
        <w:rPr>
          <w:sz w:val="24"/>
          <w:szCs w:val="24"/>
        </w:rPr>
        <w:lastRenderedPageBreak/>
        <w:t>such as drugs, weapons, suicide and repeated domestic violence. They attempted to call the female back and been able to make contact, so needed an urgent response.</w:t>
      </w:r>
    </w:p>
    <w:p w14:paraId="37EE55EE" w14:textId="77777777" w:rsidR="00F073D0" w:rsidRPr="00C56A6B" w:rsidRDefault="00F073D0" w:rsidP="00B81B17">
      <w:pPr>
        <w:spacing w:before="240"/>
        <w:rPr>
          <w:sz w:val="24"/>
          <w:szCs w:val="24"/>
        </w:rPr>
      </w:pPr>
      <w:r w:rsidRPr="00C56A6B">
        <w:rPr>
          <w:sz w:val="24"/>
          <w:szCs w:val="24"/>
        </w:rPr>
        <w:t>Due to the speed required to respond we had limited information when we arrived at the address. Before entering the block of flats I activated my body worn video, an effective tool used by police to capture evidence which can strengthen a case leading to more chance of a prosecution, reliably supported in a randomised control trial (Owens et al 2014). My responsibilities using body worn video are outlined by College of Policing (2014) and underpinned by 7 principles: Some principles are outside my immediate control but it is my responsibility to adhere to those that I am able to such as use being incident specific and it not replacing other forms of investigation such as interviewing.</w:t>
      </w:r>
    </w:p>
    <w:p w14:paraId="4D636DFE" w14:textId="77777777" w:rsidR="00F073D0" w:rsidRPr="00C56A6B" w:rsidRDefault="00F073D0" w:rsidP="00B81B17">
      <w:pPr>
        <w:spacing w:before="240"/>
        <w:rPr>
          <w:sz w:val="24"/>
          <w:szCs w:val="24"/>
        </w:rPr>
      </w:pPr>
      <w:r w:rsidRPr="00C56A6B">
        <w:rPr>
          <w:sz w:val="24"/>
          <w:szCs w:val="24"/>
        </w:rPr>
        <w:t xml:space="preserve">Expecting a violent and aggressive situation, arriving at the door there was silence. The male who answered the door did not seem to understand why were there. On entering I saw a female sitting in silence watching the television not acknowledging us. I asked if anyone had called the police and the female shook her head and asked why we were called. Something felt wrong so I sat down with the female in the living room and my tutor talked to the male in one of the bedrooms. </w:t>
      </w:r>
    </w:p>
    <w:p w14:paraId="7A7F7DA4" w14:textId="77777777" w:rsidR="00F073D0" w:rsidRPr="00C56A6B" w:rsidRDefault="00F073D0" w:rsidP="00B81B17">
      <w:pPr>
        <w:spacing w:before="240"/>
        <w:rPr>
          <w:sz w:val="24"/>
          <w:szCs w:val="24"/>
        </w:rPr>
      </w:pPr>
      <w:r w:rsidRPr="00C56A6B">
        <w:rPr>
          <w:sz w:val="24"/>
          <w:szCs w:val="24"/>
        </w:rPr>
        <w:t xml:space="preserve">Although separated the female continued denying that she had called the police and made limited eye contact. There are many reasons why a victim of abuse might not engage including fear of the abuser, self-blame, lack of trust in the system (Wire &amp; Myhill 2016) but making the call had indicated to me she was open to help. Every time I asked what had happened, she would ask me why we were there, so I decided to change my approach and start taking about the television programme she was watching. I was then able to get a conversation going and start building some rapport, Vallano et al (2015) suggests many officers will use small talk to find a common interest to start building rapport.     </w:t>
      </w:r>
    </w:p>
    <w:p w14:paraId="0803EAA7" w14:textId="77777777" w:rsidR="00F073D0" w:rsidRPr="00C56A6B" w:rsidRDefault="00F073D0" w:rsidP="00B81B17">
      <w:pPr>
        <w:spacing w:before="240"/>
        <w:rPr>
          <w:sz w:val="24"/>
          <w:szCs w:val="24"/>
        </w:rPr>
      </w:pPr>
      <w:r w:rsidRPr="00C56A6B">
        <w:rPr>
          <w:sz w:val="24"/>
          <w:szCs w:val="24"/>
        </w:rPr>
        <w:t xml:space="preserve">Once I felt I had earned some trust I asked again if she had called, then she nodded and began crying. She stood up and facing away from me, she pulled her top up. I saw several large bruises on her back, I thanked her, and she sat back down. I asked if it was her partner who had caused the injuries, she nodded again. She struggled to say what had happened but taking my time and asking questions she could nod her head to I was able to build up a clear picture of what had happened. </w:t>
      </w:r>
    </w:p>
    <w:p w14:paraId="194DB5B4" w14:textId="77777777" w:rsidR="00F073D0" w:rsidRPr="00C56A6B" w:rsidRDefault="00F073D0" w:rsidP="00B81B17">
      <w:pPr>
        <w:spacing w:before="240"/>
        <w:rPr>
          <w:sz w:val="24"/>
          <w:szCs w:val="24"/>
        </w:rPr>
      </w:pPr>
      <w:r w:rsidRPr="00C56A6B">
        <w:rPr>
          <w:sz w:val="24"/>
          <w:szCs w:val="24"/>
        </w:rPr>
        <w:t xml:space="preserve">Considering what action to take felt critical, not pursuing as she was unwilling could put her at further risk and misinterpreting the situation could lead to not managing the situation correctly. Myhill and Johnson (2016) suggest officers use significant discretion when dealing with domestic incidents resulting in lack of thorough investigation and minimise how serious the incident was. For me it was clear, the bruising, her body language and lack of engagement suggested she was scared, confirming to me that an incident had occurred and that she at risk and needed help. I let my tutor know what she had disclosed to me and he agreed with my decision to arrest the partner for common assault and battery under section 39 of the Criminal Justice Act (1988). </w:t>
      </w:r>
    </w:p>
    <w:p w14:paraId="5540743C" w14:textId="77777777" w:rsidR="00F073D0" w:rsidRPr="00C56A6B" w:rsidRDefault="00F073D0" w:rsidP="00B81B17">
      <w:pPr>
        <w:spacing w:before="240"/>
        <w:rPr>
          <w:sz w:val="24"/>
          <w:szCs w:val="24"/>
        </w:rPr>
      </w:pPr>
      <w:r w:rsidRPr="00C56A6B">
        <w:rPr>
          <w:sz w:val="24"/>
          <w:szCs w:val="24"/>
        </w:rPr>
        <w:t xml:space="preserve">Once the males detention was authorised in custody, my role as Police Constable was to gather evidence and safeguard the victim. I returned to the flat and could tell that she was more confident without her partner present, but she still declined to </w:t>
      </w:r>
      <w:r w:rsidRPr="00C56A6B">
        <w:rPr>
          <w:sz w:val="24"/>
          <w:szCs w:val="24"/>
        </w:rPr>
        <w:lastRenderedPageBreak/>
        <w:t>make a statement. This is not uncommon and recognised by the Crown Prosecution Service (2017) who suggest that a victim is subject to pressure due to the close nature of their relationship and can be under a degree of control by the alleged offender. Accepting this I was still keen to try to safeguard her and I did manage to get her consent to complete a DASH report.</w:t>
      </w:r>
    </w:p>
    <w:p w14:paraId="24B80454" w14:textId="77777777" w:rsidR="00F073D0" w:rsidRPr="00C56A6B" w:rsidRDefault="00F073D0" w:rsidP="00B81B17">
      <w:pPr>
        <w:spacing w:before="240"/>
        <w:rPr>
          <w:sz w:val="24"/>
          <w:szCs w:val="24"/>
        </w:rPr>
      </w:pPr>
      <w:r w:rsidRPr="00C56A6B">
        <w:rPr>
          <w:sz w:val="24"/>
          <w:szCs w:val="24"/>
        </w:rPr>
        <w:t>The DASH risk assessment and management model stands for domestic violence, stalking and harassment and honour-based violence, it should be completed for all domestic violence incidents (Richards 2009). It is a series of questions to assess the situation and current risk and a framework to manage the situation once the risk is categorised. A review of the model by Robinson et al (2016) suggests that the first responding officer is in the best position to observe the situation first-hand, observing potential victim and perpetrator, noting body language, interaction and general demeanour. Therefore, my responsibility as the first responder was to complete fully, noting all observations, as a poor risk assessment could have severe implications for the victim.</w:t>
      </w:r>
    </w:p>
    <w:p w14:paraId="428ADEE3" w14:textId="77777777" w:rsidR="00F073D0" w:rsidRPr="00C56A6B" w:rsidRDefault="00F073D0" w:rsidP="00B81B17">
      <w:pPr>
        <w:spacing w:before="240"/>
        <w:rPr>
          <w:sz w:val="24"/>
          <w:szCs w:val="24"/>
        </w:rPr>
      </w:pPr>
      <w:r w:rsidRPr="00C56A6B">
        <w:rPr>
          <w:sz w:val="24"/>
          <w:szCs w:val="24"/>
        </w:rPr>
        <w:t>As she had answered Yes on the DASH report to feeling depressed and suicidal, I was unhappy for the female to stay in the flat alone. I asked if she wanted to be taken to family or friends for the night and to my relief, she agreed we could take her to a friend.</w:t>
      </w:r>
    </w:p>
    <w:p w14:paraId="6495722B" w14:textId="77777777" w:rsidR="00F073D0" w:rsidRPr="00C56A6B" w:rsidRDefault="00F073D0" w:rsidP="00B81B17">
      <w:pPr>
        <w:spacing w:before="240"/>
        <w:rPr>
          <w:sz w:val="24"/>
          <w:szCs w:val="24"/>
        </w:rPr>
      </w:pPr>
      <w:r w:rsidRPr="00C56A6B">
        <w:rPr>
          <w:sz w:val="24"/>
          <w:szCs w:val="24"/>
        </w:rPr>
        <w:t>Once the DASH was completed and safeguarding put in place, I began obtaining evidence to prove or disprove the allegation of assault. Starting with the victim, with her consent I took photos of the injuries. This action is supported by Bryant &amp; Bryant (2020) p.286 who suggest non- intimate injuries should be photographed as soon as possible. Next, I conducted house to house enquires with the other residents in the flats. Practice advice from ACPO (2006) suggest that this is a useful activity to find witnesses to a crime and I hoped that someone might come forward to provide information, unfortunately no one could give information that was relevant to that evening.</w:t>
      </w:r>
    </w:p>
    <w:p w14:paraId="5449D54E" w14:textId="77777777" w:rsidR="00F073D0" w:rsidRPr="00C56A6B" w:rsidRDefault="00F073D0" w:rsidP="00B81B17">
      <w:pPr>
        <w:spacing w:before="240"/>
        <w:rPr>
          <w:sz w:val="24"/>
          <w:szCs w:val="24"/>
        </w:rPr>
      </w:pPr>
      <w:r w:rsidRPr="00C56A6B">
        <w:rPr>
          <w:sz w:val="24"/>
          <w:szCs w:val="24"/>
        </w:rPr>
        <w:t xml:space="preserve">When I returned to the station, I began uploading the evidence gathered and checked previous incidents that had occurred between the pair. I was shocked to see the number of incidents. I know there is always two sides to a story, and I was told that during interview the male had claimed he was assaulted first, but it was difficult to not feel I was there for the victim and not her partner. It is our job as the police to gather all the evidence and not just the evidence that supports the victim’s initial account. Under the Code of Practice to the Criminal Procedure and Investigations Act (1996) I have a legal duty to pursue all lines of investigation, whether that incriminates or absolves the suspect. Professionally under the Code of Ethics (2014) I must apply the principles of accountability, fairness, integrity and objectivity. </w:t>
      </w:r>
    </w:p>
    <w:p w14:paraId="2F88EA94" w14:textId="77777777" w:rsidR="00F073D0" w:rsidRPr="00C56A6B" w:rsidRDefault="00F073D0" w:rsidP="00B81B17">
      <w:pPr>
        <w:spacing w:before="240"/>
        <w:rPr>
          <w:sz w:val="24"/>
          <w:szCs w:val="24"/>
        </w:rPr>
      </w:pPr>
      <w:r w:rsidRPr="00C56A6B">
        <w:rPr>
          <w:sz w:val="24"/>
          <w:szCs w:val="24"/>
        </w:rPr>
        <w:t xml:space="preserve">I considered what different action I could take as clearly the cycle of abuse was not being broken. I had completed DASH but I felt this did not address an obvious catalogue of abuse and felt I was still unable to protect her. A large study of 350000 domestic incidents by Turner et al (2019) suggest police underestimate revictimization and DASH does not help to predict high risk revictimization or reoccurring offending.  Therefore, while recognising DASH is a necessary risk tool, I need to remember it is a tool that informs my own professional perspective and </w:t>
      </w:r>
      <w:r w:rsidRPr="00C56A6B">
        <w:rPr>
          <w:sz w:val="24"/>
          <w:szCs w:val="24"/>
        </w:rPr>
        <w:lastRenderedPageBreak/>
        <w:t>instinct about a situation. Discussing my concerns with my tutor, I decided to submit a MARAC referral. This was an option not used in any of the other incidents. MARAC stands for Multi-Agency Risk Assessment Conferences, used for high-risk victims of domestic abuse and was first introduced in April 2003 in South Wales (Robinson 2004). These meetings are now held monthly where a number of different agencies come together to share information with the aim of implementing strategies to prevent the risk to victims of domestic abuse and break the cycle of abuse, however, remains dependant on the cooperation of the victim and as I have learnt can be difficult to establish.</w:t>
      </w:r>
      <w:bookmarkStart w:id="2" w:name="_Hlk53244771"/>
    </w:p>
    <w:bookmarkEnd w:id="2"/>
    <w:p w14:paraId="329BF00E" w14:textId="00B2E7BD" w:rsidR="00F073D0" w:rsidRPr="00C56A6B" w:rsidRDefault="00F073D0" w:rsidP="00B81B17">
      <w:pPr>
        <w:spacing w:before="240"/>
        <w:rPr>
          <w:sz w:val="24"/>
          <w:szCs w:val="24"/>
        </w:rPr>
      </w:pPr>
      <w:r w:rsidRPr="00C56A6B">
        <w:rPr>
          <w:sz w:val="24"/>
          <w:szCs w:val="24"/>
        </w:rPr>
        <w:t>Domestic incidents will make up a large proportion of the incidents I will attend during my service, more than 1 in 10 crimes recorded are related domestic violence (Home Office 2020). I feel exploring this incident has made me realise how important my skills such as communication and observation are when using DASH to help me in my decision making. I have an increased awareness looking at domestic abuse in a wider context of a person’s vulnerability complicated by the closeness of a relationship, however I realise I have much to learn. My aim will always be to protect and that is by assessing risk correctly so that appropriate action based on that risk is pursued to break cycles of abuse.</w:t>
      </w:r>
    </w:p>
    <w:p w14:paraId="292EC4F0" w14:textId="16D3AF76" w:rsidR="00F073D0" w:rsidRPr="00C56A6B" w:rsidRDefault="00F073D0" w:rsidP="00B81B17">
      <w:pPr>
        <w:spacing w:before="240"/>
        <w:rPr>
          <w:sz w:val="24"/>
          <w:szCs w:val="24"/>
        </w:rPr>
      </w:pPr>
      <w:r w:rsidRPr="00C56A6B">
        <w:rPr>
          <w:sz w:val="24"/>
          <w:szCs w:val="24"/>
        </w:rPr>
        <w:t>Word Count 1624</w:t>
      </w:r>
    </w:p>
    <w:p w14:paraId="5E868A48" w14:textId="23551D15" w:rsidR="00450C83" w:rsidRPr="00B81B17" w:rsidRDefault="00450C83" w:rsidP="00B81B17">
      <w:pPr>
        <w:spacing w:before="240"/>
        <w:ind w:right="237"/>
        <w:jc w:val="both"/>
        <w:rPr>
          <w:b/>
          <w:sz w:val="22"/>
          <w:szCs w:val="22"/>
        </w:rPr>
      </w:pPr>
    </w:p>
    <w:p w14:paraId="7D5F6E13" w14:textId="510ECD02" w:rsidR="00F073D0" w:rsidRPr="00B81B17" w:rsidRDefault="00F073D0" w:rsidP="00B81B17">
      <w:pPr>
        <w:spacing w:before="240"/>
        <w:ind w:right="237"/>
        <w:jc w:val="both"/>
        <w:rPr>
          <w:b/>
          <w:sz w:val="22"/>
          <w:szCs w:val="22"/>
        </w:rPr>
      </w:pPr>
    </w:p>
    <w:p w14:paraId="3FDB942D" w14:textId="77777777" w:rsidR="00F073D0" w:rsidRPr="00B81B17" w:rsidRDefault="00F073D0" w:rsidP="00B81B17">
      <w:pPr>
        <w:spacing w:before="240"/>
        <w:ind w:right="237"/>
        <w:jc w:val="both"/>
        <w:rPr>
          <w:b/>
          <w:sz w:val="22"/>
          <w:szCs w:val="22"/>
        </w:rPr>
      </w:pPr>
    </w:p>
    <w:p w14:paraId="1CEB8F3C" w14:textId="77777777" w:rsidR="00F073D0" w:rsidRPr="00B81B17" w:rsidRDefault="00F073D0" w:rsidP="00B81B17">
      <w:pPr>
        <w:spacing w:before="240"/>
        <w:ind w:right="237"/>
        <w:jc w:val="both"/>
        <w:rPr>
          <w:b/>
          <w:sz w:val="22"/>
          <w:szCs w:val="22"/>
        </w:rPr>
      </w:pPr>
    </w:p>
    <w:p w14:paraId="6A73DBDF" w14:textId="77777777" w:rsidR="00AA666E" w:rsidRPr="00B81B17" w:rsidRDefault="00AA666E" w:rsidP="00B81B17">
      <w:pPr>
        <w:spacing w:before="240"/>
        <w:ind w:right="237"/>
        <w:jc w:val="both"/>
        <w:rPr>
          <w:sz w:val="22"/>
          <w:szCs w:val="22"/>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FD69826" w:rsidR="00711A70" w:rsidRDefault="00711A70" w:rsidP="00340E9A">
      <w:pPr>
        <w:ind w:right="237"/>
        <w:jc w:val="both"/>
        <w:rPr>
          <w:b/>
          <w:sz w:val="24"/>
          <w:szCs w:val="24"/>
        </w:rPr>
      </w:pPr>
      <w:r w:rsidRPr="00450C83">
        <w:rPr>
          <w:b/>
          <w:sz w:val="24"/>
          <w:szCs w:val="24"/>
        </w:rPr>
        <w:t>ANSWER:</w:t>
      </w:r>
    </w:p>
    <w:p w14:paraId="49FD5558" w14:textId="77777777" w:rsidR="0041565F" w:rsidRPr="00C56A6B" w:rsidRDefault="0041565F" w:rsidP="00B81B17">
      <w:pPr>
        <w:spacing w:before="240"/>
        <w:rPr>
          <w:sz w:val="24"/>
          <w:szCs w:val="24"/>
        </w:rPr>
      </w:pPr>
      <w:r w:rsidRPr="00C56A6B">
        <w:rPr>
          <w:sz w:val="24"/>
          <w:szCs w:val="24"/>
        </w:rPr>
        <w:t>Using Gibbs reflective cycle (1998) I will reflect on a suspect interview conducted that was challenging as I had to be conscious not to be prejudiced due to the nature of the offence. Using reflection, I will explore my feelings about the experience, look at the good and bad points, analyse my actions, what I might have done differently and form a plan to take forward to a similar situation. The College of Policing (2020) suggest successful investigation depends on effectively interviewing victims, witnesses and suspects, giving the PEACE framework as the model to follow when interviewing. The model is a requirement for interviewing suspects in guidance provided by the Home Office (2020)</w:t>
      </w:r>
      <w:bookmarkStart w:id="3" w:name="_Hlk52629122"/>
      <w:r w:rsidRPr="00C56A6B">
        <w:rPr>
          <w:sz w:val="24"/>
          <w:szCs w:val="24"/>
        </w:rPr>
        <w:t xml:space="preserve"> and is </w:t>
      </w:r>
      <w:bookmarkEnd w:id="3"/>
      <w:r w:rsidRPr="00C56A6B">
        <w:rPr>
          <w:sz w:val="24"/>
          <w:szCs w:val="24"/>
        </w:rPr>
        <w:t>based on The Police and Criminal Evidence Act (PACE) 1984. PEACE is an acronym and has 5 phases, Planning and preparation, Engage and explain, Account clarification and challenge, Closure and Evaluation. There is a clear responsibility on me to be familiar with and apply the model to every interview I conduct.</w:t>
      </w:r>
    </w:p>
    <w:p w14:paraId="16BFEB56" w14:textId="77777777" w:rsidR="0041565F" w:rsidRPr="00C56A6B" w:rsidRDefault="0041565F" w:rsidP="00B81B17">
      <w:pPr>
        <w:spacing w:before="240"/>
        <w:rPr>
          <w:sz w:val="24"/>
          <w:szCs w:val="24"/>
        </w:rPr>
      </w:pPr>
      <w:r w:rsidRPr="00C56A6B">
        <w:rPr>
          <w:sz w:val="24"/>
          <w:szCs w:val="24"/>
        </w:rPr>
        <w:t>I was asked to interview a male who was arrested during the night shift. While at his ex-partners house during the night drinking, he was filmed with her dog licking his genitals which she then showed to the police.</w:t>
      </w:r>
      <w:bookmarkStart w:id="4" w:name="_Hlk51772722"/>
      <w:r w:rsidRPr="00C56A6B">
        <w:rPr>
          <w:sz w:val="24"/>
          <w:szCs w:val="24"/>
        </w:rPr>
        <w:t xml:space="preserve"> </w:t>
      </w:r>
      <w:bookmarkEnd w:id="4"/>
      <w:r w:rsidRPr="00C56A6B">
        <w:rPr>
          <w:sz w:val="24"/>
          <w:szCs w:val="24"/>
        </w:rPr>
        <w:t xml:space="preserve">The male had been arrested for bestiality which is defined under the Sexual Offences Act (2003) section 69 as intentionally penetrating a living animal with his penis. </w:t>
      </w:r>
      <w:r w:rsidRPr="00C56A6B">
        <w:rPr>
          <w:sz w:val="24"/>
          <w:szCs w:val="24"/>
        </w:rPr>
        <w:tab/>
      </w:r>
    </w:p>
    <w:p w14:paraId="5BB3F7F7" w14:textId="77777777" w:rsidR="0041565F" w:rsidRPr="00C56A6B" w:rsidRDefault="0041565F" w:rsidP="00B81B17">
      <w:pPr>
        <w:spacing w:before="240"/>
        <w:rPr>
          <w:sz w:val="24"/>
          <w:szCs w:val="24"/>
        </w:rPr>
      </w:pPr>
      <w:r w:rsidRPr="00C56A6B">
        <w:rPr>
          <w:sz w:val="24"/>
          <w:szCs w:val="24"/>
        </w:rPr>
        <w:lastRenderedPageBreak/>
        <w:t>Having already conducted a number of interview’s I felt comfortable in the format and execution of an interview, so when I was told that morning I would be picking up an interview I felt fairly confident in my ability to perform this task. However, on discovering the circumstances of the interview the confidence I had quickly disappeared. I was in a situation that felt awkward and uncomfortable. While in training school I had not considered this type of offence, so I felt out of my comfort zone with a situation that felt strange and wrong. I knew I had a professional duty to be unbiased towards the suspect and to ask the right questions, allowing him to give his version of events to prove or disprove the offence and an effective approach is supported under the 7 principles of investigative interviewing (College of Policing 2020). The principles are to be accurate and reliable, treat fairly without prejudice, have investigative approach, be fair, recognise early admission, challenge if necessary and pursue questioning even if interviewee declines to respond.</w:t>
      </w:r>
    </w:p>
    <w:p w14:paraId="223CA1A3" w14:textId="77777777" w:rsidR="0041565F" w:rsidRPr="00C56A6B" w:rsidRDefault="0041565F" w:rsidP="00B81B17">
      <w:pPr>
        <w:spacing w:before="240"/>
        <w:rPr>
          <w:sz w:val="24"/>
          <w:szCs w:val="24"/>
        </w:rPr>
      </w:pPr>
      <w:r w:rsidRPr="00C56A6B">
        <w:rPr>
          <w:sz w:val="24"/>
          <w:szCs w:val="24"/>
        </w:rPr>
        <w:t>I also felt pressured as I knew I did not have much time to read and make myself familiar with the offence. I needed to know the ins and outs of the offence so that I could competently prepare to go into interview and perform at the level required of me. The College of Policing (2020) state that if people trust the professionalism of the interviewer, they are more likely to give accurate information so I felt that by being well informed about the type of offence I would appear prepared and professional. A study by Walsh and Bull (2010) observed that interviewers who performed well in the preparation and account steps of the model had the best outcomes in the quality of information obtained and so evidences the importance of good preparation and later the quality of my questioning skills.-</w:t>
      </w:r>
    </w:p>
    <w:p w14:paraId="0B11BB11" w14:textId="77777777" w:rsidR="0041565F" w:rsidRPr="00C56A6B" w:rsidRDefault="0041565F" w:rsidP="00B81B17">
      <w:pPr>
        <w:spacing w:before="240"/>
        <w:rPr>
          <w:sz w:val="24"/>
          <w:szCs w:val="24"/>
        </w:rPr>
      </w:pPr>
      <w:r w:rsidRPr="00C56A6B">
        <w:rPr>
          <w:sz w:val="24"/>
          <w:szCs w:val="24"/>
        </w:rPr>
        <w:t>As well as preparing myself by looking up the offence I ensured that an interview room was available, made an interview plan and checked that he was fit for interview by speaking to the custody Sergeant. Ensuring he was fit complies with responsibilities under code C (2019) of PACE (1984) which shows a duty of care to the detainee and ensure their rights are protected, for example having appropriate representation if they are a juvenile or mentally disordered or vulnerable.</w:t>
      </w:r>
    </w:p>
    <w:p w14:paraId="42422E47" w14:textId="77777777" w:rsidR="0041565F" w:rsidRPr="00C56A6B" w:rsidRDefault="0041565F" w:rsidP="00B81B17">
      <w:pPr>
        <w:spacing w:before="240"/>
        <w:rPr>
          <w:sz w:val="24"/>
          <w:szCs w:val="24"/>
        </w:rPr>
      </w:pPr>
      <w:r w:rsidRPr="00C56A6B">
        <w:rPr>
          <w:sz w:val="24"/>
          <w:szCs w:val="24"/>
        </w:rPr>
        <w:t xml:space="preserve">Commencing the Engage and explain phase, I took the suspect into the interview room and explained the process of the interview and why he was being interviewed. Under the Human Rights Act (1998) Article 5 Right to liberty and security there is a responsibility to ensure a person knows in a language they understand the reason they are detained, and although he should have been informed of this at arrest it was an opportunity for me to ensure that this was the case. It is also a good stage to give suspects who are unfamiliar with how an interview works a general overview of how it will be conducted and give an opportunity for the suspect to ask questions. When conducting this interview, I made sure that I explained the process of the interview and asked for his concerns. Walsh and Bull (2011) suggest that there is not enough thought as to whether a suspect understands their rights and that this was often just seen as administration but is an opportunity to build rapport. I then offered him a tea or coffee thinking it may settle some nerves and in return he may be more willing to talk. I felt this would help build rapport, which is regarded as key to establishing an effective interview by making a person more talkative and so providing more information Vallano et al (2015). 59% of officers questioned in the study said that the best way of achieving rapport was identifying common interests, and later during the interview the suspect had denied recollection of the incident as he said he had been </w:t>
      </w:r>
      <w:r w:rsidRPr="00C56A6B">
        <w:rPr>
          <w:sz w:val="24"/>
          <w:szCs w:val="24"/>
        </w:rPr>
        <w:lastRenderedPageBreak/>
        <w:t>watching a memorable rugby match on TV, as a rugby fan myself I was able to acknowledge the match he was talking about and maintain a link with him. Walsh and Bull (2011) suggest that maintaining rapport and not just establishing it that gives the most effective interview.</w:t>
      </w:r>
    </w:p>
    <w:p w14:paraId="7FF62EFC" w14:textId="77777777" w:rsidR="0041565F" w:rsidRPr="00C56A6B" w:rsidRDefault="0041565F" w:rsidP="00B81B17">
      <w:pPr>
        <w:spacing w:before="240"/>
        <w:rPr>
          <w:sz w:val="24"/>
          <w:szCs w:val="24"/>
        </w:rPr>
      </w:pPr>
      <w:r w:rsidRPr="00C56A6B">
        <w:rPr>
          <w:sz w:val="24"/>
          <w:szCs w:val="24"/>
        </w:rPr>
        <w:t>During the Account, Clarification and challenge phase the interview is recorded so that it can be used as evidence if the case is brought to trial. Code E (2016) of PACE (1984) covers the audio recording of interviews and states that recording will allow an accurate record of the interview. Under the code I informed him it was being recorded and ensured relevant information such as persons present, and date and time were recorded. This was his opportunity to give his version of events and for me to ask any questions relating to his story.</w:t>
      </w:r>
    </w:p>
    <w:p w14:paraId="2275678B" w14:textId="77777777" w:rsidR="0041565F" w:rsidRPr="00C56A6B" w:rsidRDefault="0041565F" w:rsidP="00B81B17">
      <w:pPr>
        <w:spacing w:before="240"/>
        <w:rPr>
          <w:sz w:val="24"/>
          <w:szCs w:val="24"/>
        </w:rPr>
      </w:pPr>
      <w:r w:rsidRPr="00C56A6B">
        <w:rPr>
          <w:sz w:val="24"/>
          <w:szCs w:val="24"/>
        </w:rPr>
        <w:t>Bryant and Bryant (2020) suggest to initially focus on the narrative which is the initial outline of the event. This is best achieved by an open question such as asking the suspect what they know about the event that took place leading to their arrest</w:t>
      </w:r>
      <w:bookmarkStart w:id="5" w:name="_Hlk52202177"/>
      <w:r w:rsidRPr="00C56A6B">
        <w:rPr>
          <w:sz w:val="24"/>
          <w:szCs w:val="24"/>
        </w:rPr>
        <w:t xml:space="preserve"> and then using the 5WH questions (Who? What? When? Where? Why?) which shades in the finer detail and finally closed confirmatory questions. I began by asking the male</w:t>
      </w:r>
      <w:bookmarkEnd w:id="5"/>
      <w:r w:rsidRPr="00C56A6B">
        <w:rPr>
          <w:sz w:val="24"/>
          <w:szCs w:val="24"/>
        </w:rPr>
        <w:t xml:space="preserve"> “What happened during the time leading up to your arrest?” This allowed him to give me detail without me leading him and allow me to pick areas that I could explore.  Giving his account of that evening he neglected to mention the incident. I asked him some closed questions such as could he recall the dog being present to which he replied ‘no’ and realised I needed to keep the questions open to get him to engage and talk. I had to ask probing questions to get to the details of the incident and he then slowly gave his version of events. Looking back, I should have used the probing 5WH questions after my initial opening question as it would have kept the flow of the interview which had momentarily become interrupted with the closed questions.</w:t>
      </w:r>
    </w:p>
    <w:p w14:paraId="0D120BDA" w14:textId="77777777" w:rsidR="0041565F" w:rsidRPr="00C56A6B" w:rsidRDefault="0041565F" w:rsidP="00B81B17">
      <w:pPr>
        <w:spacing w:before="240"/>
        <w:rPr>
          <w:sz w:val="24"/>
          <w:szCs w:val="24"/>
        </w:rPr>
      </w:pPr>
      <w:r w:rsidRPr="00C56A6B">
        <w:rPr>
          <w:sz w:val="24"/>
          <w:szCs w:val="24"/>
        </w:rPr>
        <w:t>The analysis part of the Gibbs reflections cycle ties in nicely with the last two stages of the PEACE model, first one being Closure and the second being Evaluation. The information that has been gathered in interview should be processed, analysed and fitted into the investigation. When evaluating this situation, I was mindful that for the offence to have been committed all the points to prove had to be there. On this occasion due to the male not penetrating the dog, the offence had not been committed. With the information gained I also looked to see if any other offences had been committed under The Animal Welfare Act (2006) and was again unable to establish any offence. Unable to prove all the points meant that the individual had not committed the offence, therefore he was released with no further action.</w:t>
      </w:r>
    </w:p>
    <w:p w14:paraId="085D6132" w14:textId="77777777" w:rsidR="0041565F" w:rsidRPr="00C56A6B" w:rsidRDefault="0041565F" w:rsidP="00B81B17">
      <w:pPr>
        <w:spacing w:before="240"/>
        <w:rPr>
          <w:sz w:val="24"/>
          <w:szCs w:val="24"/>
        </w:rPr>
      </w:pPr>
      <w:r w:rsidRPr="00C56A6B">
        <w:rPr>
          <w:sz w:val="24"/>
          <w:szCs w:val="24"/>
        </w:rPr>
        <w:t>Although the decision made felt wrong personally felt, I had to follow the legislation. It was a sensitive subject and not one for me to decide what is right and what is wrong I just had to do my job to the best of my ability by following the PEACE model, forming and maintaining a good rapport and using my questioning skills appropriately. I felt under the unusual and uncomfortable circumstances I performed well. I felt under pressure and apprehensive but coming out the other side I felt it has shown me to expect the unexpected and to be ready to deal with situations that I personally find very uncomfortable and not in line with my own morals.</w:t>
      </w:r>
    </w:p>
    <w:p w14:paraId="01667B15" w14:textId="77777777" w:rsidR="0041565F" w:rsidRPr="00C56A6B" w:rsidRDefault="0041565F" w:rsidP="00B81B17">
      <w:pPr>
        <w:spacing w:before="240"/>
        <w:rPr>
          <w:sz w:val="24"/>
          <w:szCs w:val="24"/>
        </w:rPr>
      </w:pPr>
      <w:r w:rsidRPr="00C56A6B">
        <w:rPr>
          <w:sz w:val="24"/>
          <w:szCs w:val="24"/>
        </w:rPr>
        <w:t xml:space="preserve">I will look continue to use the PEACE model to structure a methodical and thorough approach when interviewing and as discussed pay particular attention to the </w:t>
      </w:r>
      <w:r w:rsidRPr="00C56A6B">
        <w:rPr>
          <w:sz w:val="24"/>
          <w:szCs w:val="24"/>
        </w:rPr>
        <w:lastRenderedPageBreak/>
        <w:t>preparation and account steps as the evidence and this experience demonstrated the best results.</w:t>
      </w:r>
    </w:p>
    <w:p w14:paraId="538C85C8" w14:textId="77777777" w:rsidR="0041565F" w:rsidRPr="00C56A6B" w:rsidRDefault="0041565F" w:rsidP="00B81B17">
      <w:pPr>
        <w:spacing w:before="240"/>
        <w:rPr>
          <w:sz w:val="24"/>
          <w:szCs w:val="24"/>
        </w:rPr>
      </w:pPr>
      <w:r w:rsidRPr="00C56A6B">
        <w:rPr>
          <w:sz w:val="24"/>
          <w:szCs w:val="24"/>
        </w:rPr>
        <w:t>When questioning I will be mindful of the way I create a narrative and use the appropriate questioning to keep the flow of the interview open, using confirmatory questions only when necessary to confirm and close. I feel this structure can only improve my questioning skills and help me to become a more effective and professional officer.</w:t>
      </w:r>
    </w:p>
    <w:p w14:paraId="36979424" w14:textId="4F66EEA8" w:rsidR="0041565F" w:rsidRPr="00C56A6B" w:rsidRDefault="00167446" w:rsidP="00B81B17">
      <w:pPr>
        <w:spacing w:before="240"/>
        <w:ind w:right="237"/>
        <w:jc w:val="both"/>
        <w:rPr>
          <w:bCs/>
          <w:sz w:val="24"/>
          <w:szCs w:val="24"/>
        </w:rPr>
      </w:pPr>
      <w:r w:rsidRPr="00C56A6B">
        <w:rPr>
          <w:bCs/>
          <w:sz w:val="24"/>
          <w:szCs w:val="24"/>
        </w:rPr>
        <w:t>Word Count 1605</w:t>
      </w:r>
    </w:p>
    <w:p w14:paraId="0797331D" w14:textId="77777777" w:rsidR="00025650" w:rsidRPr="00B81B17" w:rsidRDefault="00025650" w:rsidP="00B81B17">
      <w:pPr>
        <w:spacing w:before="240"/>
        <w:ind w:right="237"/>
        <w:jc w:val="both"/>
        <w:rPr>
          <w:sz w:val="22"/>
          <w:szCs w:val="22"/>
        </w:rPr>
      </w:pPr>
    </w:p>
    <w:p w14:paraId="4E9085BF" w14:textId="77777777" w:rsidR="00025650" w:rsidRPr="00B81B17" w:rsidRDefault="00025650" w:rsidP="00B81B17">
      <w:pPr>
        <w:spacing w:before="240"/>
        <w:ind w:right="237"/>
        <w:jc w:val="both"/>
        <w:rPr>
          <w:sz w:val="22"/>
          <w:szCs w:val="22"/>
        </w:rPr>
      </w:pPr>
    </w:p>
    <w:p w14:paraId="1967E2A8" w14:textId="77777777" w:rsidR="00025650" w:rsidRPr="00B81B17" w:rsidRDefault="00025650" w:rsidP="00B81B17">
      <w:pPr>
        <w:spacing w:before="240"/>
        <w:ind w:right="237"/>
        <w:jc w:val="both"/>
        <w:rPr>
          <w:sz w:val="22"/>
          <w:szCs w:val="22"/>
        </w:rPr>
      </w:pPr>
    </w:p>
    <w:p w14:paraId="416EFA95" w14:textId="77777777" w:rsidR="00025650" w:rsidRPr="00B81B17" w:rsidRDefault="00025650" w:rsidP="00B81B17">
      <w:pPr>
        <w:spacing w:before="240"/>
        <w:ind w:right="237"/>
        <w:jc w:val="both"/>
        <w:rPr>
          <w:sz w:val="22"/>
          <w:szCs w:val="22"/>
        </w:rPr>
      </w:pPr>
    </w:p>
    <w:p w14:paraId="598FFEC5" w14:textId="77777777" w:rsidR="00025650" w:rsidRPr="00B81B17" w:rsidRDefault="00025650" w:rsidP="00B81B17">
      <w:pPr>
        <w:spacing w:before="240"/>
        <w:ind w:right="237"/>
        <w:jc w:val="both"/>
        <w:rPr>
          <w:sz w:val="22"/>
          <w:szCs w:val="22"/>
        </w:rPr>
      </w:pPr>
    </w:p>
    <w:p w14:paraId="042DA0D7" w14:textId="77777777" w:rsidR="00025650" w:rsidRPr="00B81B17" w:rsidRDefault="00025650" w:rsidP="00B81B17">
      <w:pPr>
        <w:spacing w:before="240"/>
        <w:ind w:right="237"/>
        <w:jc w:val="both"/>
        <w:rPr>
          <w:sz w:val="22"/>
          <w:szCs w:val="22"/>
        </w:rPr>
      </w:pPr>
    </w:p>
    <w:p w14:paraId="65800057" w14:textId="77777777" w:rsidR="00025650" w:rsidRPr="00B81B17" w:rsidRDefault="00025650" w:rsidP="00B81B17">
      <w:pPr>
        <w:spacing w:before="240"/>
        <w:ind w:right="237"/>
        <w:jc w:val="both"/>
        <w:rPr>
          <w:sz w:val="22"/>
          <w:szCs w:val="22"/>
        </w:rPr>
      </w:pPr>
    </w:p>
    <w:p w14:paraId="7A99F832" w14:textId="77777777" w:rsidR="00025650" w:rsidRPr="00B81B17" w:rsidRDefault="00025650" w:rsidP="00B81B17">
      <w:pPr>
        <w:spacing w:before="240"/>
        <w:ind w:right="237"/>
        <w:jc w:val="both"/>
        <w:rPr>
          <w:sz w:val="22"/>
          <w:szCs w:val="22"/>
        </w:rPr>
      </w:pPr>
    </w:p>
    <w:p w14:paraId="7FD39A42" w14:textId="77777777" w:rsidR="00025650" w:rsidRPr="00B81B17" w:rsidRDefault="00025650" w:rsidP="00B81B17">
      <w:pPr>
        <w:spacing w:before="240"/>
        <w:ind w:right="237"/>
        <w:jc w:val="both"/>
        <w:rPr>
          <w:sz w:val="22"/>
          <w:szCs w:val="22"/>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2DB0544C" w14:textId="77777777" w:rsidR="00247D5A" w:rsidRDefault="003C458C" w:rsidP="000B6C8D">
      <w:pPr>
        <w:rPr>
          <w:b/>
          <w:sz w:val="24"/>
          <w:szCs w:val="24"/>
        </w:rPr>
      </w:pPr>
      <w:r w:rsidRPr="00450C83">
        <w:rPr>
          <w:b/>
          <w:sz w:val="24"/>
          <w:szCs w:val="24"/>
        </w:rPr>
        <w:t>ANSWER:</w:t>
      </w:r>
      <w:r w:rsidR="000B6C8D">
        <w:rPr>
          <w:b/>
          <w:sz w:val="24"/>
          <w:szCs w:val="24"/>
        </w:rPr>
        <w:t xml:space="preserve"> </w:t>
      </w:r>
    </w:p>
    <w:p w14:paraId="45342893" w14:textId="2A12C8DB" w:rsidR="000B6C8D" w:rsidRPr="00C56A6B" w:rsidRDefault="000B6C8D" w:rsidP="00B81B17">
      <w:pPr>
        <w:spacing w:before="240"/>
        <w:rPr>
          <w:sz w:val="24"/>
          <w:szCs w:val="24"/>
        </w:rPr>
      </w:pPr>
      <w:r w:rsidRPr="00C56A6B">
        <w:rPr>
          <w:sz w:val="24"/>
          <w:szCs w:val="24"/>
        </w:rPr>
        <w:t xml:space="preserve">Using Driscoll’s reflective model (2000) I will explore an anti-social incident, using it to examine the topic in a wider context and how my role sits in this.  This incident was the only anti-social behaviour I attended on the tutorship and is an area I feel unfamiliar with. The Home Office (2004) suggest defining anti-social behaviour is difficult as it is subjective and one person’s idea of unacceptable behaviour may be normal behaviour for another, however looking at many sources there is a clear impression that there are certain behaviours that are often locality specific that impact negatively on the individual or wider community. The Anti-social Behaviour, </w:t>
      </w:r>
      <w:r w:rsidRPr="00C56A6B">
        <w:rPr>
          <w:sz w:val="24"/>
          <w:szCs w:val="24"/>
        </w:rPr>
        <w:lastRenderedPageBreak/>
        <w:t>Crime and Policing Act 2014 define the behaviour as causing harassment, alarm or distress to a person with the emphasis on the victim and speedy actions to address anti-social behaviours. The National Police Chiefs Council delivered The Policing Vision 2025, a ten-year, plan putting the public at the centre of the vision, emphasising community links as essential to policing. It states there must be a proactive approach to understanding a community to tackle anti-social behaviour. Furthermore, this can be achieved by working in partnership, supporting multi agencies by sharing information and learning, supporting neighbourhood projects and basing local approaches on evidence from partners such as research and college of policing. Gwent Force operational delivery plan 2017- 21 identifies tackling anti-social behaviour as one of its five priorities. As a police officer in a local community I need to increase my understanding of evidence-based policing and how I use that in my day to day work in the community. The College of Policing (2019) has produced a guidance mostly evidence based involving frontline officers to give seven guidelines for neighbourhood policing. These are engaging communities, problem solving using the SARA model, targeting activity, building the right culture, building analytical culture, developing officers, staff and volunteers and developing learning and sharing. This provides advice that can be relied upon as it has a good evidence base and incorporates a whole approach that I can draw on as police constable when working in my local area. Bryant and Bryant (2019) p.301 recognise that anti-sociable behaviour covers many types of disruptive behaviours may or may not include criminal offences, however police are often the first to respond to initial incidents.</w:t>
      </w:r>
    </w:p>
    <w:p w14:paraId="7D055FF2" w14:textId="77777777" w:rsidR="000B6C8D" w:rsidRPr="00C56A6B" w:rsidRDefault="000B6C8D" w:rsidP="00B81B17">
      <w:pPr>
        <w:spacing w:before="240"/>
        <w:rPr>
          <w:sz w:val="24"/>
          <w:szCs w:val="24"/>
        </w:rPr>
      </w:pPr>
      <w:r w:rsidRPr="00C56A6B">
        <w:rPr>
          <w:sz w:val="24"/>
          <w:szCs w:val="24"/>
        </w:rPr>
        <w:t xml:space="preserve">I attended a train station following a report of a large group of youth’s fighting. The call came from British Transport Police who were not able to respond immediately due to being some distance away. Knowing how effective CCTV can be to establish more information I requested for local CCTV operators to point their cameras onto the station. This gave us the ability to have a better understanding of what was happening and if there where individuals fighting this could potentially lead to key evidence be captured. APCO (2011) indicate the benefits of CCTV include identification of suspects and witnesses, timeline of events, and identifying behaviours before and after the event, helping to provide evidence and prove an offence, so this would have been valuable should an offence have occurred. </w:t>
      </w:r>
    </w:p>
    <w:p w14:paraId="523ED13B" w14:textId="77777777" w:rsidR="000B6C8D" w:rsidRPr="00C56A6B" w:rsidRDefault="000B6C8D" w:rsidP="00B81B17">
      <w:pPr>
        <w:spacing w:before="240"/>
        <w:rPr>
          <w:sz w:val="24"/>
          <w:szCs w:val="24"/>
        </w:rPr>
      </w:pPr>
      <w:r w:rsidRPr="00C56A6B">
        <w:rPr>
          <w:sz w:val="24"/>
          <w:szCs w:val="24"/>
        </w:rPr>
        <w:t>Arriving at the station I could see a large group of around 10-15 individuals inside the station running up and down the platform. Getting closer I could hear music being played from a portable speaker and several of them were on pushbikes close to the platform edge. Some of the individuals on bikes made off once they had seen us. My tutor and I made our way onto the platform and asked them to turn the music off.</w:t>
      </w:r>
    </w:p>
    <w:p w14:paraId="4EEDAA43" w14:textId="77777777" w:rsidR="000B6C8D" w:rsidRPr="00C56A6B" w:rsidRDefault="000B6C8D" w:rsidP="00B81B17">
      <w:pPr>
        <w:spacing w:before="240"/>
        <w:rPr>
          <w:color w:val="FF0000"/>
          <w:sz w:val="24"/>
          <w:szCs w:val="24"/>
        </w:rPr>
      </w:pPr>
      <w:r w:rsidRPr="00C56A6B">
        <w:rPr>
          <w:sz w:val="24"/>
          <w:szCs w:val="24"/>
        </w:rPr>
        <w:t xml:space="preserve">I saw one of the individuals urinating behind one of the sheds. I was aware that this male was committing an offence under the Public Order Act (1986) punishable by a fine. Standard 5 in the Code of Ethics (2014) states using discretion wisely, considering what you want to achieve and the potential effects a decision may have. </w:t>
      </w:r>
      <w:bookmarkStart w:id="6" w:name="_Hlk53460893"/>
      <w:r w:rsidRPr="00C56A6B">
        <w:rPr>
          <w:sz w:val="24"/>
          <w:szCs w:val="24"/>
        </w:rPr>
        <w:t xml:space="preserve">So in accordance with this </w:t>
      </w:r>
      <w:bookmarkEnd w:id="6"/>
      <w:r w:rsidRPr="00C56A6B">
        <w:rPr>
          <w:sz w:val="24"/>
          <w:szCs w:val="24"/>
        </w:rPr>
        <w:t xml:space="preserve">I decided due to the time of night, no other members of the public being present and recognising taking formal action on this individual could escalate the situation and lose focus of the call to establish what had taken place, just gave them a word of advice. </w:t>
      </w:r>
    </w:p>
    <w:p w14:paraId="0EA9A06A" w14:textId="77777777" w:rsidR="000B6C8D" w:rsidRPr="00C56A6B" w:rsidRDefault="000B6C8D" w:rsidP="00B81B17">
      <w:pPr>
        <w:spacing w:before="240"/>
        <w:rPr>
          <w:sz w:val="24"/>
          <w:szCs w:val="24"/>
        </w:rPr>
      </w:pPr>
      <w:r w:rsidRPr="00C56A6B">
        <w:rPr>
          <w:sz w:val="24"/>
          <w:szCs w:val="24"/>
        </w:rPr>
        <w:lastRenderedPageBreak/>
        <w:t xml:space="preserve">Once I had their attention, I asked why they were they in the station. They said they were bored and had nowhere to go. Asking if they had been fighting, they laughed saying it was play fighting. I suggested maybe they try the local sports clubs, such as boxing but they informed me that due to the Covid-19 pandemic most of the local youth or sporting clubs had been closed and said they had nothing else to do. This was disappointing to hear as I know sport is a great way to </w:t>
      </w:r>
      <w:r w:rsidRPr="00C56A6B">
        <w:rPr>
          <w:color w:val="000000" w:themeColor="text1"/>
          <w:sz w:val="24"/>
          <w:szCs w:val="24"/>
        </w:rPr>
        <w:t xml:space="preserve">channelling a young person, a view supported by Swarbrick (2015), advisor to sport and recreation alliance states providing sport activities is beneficial in tackling crime as a survey indicated 7 out of 10 teenagers thought that antisocial behaviour was as the result of boredom. I could only emphasise with them as it was likely this had had a major impact to their recreation and was unlikely to change for the near future in line with regulations restricting indoor and outdoor gathering from the Welsh Government (2020). </w:t>
      </w:r>
    </w:p>
    <w:p w14:paraId="1C7BAE58" w14:textId="77777777" w:rsidR="000B6C8D" w:rsidRPr="00C56A6B" w:rsidRDefault="000B6C8D" w:rsidP="00B81B17">
      <w:pPr>
        <w:spacing w:before="240"/>
        <w:rPr>
          <w:sz w:val="24"/>
          <w:szCs w:val="24"/>
        </w:rPr>
      </w:pPr>
      <w:r w:rsidRPr="00C56A6B">
        <w:rPr>
          <w:sz w:val="24"/>
          <w:szCs w:val="24"/>
        </w:rPr>
        <w:t>A report of rail safety statistics by the Office of Rail and Road (2020) stated between April 2019 and March 2020 there where 7 fatalities and over 353 major injuries recorded to members of the public in trains and stations, most being trips and falls. Therefore, them running around on the platform increased the risk and potential of this type of incident to themselves and members of the public on the platform at the time.</w:t>
      </w:r>
    </w:p>
    <w:p w14:paraId="4FDC2369" w14:textId="77777777" w:rsidR="000B6C8D" w:rsidRPr="00C56A6B" w:rsidRDefault="000B6C8D" w:rsidP="00B81B17">
      <w:pPr>
        <w:spacing w:before="240"/>
        <w:rPr>
          <w:sz w:val="24"/>
          <w:szCs w:val="24"/>
        </w:rPr>
      </w:pPr>
      <w:r w:rsidRPr="00C56A6B">
        <w:rPr>
          <w:sz w:val="24"/>
          <w:szCs w:val="24"/>
        </w:rPr>
        <w:t xml:space="preserve">While I explained that the train station was not the best location for a local gathering I felt that being new to the area and not knowing them I needed to chat with them and listen to what they were saying.  I felt standard 2 and 3 of the ethical code (2014) to be particularly relevant to this as I felt by remaining calm, showing a level of respect by listening and being empathetic, despite the negative view that might be held of these youths I could interact positively and foster some trust and engagement. During the conversation I did remind them that there was CCTV at the station, and credible evidence in a systematic review in a crime reduction toolkit (College of Policing 2020) suggests presence of CCTV can reduce crime, specifically vehicle and property, one of the reasons being it was likely to be a good deterrent, however the focus of the conversation was getting them to talk. As I young male I did feel a sense of affinity with them and felt that getting their perspective would be a way of talking with them and not at them. </w:t>
      </w:r>
    </w:p>
    <w:p w14:paraId="4B474AE3" w14:textId="77777777" w:rsidR="000B6C8D" w:rsidRPr="00C56A6B" w:rsidRDefault="000B6C8D" w:rsidP="00B81B17">
      <w:pPr>
        <w:spacing w:before="240"/>
        <w:rPr>
          <w:sz w:val="24"/>
          <w:szCs w:val="24"/>
        </w:rPr>
      </w:pPr>
      <w:r w:rsidRPr="00C56A6B">
        <w:rPr>
          <w:sz w:val="24"/>
          <w:szCs w:val="24"/>
        </w:rPr>
        <w:t xml:space="preserve">Although I had made a conscious effort to take a fair and unbiased approach toward them, I also had  to remain open minded and ensure that I did not overlook any aspect of the call and to explore all possibilities. Due to the nature of the call being youths fighting, I had their version of play fighting but needed to ensure I gathered as much information as possible in case a victim of an assault was to make themselves known later. So, with this in mind using the National Decision Model (NDM) (2014) providing the framework for all decision making I commenced the first stage of the process (gather information), so I began by obtaining their details. </w:t>
      </w:r>
    </w:p>
    <w:p w14:paraId="0910B4D8" w14:textId="77777777" w:rsidR="000B6C8D" w:rsidRPr="00C56A6B" w:rsidRDefault="000B6C8D" w:rsidP="00B81B17">
      <w:pPr>
        <w:spacing w:before="240"/>
        <w:rPr>
          <w:sz w:val="24"/>
          <w:szCs w:val="24"/>
        </w:rPr>
      </w:pPr>
      <w:r w:rsidRPr="00C56A6B">
        <w:rPr>
          <w:sz w:val="24"/>
          <w:szCs w:val="24"/>
        </w:rPr>
        <w:t xml:space="preserve">While speaking to the group two community support officers from the area arrived. Their role is to provide a link between their local community and policing by being a visible, accessible and approachable face that can build relationships and trust within the local community (College of Policing 2017). They informed me that several the group were regularly present at anti-social behaviour calls and they confirmed that the names given by the youths me were correct. They said that the train station was turning into a hotspot for anti-social behaviour and had increased their patrols in the </w:t>
      </w:r>
      <w:r w:rsidRPr="00C56A6B">
        <w:rPr>
          <w:sz w:val="24"/>
          <w:szCs w:val="24"/>
        </w:rPr>
        <w:lastRenderedPageBreak/>
        <w:t xml:space="preserve">area. Building a community picture using local knowledge is key to engaging communities which is the first guideline in neighbourhood policing (College of Policing 2019) and as the visible face of police in the community and knowing their area very well they are a valuable asset to the policing team. They are a source I can rely on and work closely with to be better informed about a particular area and the specific problems experienced. </w:t>
      </w:r>
    </w:p>
    <w:p w14:paraId="60F675CB" w14:textId="77777777" w:rsidR="000B6C8D" w:rsidRPr="00C56A6B" w:rsidRDefault="000B6C8D" w:rsidP="00B81B17">
      <w:pPr>
        <w:spacing w:before="240"/>
        <w:rPr>
          <w:sz w:val="24"/>
          <w:szCs w:val="24"/>
        </w:rPr>
      </w:pPr>
      <w:r w:rsidRPr="00C56A6B">
        <w:rPr>
          <w:sz w:val="24"/>
          <w:szCs w:val="24"/>
        </w:rPr>
        <w:t>Having gathered a clearer picture of the situation from the community support officers and working within NDM framework to aid decision making about how to handle the incident. Assessing risk, there was no immediate threat to themselves or public at that moment leading me to looking at what powers I had to address the situation, including any relevant legislation. The most likely legislation to apply was section 5 of the Public Order Act 1986 however, at that time although their conduct in the station might be seen as disorderly, I could not establish that their conduct had affected another person so there was no evidence that anyone had felt harassment, alarm or distress. Establishing no offence had taken place and recognising the train station was a hotspot still required action as it could potentially result in an accident or member of the public feeling unsafe. Although no current crime to address, there clearly was a problem to address.</w:t>
      </w:r>
    </w:p>
    <w:p w14:paraId="6A11D6D8" w14:textId="77777777" w:rsidR="000B6C8D" w:rsidRPr="00C56A6B" w:rsidRDefault="000B6C8D" w:rsidP="00B81B17">
      <w:pPr>
        <w:spacing w:before="240"/>
        <w:rPr>
          <w:color w:val="FF0000"/>
          <w:sz w:val="24"/>
          <w:szCs w:val="24"/>
        </w:rPr>
      </w:pPr>
      <w:r w:rsidRPr="00C56A6B">
        <w:rPr>
          <w:sz w:val="24"/>
          <w:szCs w:val="24"/>
        </w:rPr>
        <w:t>College of Policing (2019) state that one of the best evidenced policing strategies is problem solving. Problem orientated policing, also known as problem solving policing, is an approach for managing clusters of incidents and primarily used by community teams and most frequently to target anti-social behaviour (Sidebottom et al 2020). The study across England and Wales identified use of one model for problem solving known as SARA as it was easy to use and provided an easy to work through structure. SARA an acronym for Scanning, Analysis, Response and Assessment.</w:t>
      </w:r>
      <w:bookmarkStart w:id="7" w:name="_Hlk53511350"/>
      <w:bookmarkStart w:id="8" w:name="_Hlk53510532"/>
      <w:r w:rsidRPr="00C56A6B">
        <w:rPr>
          <w:sz w:val="24"/>
          <w:szCs w:val="24"/>
        </w:rPr>
        <w:t xml:space="preserve"> </w:t>
      </w:r>
      <w:bookmarkEnd w:id="7"/>
      <w:bookmarkEnd w:id="8"/>
    </w:p>
    <w:p w14:paraId="496BFE1A" w14:textId="77777777" w:rsidR="000B6C8D" w:rsidRPr="00C56A6B" w:rsidRDefault="000B6C8D" w:rsidP="00B81B17">
      <w:pPr>
        <w:spacing w:before="240"/>
        <w:rPr>
          <w:sz w:val="24"/>
          <w:szCs w:val="24"/>
        </w:rPr>
      </w:pPr>
      <w:r w:rsidRPr="00C56A6B">
        <w:rPr>
          <w:sz w:val="24"/>
          <w:szCs w:val="24"/>
        </w:rPr>
        <w:t>Scanning is identifying and prioritising the problem in conjunction with other agencies such as other police and community, There is a legal obligation for police to engage with local communities to identify crime and disorder issues of concern (Section 34 of the Police Reform and Social Responsibility Act 2011). On this occasion I have identified a problem whereby there are youths congregating in an unsafe area posing a risk to their own and public safety. This repeated problem was confirmed by the community support officers. To get a fuller understanding I could engage with the rail service and local train passengers at the station.</w:t>
      </w:r>
    </w:p>
    <w:p w14:paraId="4EFFF8EC" w14:textId="77777777" w:rsidR="000B6C8D" w:rsidRPr="00C56A6B" w:rsidRDefault="000B6C8D" w:rsidP="00B81B17">
      <w:pPr>
        <w:spacing w:before="240"/>
        <w:rPr>
          <w:sz w:val="24"/>
          <w:szCs w:val="24"/>
        </w:rPr>
      </w:pPr>
      <w:r w:rsidRPr="00C56A6B">
        <w:rPr>
          <w:sz w:val="24"/>
          <w:szCs w:val="24"/>
        </w:rPr>
        <w:t xml:space="preserve">Analysis is gaining a deep understanding of the root causes of the problem which will ensure that actions taken are specific and long-term prevent reoccurrence. A useful tool at this stage is the problem analysis triangle which has 3 sides: offender, location and victim which are all necessary for a crime or incident to occur. There needs to be analysis and targeted action of at least 2 sides of the triangle to be effective. In this incident the offenders had already told me they were there because they were bored. Exploring the impact of the closure of local facilities with them and local community including council and youth groups would provide a deeper insight and analysis of the full extent of the underlying causes from their perspective to understand the root of their behaviour. As there was no specific victim during this incident, engagement with local rail travellers would be useful to see if there have been negative effects on them from any past incidents and fear of future incidents and if they offer any insight or potential solutions. Looking at location would need </w:t>
      </w:r>
      <w:r w:rsidRPr="00C56A6B">
        <w:rPr>
          <w:sz w:val="24"/>
          <w:szCs w:val="24"/>
        </w:rPr>
        <w:lastRenderedPageBreak/>
        <w:t>engagement with other parties such as the rail service. Issues to explore for example being train services, busy station times, times it is more vulnerable such as night, lighting and access to platform.</w:t>
      </w:r>
    </w:p>
    <w:p w14:paraId="4CFD4888" w14:textId="77777777" w:rsidR="000B6C8D" w:rsidRPr="00C56A6B" w:rsidRDefault="000B6C8D" w:rsidP="00B81B17">
      <w:pPr>
        <w:spacing w:before="240"/>
        <w:rPr>
          <w:sz w:val="24"/>
          <w:szCs w:val="24"/>
        </w:rPr>
      </w:pPr>
      <w:r w:rsidRPr="00C56A6B">
        <w:rPr>
          <w:sz w:val="24"/>
          <w:szCs w:val="24"/>
        </w:rPr>
        <w:t>Response is taking appropriate action to challenge the root causes identified. It is likely that as a police constable I could not action directly and other agencies such as rail service, council and local youth or community groups could establish a plan that addresses issues raised in the analysis stage. There is recognition that the ownership of response may not be the police, for example youths hanging around are the responsibility of local communities (College of Policing 2019). Policing powers are limited and often short-term measure such as section 34 Anti-social Behaviour, Crime and Policing Act 2014 enabling the dispersal and exclusion of public for maximum of 48 hours. Longer term and more preventative measures tend to be driven by other community agencies, for example a public spaces protection order issued by a council which can restrict the use of an open space.</w:t>
      </w:r>
    </w:p>
    <w:p w14:paraId="2BD4583B" w14:textId="77777777" w:rsidR="000B6C8D" w:rsidRPr="00C56A6B" w:rsidRDefault="000B6C8D" w:rsidP="00B81B17">
      <w:pPr>
        <w:spacing w:before="240"/>
        <w:rPr>
          <w:sz w:val="24"/>
          <w:szCs w:val="24"/>
        </w:rPr>
      </w:pPr>
      <w:r w:rsidRPr="00C56A6B">
        <w:rPr>
          <w:sz w:val="24"/>
          <w:szCs w:val="24"/>
        </w:rPr>
        <w:t>Assessment is reviewing if the action taken has solved the problem. This could be achieved by reviewing reports of anti-social behaviour at the station and discussing with rail service, public and community policing.</w:t>
      </w:r>
    </w:p>
    <w:p w14:paraId="0C49AC93" w14:textId="77777777" w:rsidR="000B6C8D" w:rsidRPr="00C56A6B" w:rsidRDefault="000B6C8D" w:rsidP="00B81B17">
      <w:pPr>
        <w:spacing w:before="240"/>
        <w:rPr>
          <w:sz w:val="24"/>
          <w:szCs w:val="24"/>
        </w:rPr>
      </w:pPr>
      <w:r w:rsidRPr="00C56A6B">
        <w:rPr>
          <w:sz w:val="24"/>
          <w:szCs w:val="24"/>
        </w:rPr>
        <w:t>As a cycle, if the action had not been fully effective then the situation could again be scanned, and the cycle started again.</w:t>
      </w:r>
    </w:p>
    <w:p w14:paraId="016E2E6A" w14:textId="77777777" w:rsidR="000B6C8D" w:rsidRPr="00C56A6B" w:rsidRDefault="000B6C8D" w:rsidP="00B81B17">
      <w:pPr>
        <w:spacing w:before="240"/>
        <w:rPr>
          <w:color w:val="FF0000"/>
          <w:sz w:val="24"/>
          <w:szCs w:val="24"/>
        </w:rPr>
      </w:pPr>
      <w:r w:rsidRPr="00C56A6B">
        <w:rPr>
          <w:sz w:val="24"/>
          <w:szCs w:val="24"/>
        </w:rPr>
        <w:t>Realising the potential impact this behaviour could have on the local community and feeing that the youths needed some community-based activity, I felt it was my responsibility to highlight the problem. Once I had finished with the call, with the youths making their way home and being satisfied that at least for that evening they had taken on board my advice and back in the station, I emailed details of the incident and my observations to the Neighbourhood Police team. As an isolated incident this email could be insignificant. However I was aware from the community support officers that there was an recurrent problem, so the team may use this as part of their scanning or analysis stages if they felt they needed to take a problem solving approach or refer to other agencies.</w:t>
      </w:r>
    </w:p>
    <w:p w14:paraId="7AF75605" w14:textId="77777777" w:rsidR="000B6C8D" w:rsidRPr="00C56A6B" w:rsidRDefault="000B6C8D" w:rsidP="00B81B17">
      <w:pPr>
        <w:spacing w:before="240"/>
        <w:rPr>
          <w:sz w:val="24"/>
          <w:szCs w:val="24"/>
        </w:rPr>
      </w:pPr>
      <w:r w:rsidRPr="00C56A6B">
        <w:rPr>
          <w:sz w:val="24"/>
          <w:szCs w:val="24"/>
        </w:rPr>
        <w:t>Working in Gwent is challenging, as I need to become familiar with many local areas by engaging with communities and working in partnership with local agencies such as neighbourhood groups and my community support officer colleagues. Gwent covers, 600 square miles, with a diverse population, mixture of urban and rural areas, each with different population mixes and quite different communities (Welsh Government 2015). Becoming familiar with different areas will allow me to adapt the best approach for that area when dealing with anti-social behaviour. For example, knowing hotspots and the type of behaviour in that area I could increase my visibility should I need to be there as a deterrent and to be visible to provide reassurance for the community.</w:t>
      </w:r>
    </w:p>
    <w:p w14:paraId="7DAC02E3" w14:textId="77777777" w:rsidR="000B6C8D" w:rsidRPr="00C56A6B" w:rsidRDefault="000B6C8D" w:rsidP="00B81B17">
      <w:pPr>
        <w:spacing w:before="240"/>
        <w:rPr>
          <w:sz w:val="24"/>
          <w:szCs w:val="24"/>
        </w:rPr>
      </w:pPr>
      <w:r w:rsidRPr="00C56A6B">
        <w:rPr>
          <w:sz w:val="24"/>
          <w:szCs w:val="24"/>
        </w:rPr>
        <w:t>Exploring this incident in its wider context and reviewing resources available, such as referenced has opened a whole area where I still feel I have a lot to learn. Using resources available to me such as the NCALT E-learning packages I will expand my understanding of anti-social behaviour, recognising triggers, its effect on members of the community and  increase understanding of the complex approaches to manage and prevent.</w:t>
      </w:r>
    </w:p>
    <w:p w14:paraId="4AF7BA9F" w14:textId="77777777" w:rsidR="000B6C8D" w:rsidRPr="00C56A6B" w:rsidRDefault="000B6C8D" w:rsidP="00A95D9F">
      <w:pPr>
        <w:spacing w:before="240"/>
        <w:rPr>
          <w:sz w:val="24"/>
          <w:szCs w:val="24"/>
        </w:rPr>
      </w:pPr>
      <w:r w:rsidRPr="00C56A6B">
        <w:rPr>
          <w:sz w:val="24"/>
          <w:szCs w:val="24"/>
        </w:rPr>
        <w:lastRenderedPageBreak/>
        <w:t>I appreciate that there are many different degrees of anti-social behaviour with different effects on individuals and the wider community and that considering action to take is not as clear cut as many other types of incident that I deal with. However, I do recognise that due to the nature of the problem that this is best solved by engagement with other agencies and the community themselves and good policing is recognising this, building up links and trust and becoming a piece in the jigsaw.</w:t>
      </w:r>
    </w:p>
    <w:p w14:paraId="7908A79A" w14:textId="1D691132" w:rsidR="000B6C8D" w:rsidRPr="00C56A6B" w:rsidRDefault="000B6C8D" w:rsidP="00B81B17">
      <w:pPr>
        <w:spacing w:before="240"/>
        <w:ind w:right="237"/>
        <w:jc w:val="both"/>
        <w:rPr>
          <w:bCs/>
          <w:sz w:val="24"/>
          <w:szCs w:val="24"/>
        </w:rPr>
      </w:pPr>
      <w:r w:rsidRPr="00C56A6B">
        <w:rPr>
          <w:bCs/>
          <w:sz w:val="24"/>
          <w:szCs w:val="24"/>
        </w:rPr>
        <w:t>Word Count 2608</w:t>
      </w:r>
    </w:p>
    <w:p w14:paraId="52FCEE5A" w14:textId="77777777" w:rsidR="00025650" w:rsidRPr="00B81B17" w:rsidRDefault="00025650" w:rsidP="00B81B17">
      <w:pPr>
        <w:spacing w:before="240"/>
        <w:ind w:right="237"/>
        <w:jc w:val="both"/>
        <w:rPr>
          <w:sz w:val="22"/>
          <w:szCs w:val="22"/>
        </w:rPr>
      </w:pPr>
    </w:p>
    <w:p w14:paraId="4C50E184" w14:textId="77777777" w:rsidR="00025650" w:rsidRPr="00B81B17" w:rsidRDefault="00025650" w:rsidP="00B81B17">
      <w:pPr>
        <w:spacing w:before="240"/>
        <w:ind w:right="237"/>
        <w:jc w:val="both"/>
        <w:rPr>
          <w:sz w:val="22"/>
          <w:szCs w:val="22"/>
        </w:rPr>
      </w:pPr>
    </w:p>
    <w:p w14:paraId="55E8513B" w14:textId="77777777" w:rsidR="00025650" w:rsidRPr="00B81B17" w:rsidRDefault="00025650" w:rsidP="00B81B17">
      <w:pPr>
        <w:spacing w:before="240"/>
        <w:ind w:right="237"/>
        <w:jc w:val="both"/>
        <w:rPr>
          <w:sz w:val="22"/>
          <w:szCs w:val="22"/>
        </w:rPr>
      </w:pPr>
    </w:p>
    <w:p w14:paraId="4C811AD3" w14:textId="77777777" w:rsidR="00025650" w:rsidRPr="00B81B17" w:rsidRDefault="00025650" w:rsidP="00B81B17">
      <w:pPr>
        <w:spacing w:before="240"/>
        <w:ind w:right="237"/>
        <w:jc w:val="both"/>
        <w:rPr>
          <w:sz w:val="22"/>
          <w:szCs w:val="22"/>
        </w:rPr>
      </w:pPr>
    </w:p>
    <w:p w14:paraId="0FEEFB0E" w14:textId="77777777" w:rsidR="00025650" w:rsidRPr="00B81B17" w:rsidRDefault="00025650" w:rsidP="00B81B17">
      <w:pPr>
        <w:spacing w:before="240"/>
        <w:ind w:right="237"/>
        <w:jc w:val="both"/>
        <w:rPr>
          <w:sz w:val="22"/>
          <w:szCs w:val="22"/>
        </w:rPr>
      </w:pPr>
    </w:p>
    <w:p w14:paraId="5E21F8DD" w14:textId="77777777" w:rsidR="00025650" w:rsidRPr="00B81B17" w:rsidRDefault="00025650" w:rsidP="00B81B17">
      <w:pPr>
        <w:spacing w:before="240"/>
        <w:ind w:right="237"/>
        <w:jc w:val="both"/>
        <w:rPr>
          <w:sz w:val="22"/>
          <w:szCs w:val="22"/>
        </w:rPr>
      </w:pPr>
    </w:p>
    <w:p w14:paraId="585519A4" w14:textId="77777777" w:rsidR="00025650" w:rsidRPr="00B81B17" w:rsidRDefault="00025650" w:rsidP="00B81B17">
      <w:pPr>
        <w:spacing w:before="240"/>
        <w:ind w:right="237"/>
        <w:jc w:val="both"/>
        <w:rPr>
          <w:sz w:val="22"/>
          <w:szCs w:val="22"/>
        </w:rPr>
      </w:pPr>
    </w:p>
    <w:p w14:paraId="53C57CDF" w14:textId="77777777" w:rsidR="00025650" w:rsidRPr="00B81B17" w:rsidRDefault="00025650" w:rsidP="00B81B17">
      <w:pPr>
        <w:spacing w:before="240"/>
        <w:ind w:right="237"/>
        <w:jc w:val="both"/>
        <w:rPr>
          <w:sz w:val="22"/>
          <w:szCs w:val="22"/>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69DBE87A" w14:textId="77777777" w:rsidR="00EA60CA" w:rsidRDefault="5848403C" w:rsidP="00EA60CA">
      <w:pPr>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5C108A9" w14:textId="77777777" w:rsidR="00EA60CA" w:rsidRDefault="00EA60CA" w:rsidP="00EA60CA">
      <w:pPr>
        <w:rPr>
          <w:sz w:val="24"/>
          <w:szCs w:val="24"/>
        </w:rPr>
      </w:pPr>
    </w:p>
    <w:p w14:paraId="068B2287" w14:textId="67D8CC61" w:rsidR="00EA60CA" w:rsidRPr="00C56A6B" w:rsidRDefault="00EA60CA" w:rsidP="00EA60CA">
      <w:pPr>
        <w:rPr>
          <w:rFonts w:eastAsiaTheme="minorHAnsi"/>
          <w:color w:val="auto"/>
          <w:sz w:val="24"/>
          <w:szCs w:val="24"/>
          <w:u w:val="single"/>
          <w:lang w:eastAsia="en-US"/>
        </w:rPr>
      </w:pPr>
      <w:r w:rsidRPr="00C56A6B">
        <w:rPr>
          <w:rFonts w:eastAsiaTheme="minorHAnsi"/>
          <w:color w:val="auto"/>
          <w:sz w:val="24"/>
          <w:szCs w:val="24"/>
          <w:u w:val="single"/>
          <w:lang w:eastAsia="en-US"/>
        </w:rPr>
        <w:t>Task 1</w:t>
      </w:r>
    </w:p>
    <w:p w14:paraId="0325A140" w14:textId="77777777" w:rsidR="00897140" w:rsidRPr="00C56A6B" w:rsidRDefault="00897140" w:rsidP="00EA60CA">
      <w:pPr>
        <w:rPr>
          <w:rFonts w:eastAsiaTheme="minorHAnsi"/>
          <w:color w:val="auto"/>
          <w:sz w:val="24"/>
          <w:szCs w:val="24"/>
          <w:lang w:eastAsia="en-US"/>
        </w:rPr>
      </w:pPr>
    </w:p>
    <w:p w14:paraId="22B85542" w14:textId="77777777" w:rsidR="00EA60CA" w:rsidRPr="00C56A6B" w:rsidRDefault="00EA60CA" w:rsidP="00DD62E9">
      <w:pPr>
        <w:overflowPunct/>
        <w:autoSpaceDE/>
        <w:autoSpaceDN/>
        <w:adjustRightInd/>
        <w:spacing w:after="160" w:line="480" w:lineRule="auto"/>
        <w:textAlignment w:val="auto"/>
        <w:rPr>
          <w:rFonts w:eastAsiaTheme="minorHAnsi"/>
          <w:color w:val="auto"/>
          <w:sz w:val="24"/>
          <w:szCs w:val="24"/>
          <w:lang w:eastAsia="en-US"/>
        </w:rPr>
      </w:pPr>
      <w:r w:rsidRPr="00C56A6B">
        <w:rPr>
          <w:rFonts w:eastAsiaTheme="minorHAnsi"/>
          <w:color w:val="auto"/>
          <w:sz w:val="24"/>
          <w:szCs w:val="24"/>
          <w:lang w:eastAsia="en-US"/>
        </w:rPr>
        <w:t xml:space="preserve">College of Policing (2020) Available at: </w:t>
      </w:r>
      <w:hyperlink r:id="rId15" w:history="1">
        <w:r w:rsidRPr="00C56A6B">
          <w:rPr>
            <w:rFonts w:eastAsiaTheme="minorHAnsi"/>
            <w:color w:val="0563C1" w:themeColor="hyperlink"/>
            <w:sz w:val="24"/>
            <w:szCs w:val="24"/>
            <w:u w:val="single"/>
            <w:lang w:eastAsia="en-US"/>
          </w:rPr>
          <w:t>https://profdev.college.police.uk/professional-profile/test-9/</w:t>
        </w:r>
      </w:hyperlink>
      <w:r w:rsidRPr="00C56A6B">
        <w:rPr>
          <w:rFonts w:eastAsiaTheme="minorHAnsi"/>
          <w:color w:val="auto"/>
          <w:sz w:val="24"/>
          <w:szCs w:val="24"/>
          <w:lang w:eastAsia="en-US"/>
        </w:rPr>
        <w:t xml:space="preserve">  (Accessed: 3 October 2020).</w:t>
      </w:r>
    </w:p>
    <w:p w14:paraId="14AB9201" w14:textId="77777777" w:rsidR="00EA60CA" w:rsidRPr="00C56A6B" w:rsidRDefault="00EA60CA" w:rsidP="00DD62E9">
      <w:pPr>
        <w:overflowPunct/>
        <w:autoSpaceDE/>
        <w:autoSpaceDN/>
        <w:adjustRightInd/>
        <w:spacing w:after="160" w:line="480" w:lineRule="auto"/>
        <w:textAlignment w:val="auto"/>
        <w:rPr>
          <w:rFonts w:eastAsiaTheme="minorHAnsi"/>
          <w:color w:val="auto"/>
          <w:sz w:val="24"/>
          <w:szCs w:val="24"/>
          <w:lang w:eastAsia="en-US"/>
        </w:rPr>
      </w:pPr>
      <w:r w:rsidRPr="00C56A6B">
        <w:rPr>
          <w:rFonts w:eastAsiaTheme="minorHAnsi"/>
          <w:color w:val="auto"/>
          <w:sz w:val="24"/>
          <w:szCs w:val="24"/>
          <w:lang w:eastAsia="en-US"/>
        </w:rPr>
        <w:t xml:space="preserve">Mind (2007) </w:t>
      </w:r>
      <w:r w:rsidRPr="00C56A6B">
        <w:rPr>
          <w:rFonts w:eastAsiaTheme="minorHAnsi"/>
          <w:i/>
          <w:iCs/>
          <w:color w:val="auto"/>
          <w:sz w:val="24"/>
          <w:szCs w:val="24"/>
          <w:lang w:eastAsia="en-US"/>
        </w:rPr>
        <w:t>Stress</w:t>
      </w:r>
      <w:r w:rsidRPr="00C56A6B">
        <w:rPr>
          <w:rFonts w:eastAsiaTheme="minorHAnsi"/>
          <w:color w:val="auto"/>
          <w:sz w:val="24"/>
          <w:szCs w:val="24"/>
          <w:lang w:eastAsia="en-US"/>
        </w:rPr>
        <w:t xml:space="preserve">. Available at: </w:t>
      </w:r>
      <w:hyperlink r:id="rId16" w:history="1">
        <w:r w:rsidRPr="00C56A6B">
          <w:rPr>
            <w:rFonts w:eastAsiaTheme="minorHAnsi"/>
            <w:color w:val="0563C1" w:themeColor="hyperlink"/>
            <w:sz w:val="24"/>
            <w:szCs w:val="24"/>
            <w:u w:val="single"/>
            <w:lang w:eastAsia="en-US"/>
          </w:rPr>
          <w:t>https://www.mind.org.uk/media-a/2959/stress-2017.pdf</w:t>
        </w:r>
      </w:hyperlink>
      <w:r w:rsidRPr="00C56A6B">
        <w:rPr>
          <w:rFonts w:eastAsiaTheme="minorHAnsi"/>
          <w:color w:val="auto"/>
          <w:sz w:val="24"/>
          <w:szCs w:val="24"/>
          <w:lang w:eastAsia="en-US"/>
        </w:rPr>
        <w:t xml:space="preserve"> (Accessed 3 October 2020).</w:t>
      </w:r>
    </w:p>
    <w:p w14:paraId="150CFFB7" w14:textId="77777777" w:rsidR="00EA60CA" w:rsidRPr="00C56A6B" w:rsidRDefault="00EA60CA" w:rsidP="00DD62E9">
      <w:pPr>
        <w:overflowPunct/>
        <w:autoSpaceDE/>
        <w:autoSpaceDN/>
        <w:adjustRightInd/>
        <w:spacing w:after="160" w:line="480" w:lineRule="auto"/>
        <w:textAlignment w:val="auto"/>
        <w:rPr>
          <w:rFonts w:eastAsiaTheme="minorHAnsi"/>
          <w:color w:val="auto"/>
          <w:sz w:val="24"/>
          <w:szCs w:val="24"/>
          <w:lang w:eastAsia="en-US"/>
        </w:rPr>
      </w:pPr>
      <w:r w:rsidRPr="00C56A6B">
        <w:rPr>
          <w:rFonts w:eastAsiaTheme="minorHAnsi"/>
          <w:color w:val="auto"/>
          <w:sz w:val="24"/>
          <w:szCs w:val="24"/>
          <w:lang w:eastAsia="en-US"/>
        </w:rPr>
        <w:t>NHS 2018</w:t>
      </w:r>
      <w:r w:rsidRPr="00C56A6B">
        <w:rPr>
          <w:rFonts w:eastAsiaTheme="minorHAnsi"/>
          <w:i/>
          <w:iCs/>
          <w:color w:val="auto"/>
          <w:sz w:val="24"/>
          <w:szCs w:val="24"/>
          <w:lang w:eastAsia="en-US"/>
        </w:rPr>
        <w:t xml:space="preserve"> 10 stress busters</w:t>
      </w:r>
      <w:r w:rsidRPr="00C56A6B">
        <w:rPr>
          <w:rFonts w:eastAsiaTheme="minorHAnsi"/>
          <w:color w:val="auto"/>
          <w:sz w:val="24"/>
          <w:szCs w:val="24"/>
          <w:lang w:eastAsia="en-US"/>
        </w:rPr>
        <w:t xml:space="preserve">. Available at: </w:t>
      </w:r>
      <w:hyperlink r:id="rId17" w:history="1">
        <w:r w:rsidRPr="00C56A6B">
          <w:rPr>
            <w:rFonts w:eastAsiaTheme="minorHAnsi"/>
            <w:color w:val="0563C1" w:themeColor="hyperlink"/>
            <w:sz w:val="24"/>
            <w:szCs w:val="24"/>
            <w:u w:val="single"/>
            <w:lang w:eastAsia="en-US"/>
          </w:rPr>
          <w:t>https://www.nhs.uk/conditions/stress-anxiety-depression/reduce-stress/</w:t>
        </w:r>
      </w:hyperlink>
      <w:r w:rsidRPr="00C56A6B">
        <w:rPr>
          <w:rFonts w:eastAsiaTheme="minorHAnsi"/>
          <w:color w:val="auto"/>
          <w:sz w:val="24"/>
          <w:szCs w:val="24"/>
          <w:lang w:eastAsia="en-US"/>
        </w:rPr>
        <w:t xml:space="preserve"> (Accessed 3 October 2020).</w:t>
      </w:r>
    </w:p>
    <w:p w14:paraId="5A69962C" w14:textId="77777777" w:rsidR="00E05262" w:rsidRPr="00C56A6B" w:rsidRDefault="00EA60CA" w:rsidP="00DD62E9">
      <w:pPr>
        <w:spacing w:line="480" w:lineRule="auto"/>
        <w:rPr>
          <w:rFonts w:eastAsiaTheme="minorHAnsi"/>
          <w:color w:val="auto"/>
          <w:sz w:val="24"/>
          <w:szCs w:val="24"/>
          <w:lang w:eastAsia="en-US"/>
        </w:rPr>
      </w:pPr>
      <w:r w:rsidRPr="00C56A6B">
        <w:rPr>
          <w:rFonts w:eastAsiaTheme="minorHAnsi"/>
          <w:color w:val="auto"/>
          <w:sz w:val="24"/>
          <w:szCs w:val="24"/>
          <w:lang w:eastAsia="en-US"/>
        </w:rPr>
        <w:t xml:space="preserve">Young, K. (2018) ‘Making a Good Impression’ </w:t>
      </w:r>
      <w:r w:rsidRPr="00C56A6B">
        <w:rPr>
          <w:rFonts w:eastAsiaTheme="minorHAnsi"/>
          <w:i/>
          <w:iCs/>
          <w:color w:val="auto"/>
          <w:sz w:val="24"/>
          <w:szCs w:val="24"/>
          <w:lang w:eastAsia="en-US"/>
        </w:rPr>
        <w:t>Credit Management</w:t>
      </w:r>
      <w:r w:rsidRPr="00C56A6B">
        <w:rPr>
          <w:rFonts w:eastAsiaTheme="minorHAnsi"/>
          <w:color w:val="auto"/>
          <w:sz w:val="24"/>
          <w:szCs w:val="24"/>
          <w:lang w:eastAsia="en-US"/>
        </w:rPr>
        <w:t xml:space="preserve">; </w:t>
      </w:r>
      <w:r w:rsidRPr="00C56A6B">
        <w:rPr>
          <w:rFonts w:eastAsiaTheme="minorHAnsi"/>
          <w:i/>
          <w:iCs/>
          <w:color w:val="auto"/>
          <w:sz w:val="24"/>
          <w:szCs w:val="24"/>
          <w:lang w:eastAsia="en-US"/>
        </w:rPr>
        <w:t>Stamford</w:t>
      </w:r>
      <w:r w:rsidRPr="00C56A6B">
        <w:rPr>
          <w:rFonts w:eastAsiaTheme="minorHAnsi"/>
          <w:color w:val="auto"/>
          <w:sz w:val="24"/>
          <w:szCs w:val="24"/>
          <w:lang w:eastAsia="en-US"/>
        </w:rPr>
        <w:t xml:space="preserve">, (Jun 2018) p51. Available at: </w:t>
      </w:r>
      <w:hyperlink r:id="rId18" w:history="1">
        <w:r w:rsidRPr="00C56A6B">
          <w:rPr>
            <w:rFonts w:eastAsiaTheme="minorHAnsi"/>
            <w:color w:val="0563C1" w:themeColor="hyperlink"/>
            <w:sz w:val="24"/>
            <w:szCs w:val="24"/>
            <w:u w:val="single"/>
            <w:lang w:eastAsia="en-US"/>
          </w:rPr>
          <w:t>https://search-proquest-com.ezproxy.uwtsd.ac.uk/docview/2211285497?accountid=130472</w:t>
        </w:r>
      </w:hyperlink>
      <w:r w:rsidRPr="00C56A6B">
        <w:rPr>
          <w:rFonts w:eastAsiaTheme="minorHAnsi"/>
          <w:color w:val="auto"/>
          <w:sz w:val="24"/>
          <w:szCs w:val="24"/>
          <w:lang w:eastAsia="en-US"/>
        </w:rPr>
        <w:t xml:space="preserve">  (Accessed 3 October 2020).</w:t>
      </w:r>
    </w:p>
    <w:p w14:paraId="2F6ABA88" w14:textId="77777777" w:rsidR="00E05262" w:rsidRPr="00C56A6B" w:rsidRDefault="00E05262" w:rsidP="00E05262">
      <w:pPr>
        <w:rPr>
          <w:rFonts w:eastAsiaTheme="minorHAnsi"/>
          <w:color w:val="auto"/>
          <w:sz w:val="24"/>
          <w:szCs w:val="24"/>
          <w:lang w:eastAsia="en-US"/>
        </w:rPr>
      </w:pPr>
    </w:p>
    <w:p w14:paraId="33818ABA" w14:textId="2F371083" w:rsidR="00E05262" w:rsidRPr="00C56A6B" w:rsidRDefault="00E05262" w:rsidP="00E05262">
      <w:pPr>
        <w:rPr>
          <w:rFonts w:eastAsiaTheme="minorHAnsi"/>
          <w:color w:val="auto"/>
          <w:sz w:val="24"/>
          <w:szCs w:val="24"/>
          <w:u w:val="single"/>
          <w:lang w:eastAsia="en-US"/>
        </w:rPr>
      </w:pPr>
      <w:r w:rsidRPr="00C56A6B">
        <w:rPr>
          <w:rFonts w:eastAsiaTheme="minorHAnsi"/>
          <w:color w:val="auto"/>
          <w:sz w:val="24"/>
          <w:szCs w:val="24"/>
          <w:u w:val="single"/>
          <w:lang w:eastAsia="en-US"/>
        </w:rPr>
        <w:t>Task 2</w:t>
      </w:r>
    </w:p>
    <w:p w14:paraId="6E81340C" w14:textId="77777777" w:rsidR="00E05262" w:rsidRPr="00C56A6B" w:rsidRDefault="00E05262" w:rsidP="00E05262">
      <w:pPr>
        <w:rPr>
          <w:rFonts w:eastAsiaTheme="minorHAnsi"/>
          <w:color w:val="auto"/>
          <w:sz w:val="24"/>
          <w:szCs w:val="24"/>
          <w:u w:val="single"/>
          <w:lang w:eastAsia="en-US"/>
        </w:rPr>
      </w:pPr>
    </w:p>
    <w:p w14:paraId="0BB3DCD6"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ACPO (2006) </w:t>
      </w:r>
      <w:r w:rsidRPr="00E05262">
        <w:rPr>
          <w:rFonts w:eastAsiaTheme="minorHAnsi"/>
          <w:i/>
          <w:iCs/>
          <w:color w:val="auto"/>
          <w:sz w:val="24"/>
          <w:szCs w:val="24"/>
          <w:lang w:eastAsia="en-US"/>
        </w:rPr>
        <w:t>Practice Advice on House-to-House Enquiries</w:t>
      </w:r>
      <w:r w:rsidRPr="00E05262">
        <w:rPr>
          <w:rFonts w:eastAsiaTheme="minorHAnsi"/>
          <w:color w:val="auto"/>
          <w:sz w:val="24"/>
          <w:szCs w:val="24"/>
          <w:lang w:eastAsia="en-US"/>
        </w:rPr>
        <w:t xml:space="preserve"> Available at </w:t>
      </w:r>
      <w:hyperlink r:id="rId19" w:history="1">
        <w:r w:rsidRPr="00E05262">
          <w:rPr>
            <w:rFonts w:eastAsiaTheme="minorHAnsi"/>
            <w:color w:val="0563C1" w:themeColor="hyperlink"/>
            <w:sz w:val="24"/>
            <w:szCs w:val="24"/>
            <w:u w:val="single"/>
            <w:lang w:eastAsia="en-US"/>
          </w:rPr>
          <w:t>http://library.college.police.uk/docs/APPref/house-to-house-enquiries.pdf</w:t>
        </w:r>
      </w:hyperlink>
      <w:r w:rsidRPr="00E05262">
        <w:rPr>
          <w:rFonts w:eastAsiaTheme="minorHAnsi"/>
          <w:color w:val="auto"/>
          <w:sz w:val="24"/>
          <w:szCs w:val="24"/>
          <w:lang w:eastAsia="en-US"/>
        </w:rPr>
        <w:t xml:space="preserve"> (Accessed 9 October 2020).</w:t>
      </w:r>
    </w:p>
    <w:p w14:paraId="0E2BBA5D"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Bryant, R and Bryant, S. (2019) </w:t>
      </w:r>
      <w:r w:rsidRPr="00E05262">
        <w:rPr>
          <w:rFonts w:eastAsiaTheme="minorHAnsi"/>
          <w:i/>
          <w:iCs/>
          <w:color w:val="auto"/>
          <w:sz w:val="24"/>
          <w:szCs w:val="24"/>
          <w:lang w:eastAsia="en-US"/>
        </w:rPr>
        <w:t>Blackstone’s Handbook for Policing Students</w:t>
      </w:r>
      <w:r w:rsidRPr="00E05262">
        <w:rPr>
          <w:rFonts w:eastAsiaTheme="minorHAnsi"/>
          <w:color w:val="auto"/>
          <w:sz w:val="24"/>
          <w:szCs w:val="24"/>
          <w:lang w:eastAsia="en-US"/>
        </w:rPr>
        <w:t>.14</w:t>
      </w:r>
      <w:r w:rsidRPr="00E05262">
        <w:rPr>
          <w:rFonts w:eastAsiaTheme="minorHAnsi"/>
          <w:color w:val="auto"/>
          <w:sz w:val="24"/>
          <w:szCs w:val="24"/>
          <w:vertAlign w:val="superscript"/>
          <w:lang w:eastAsia="en-US"/>
        </w:rPr>
        <w:t>th</w:t>
      </w:r>
      <w:r w:rsidRPr="00E05262">
        <w:rPr>
          <w:rFonts w:eastAsiaTheme="minorHAnsi"/>
          <w:color w:val="auto"/>
          <w:sz w:val="24"/>
          <w:szCs w:val="24"/>
          <w:lang w:eastAsia="en-US"/>
        </w:rPr>
        <w:t xml:space="preserve"> edn. Oxford University Press.</w:t>
      </w:r>
      <w:bookmarkStart w:id="9" w:name="_Hlk53461431"/>
      <w:bookmarkStart w:id="10" w:name="_Hlk53461497"/>
    </w:p>
    <w:p w14:paraId="3E99333D"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Code of Ethics (2014) </w:t>
      </w:r>
      <w:r w:rsidRPr="00E05262">
        <w:rPr>
          <w:rFonts w:eastAsiaTheme="minorHAnsi"/>
          <w:i/>
          <w:iCs/>
          <w:color w:val="auto"/>
          <w:sz w:val="24"/>
          <w:szCs w:val="24"/>
          <w:lang w:eastAsia="en-US"/>
        </w:rPr>
        <w:t xml:space="preserve">A Code of Practice for the Principles and Standards of Professional Behaviour for the Policing Profession of England and Wales </w:t>
      </w:r>
      <w:r w:rsidRPr="00E05262">
        <w:rPr>
          <w:rFonts w:eastAsiaTheme="minorHAnsi"/>
          <w:color w:val="auto"/>
          <w:sz w:val="24"/>
          <w:szCs w:val="24"/>
          <w:lang w:eastAsia="en-US"/>
        </w:rPr>
        <w:t xml:space="preserve">Available </w:t>
      </w:r>
      <w:r w:rsidRPr="00E05262">
        <w:rPr>
          <w:rFonts w:eastAsiaTheme="minorHAnsi"/>
          <w:color w:val="auto"/>
          <w:sz w:val="24"/>
          <w:szCs w:val="24"/>
          <w:lang w:eastAsia="en-US"/>
        </w:rPr>
        <w:lastRenderedPageBreak/>
        <w:t xml:space="preserve">at: </w:t>
      </w:r>
      <w:hyperlink r:id="rId20" w:history="1">
        <w:r w:rsidRPr="00E05262">
          <w:rPr>
            <w:rFonts w:eastAsiaTheme="minorHAnsi"/>
            <w:color w:val="0563C1" w:themeColor="hyperlink"/>
            <w:sz w:val="24"/>
            <w:szCs w:val="24"/>
            <w:u w:val="single"/>
            <w:lang w:eastAsia="en-US"/>
          </w:rPr>
          <w:t>https://www.college.police.uk/What-we-do/Ethics/Ethics-home/Documents/Code_of_Ethics.pdf</w:t>
        </w:r>
      </w:hyperlink>
      <w:r w:rsidRPr="00E05262">
        <w:rPr>
          <w:rFonts w:eastAsiaTheme="minorHAnsi"/>
          <w:color w:val="auto"/>
          <w:sz w:val="24"/>
          <w:szCs w:val="24"/>
          <w:lang w:eastAsia="en-US"/>
        </w:rPr>
        <w:t xml:space="preserve"> </w:t>
      </w:r>
      <w:bookmarkEnd w:id="9"/>
      <w:r w:rsidRPr="00E05262">
        <w:rPr>
          <w:rFonts w:eastAsiaTheme="minorHAnsi"/>
          <w:color w:val="auto"/>
          <w:sz w:val="24"/>
          <w:szCs w:val="24"/>
          <w:lang w:eastAsia="en-US"/>
        </w:rPr>
        <w:t xml:space="preserve">(Accessed 9 October 2020). </w:t>
      </w:r>
    </w:p>
    <w:bookmarkEnd w:id="10"/>
    <w:p w14:paraId="164F8082"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i/>
          <w:iCs/>
          <w:color w:val="auto"/>
          <w:sz w:val="24"/>
          <w:szCs w:val="24"/>
          <w:lang w:eastAsia="en-US"/>
        </w:rPr>
        <w:t xml:space="preserve">Criminal Procedure and Investigations Act 1996 (section 23(1)) Code of Practice, </w:t>
      </w:r>
      <w:r w:rsidRPr="00E05262">
        <w:rPr>
          <w:rFonts w:eastAsiaTheme="minorHAnsi"/>
          <w:color w:val="auto"/>
          <w:sz w:val="24"/>
          <w:szCs w:val="24"/>
          <w:lang w:eastAsia="en-US"/>
        </w:rPr>
        <w:t xml:space="preserve">Available at: </w:t>
      </w:r>
      <w:hyperlink r:id="rId21" w:history="1">
        <w:r w:rsidRPr="00E05262">
          <w:rPr>
            <w:rFonts w:eastAsiaTheme="minorHAnsi"/>
            <w:color w:val="0563C1" w:themeColor="hyperlink"/>
            <w:sz w:val="24"/>
            <w:szCs w:val="24"/>
            <w:u w:val="single"/>
            <w:lang w:eastAsia="en-US"/>
          </w:rPr>
          <w:t>https://assets.publishing.service.gov.uk/government/uploads/system/uploads/attachment_data/file/447967/code-of-practice-approved.pdf</w:t>
        </w:r>
      </w:hyperlink>
      <w:r w:rsidRPr="00E05262">
        <w:rPr>
          <w:rFonts w:eastAsiaTheme="minorHAnsi"/>
          <w:color w:val="auto"/>
          <w:sz w:val="24"/>
          <w:szCs w:val="24"/>
          <w:lang w:eastAsia="en-US"/>
        </w:rPr>
        <w:t xml:space="preserve"> (Accessed 11 October 2020).</w:t>
      </w:r>
    </w:p>
    <w:p w14:paraId="0301AA6F"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College of Policing (2014) </w:t>
      </w:r>
      <w:r w:rsidRPr="00E05262">
        <w:rPr>
          <w:rFonts w:eastAsiaTheme="minorHAnsi"/>
          <w:i/>
          <w:iCs/>
          <w:color w:val="auto"/>
          <w:sz w:val="24"/>
          <w:szCs w:val="24"/>
          <w:lang w:eastAsia="en-US"/>
        </w:rPr>
        <w:t>Body-Worn Video</w:t>
      </w:r>
      <w:r w:rsidRPr="00E05262">
        <w:rPr>
          <w:rFonts w:eastAsiaTheme="minorHAnsi"/>
          <w:color w:val="auto"/>
          <w:sz w:val="24"/>
          <w:szCs w:val="24"/>
          <w:lang w:eastAsia="en-US"/>
        </w:rPr>
        <w:t xml:space="preserve"> Available at: </w:t>
      </w:r>
      <w:hyperlink r:id="rId22" w:history="1">
        <w:r w:rsidRPr="00E05262">
          <w:rPr>
            <w:rFonts w:eastAsiaTheme="minorHAnsi"/>
            <w:color w:val="0563C1" w:themeColor="hyperlink"/>
            <w:sz w:val="24"/>
            <w:szCs w:val="24"/>
            <w:u w:val="single"/>
            <w:lang w:eastAsia="en-US"/>
          </w:rPr>
          <w:t>http://library.college.police.uk/docs/college-of-policing/body-worn-video-guidance-2014.pdf</w:t>
        </w:r>
      </w:hyperlink>
      <w:r w:rsidRPr="00E05262">
        <w:rPr>
          <w:rFonts w:eastAsiaTheme="minorHAnsi"/>
          <w:color w:val="auto"/>
          <w:sz w:val="24"/>
          <w:szCs w:val="24"/>
          <w:lang w:eastAsia="en-US"/>
        </w:rPr>
        <w:t xml:space="preserve"> (Accessed 4 October 2020).</w:t>
      </w:r>
    </w:p>
    <w:p w14:paraId="71F4286E"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i/>
          <w:iCs/>
          <w:color w:val="auto"/>
          <w:sz w:val="24"/>
          <w:szCs w:val="24"/>
          <w:lang w:eastAsia="en-US"/>
        </w:rPr>
        <w:t xml:space="preserve">Criminal Justice Act 1988, section 39. </w:t>
      </w:r>
      <w:r w:rsidRPr="00E05262">
        <w:rPr>
          <w:rFonts w:eastAsiaTheme="minorHAnsi"/>
          <w:color w:val="auto"/>
          <w:sz w:val="24"/>
          <w:szCs w:val="24"/>
          <w:lang w:eastAsia="en-US"/>
        </w:rPr>
        <w:t>Available at: https://www.legislation.gov.uk/ukpga/1988/33/section/39 (Accessed 10 October 2020).</w:t>
      </w:r>
    </w:p>
    <w:p w14:paraId="3EC00870"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Crown Prosecution Service (2017) </w:t>
      </w:r>
      <w:r w:rsidRPr="00E05262">
        <w:rPr>
          <w:rFonts w:eastAsiaTheme="minorHAnsi"/>
          <w:i/>
          <w:iCs/>
          <w:color w:val="auto"/>
          <w:sz w:val="24"/>
          <w:szCs w:val="24"/>
          <w:lang w:eastAsia="en-US"/>
        </w:rPr>
        <w:t>Domestic abuse.</w:t>
      </w:r>
      <w:r w:rsidRPr="00E05262">
        <w:rPr>
          <w:rFonts w:eastAsiaTheme="minorHAnsi"/>
          <w:color w:val="auto"/>
          <w:sz w:val="24"/>
          <w:szCs w:val="24"/>
          <w:lang w:eastAsia="en-US"/>
        </w:rPr>
        <w:t xml:space="preserve"> Available at: </w:t>
      </w:r>
      <w:hyperlink r:id="rId23" w:history="1">
        <w:r w:rsidRPr="00E05262">
          <w:rPr>
            <w:rFonts w:eastAsiaTheme="minorHAnsi"/>
            <w:color w:val="0563C1" w:themeColor="hyperlink"/>
            <w:sz w:val="24"/>
            <w:szCs w:val="24"/>
            <w:u w:val="single"/>
            <w:lang w:eastAsia="en-US"/>
          </w:rPr>
          <w:t>https://www.cps.gov.uk/crime-info/domestic-abuse</w:t>
        </w:r>
      </w:hyperlink>
      <w:r w:rsidRPr="00E05262">
        <w:rPr>
          <w:rFonts w:eastAsiaTheme="minorHAnsi"/>
          <w:color w:val="auto"/>
          <w:sz w:val="24"/>
          <w:szCs w:val="24"/>
          <w:lang w:eastAsia="en-US"/>
        </w:rPr>
        <w:t xml:space="preserve"> (Accessed 4 October 2020).</w:t>
      </w:r>
    </w:p>
    <w:p w14:paraId="681080A2"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Home Office (2020) </w:t>
      </w:r>
      <w:r w:rsidRPr="00E05262">
        <w:rPr>
          <w:rFonts w:eastAsiaTheme="minorHAnsi"/>
          <w:i/>
          <w:iCs/>
          <w:color w:val="auto"/>
          <w:sz w:val="24"/>
          <w:szCs w:val="24"/>
          <w:lang w:eastAsia="en-US"/>
        </w:rPr>
        <w:t>Policy Paper Domestic Abuse Bill 2020: overarching factsheet</w:t>
      </w:r>
      <w:r w:rsidRPr="00E05262">
        <w:rPr>
          <w:rFonts w:eastAsiaTheme="minorHAnsi"/>
          <w:color w:val="auto"/>
          <w:sz w:val="24"/>
          <w:szCs w:val="24"/>
          <w:lang w:eastAsia="en-US"/>
        </w:rPr>
        <w:t xml:space="preserve"> Available at: </w:t>
      </w:r>
      <w:hyperlink r:id="rId24" w:history="1">
        <w:r w:rsidRPr="00E05262">
          <w:rPr>
            <w:rFonts w:eastAsiaTheme="minorHAnsi"/>
            <w:color w:val="0000FF"/>
            <w:sz w:val="24"/>
            <w:szCs w:val="24"/>
            <w:u w:val="single"/>
            <w:lang w:eastAsia="en-US"/>
          </w:rPr>
          <w:t>https://www.gov.uk/government/publications/domestic-abuse-bill-2020-factsheets/domestic-abuse-bill-2020-overarching-factsheet</w:t>
        </w:r>
      </w:hyperlink>
      <w:r w:rsidRPr="00E05262">
        <w:rPr>
          <w:rFonts w:eastAsiaTheme="minorHAnsi"/>
          <w:color w:val="auto"/>
          <w:sz w:val="24"/>
          <w:szCs w:val="24"/>
          <w:lang w:eastAsia="en-US"/>
        </w:rPr>
        <w:t xml:space="preserve"> (Accessed 9 October 2020).</w:t>
      </w:r>
    </w:p>
    <w:p w14:paraId="5C23BFC9"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Myhill, A. and Johnson, K. (2016) ‘Police use of discretion in domestic violence’, </w:t>
      </w:r>
      <w:r w:rsidRPr="00E05262">
        <w:rPr>
          <w:rFonts w:eastAsiaTheme="minorHAnsi"/>
          <w:i/>
          <w:iCs/>
          <w:color w:val="auto"/>
          <w:sz w:val="24"/>
          <w:szCs w:val="24"/>
          <w:lang w:eastAsia="en-US"/>
        </w:rPr>
        <w:t>Criminology</w:t>
      </w:r>
      <w:r w:rsidRPr="00E05262">
        <w:rPr>
          <w:rFonts w:eastAsiaTheme="minorHAnsi"/>
          <w:color w:val="auto"/>
          <w:sz w:val="24"/>
          <w:szCs w:val="24"/>
          <w:lang w:eastAsia="en-US"/>
        </w:rPr>
        <w:t xml:space="preserve"> </w:t>
      </w:r>
      <w:r w:rsidRPr="00E05262">
        <w:rPr>
          <w:rFonts w:eastAsiaTheme="minorHAnsi"/>
          <w:i/>
          <w:iCs/>
          <w:color w:val="auto"/>
          <w:sz w:val="24"/>
          <w:szCs w:val="24"/>
          <w:lang w:eastAsia="en-US"/>
        </w:rPr>
        <w:t>and Criminal Justice</w:t>
      </w:r>
      <w:r w:rsidRPr="00E05262">
        <w:rPr>
          <w:rFonts w:eastAsiaTheme="minorHAnsi"/>
          <w:color w:val="auto"/>
          <w:sz w:val="24"/>
          <w:szCs w:val="24"/>
          <w:lang w:eastAsia="en-US"/>
        </w:rPr>
        <w:t>, 16(1), pp. 3-20. Available at: DOI: 10.1177/1748895815590202 (Accessed 6 October 2020).</w:t>
      </w:r>
    </w:p>
    <w:p w14:paraId="6281624D"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Owens, C., Mann, D. and Mckenna, R. (2014) </w:t>
      </w:r>
      <w:r w:rsidRPr="00E05262">
        <w:rPr>
          <w:rFonts w:eastAsiaTheme="minorHAnsi"/>
          <w:i/>
          <w:iCs/>
          <w:color w:val="auto"/>
          <w:sz w:val="24"/>
          <w:szCs w:val="24"/>
          <w:lang w:eastAsia="en-US"/>
        </w:rPr>
        <w:t xml:space="preserve">The Essex Body Worn Video Trial. </w:t>
      </w:r>
      <w:r w:rsidRPr="00E05262">
        <w:rPr>
          <w:rFonts w:eastAsiaTheme="minorHAnsi"/>
          <w:color w:val="auto"/>
          <w:sz w:val="24"/>
          <w:szCs w:val="24"/>
          <w:lang w:eastAsia="en-US"/>
        </w:rPr>
        <w:t xml:space="preserve">Available at: </w:t>
      </w:r>
      <w:hyperlink r:id="rId25" w:history="1">
        <w:r w:rsidRPr="00E05262">
          <w:rPr>
            <w:rFonts w:eastAsiaTheme="minorHAnsi"/>
            <w:color w:val="0563C1" w:themeColor="hyperlink"/>
            <w:sz w:val="24"/>
            <w:szCs w:val="24"/>
            <w:u w:val="single"/>
            <w:lang w:eastAsia="en-US"/>
          </w:rPr>
          <w:t>https://whatworks.college.police.uk/Research/Documents/BWV_Report.pdf</w:t>
        </w:r>
      </w:hyperlink>
      <w:r w:rsidRPr="00E05262">
        <w:rPr>
          <w:rFonts w:eastAsiaTheme="minorHAnsi"/>
          <w:color w:val="auto"/>
          <w:sz w:val="24"/>
          <w:szCs w:val="24"/>
          <w:lang w:eastAsia="en-US"/>
        </w:rPr>
        <w:t xml:space="preserve"> (Accessed 10 October 2020).</w:t>
      </w:r>
    </w:p>
    <w:p w14:paraId="18A50D79"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Richards, L. (2009) </w:t>
      </w:r>
      <w:r w:rsidRPr="00E05262">
        <w:rPr>
          <w:rFonts w:eastAsiaTheme="minorHAnsi"/>
          <w:i/>
          <w:iCs/>
          <w:color w:val="auto"/>
          <w:sz w:val="24"/>
          <w:szCs w:val="24"/>
          <w:lang w:eastAsia="en-US"/>
        </w:rPr>
        <w:t>Domestic Abuse, Stalking and Harassment and Honour Based Violence (DASH, 2009) Risk Identification and Assessment and Management Model</w:t>
      </w:r>
      <w:r w:rsidRPr="00E05262">
        <w:rPr>
          <w:rFonts w:eastAsiaTheme="minorHAnsi"/>
          <w:color w:val="auto"/>
          <w:sz w:val="24"/>
          <w:szCs w:val="24"/>
          <w:lang w:eastAsia="en-US"/>
        </w:rPr>
        <w:t xml:space="preserve">. Available at: </w:t>
      </w:r>
      <w:hyperlink r:id="rId26" w:history="1">
        <w:r w:rsidRPr="00E05262">
          <w:rPr>
            <w:rFonts w:eastAsiaTheme="minorHAnsi"/>
            <w:color w:val="0563C1" w:themeColor="hyperlink"/>
            <w:sz w:val="24"/>
            <w:szCs w:val="24"/>
            <w:u w:val="single"/>
            <w:lang w:eastAsia="en-US"/>
          </w:rPr>
          <w:t>https://www.dashriskchecklist.co.uk/wp-content/uploads/2016/09/DASH-2009.pdf</w:t>
        </w:r>
      </w:hyperlink>
      <w:r w:rsidRPr="00E05262">
        <w:rPr>
          <w:rFonts w:eastAsiaTheme="minorHAnsi"/>
          <w:color w:val="auto"/>
          <w:sz w:val="24"/>
          <w:szCs w:val="24"/>
          <w:lang w:eastAsia="en-US"/>
        </w:rPr>
        <w:t xml:space="preserve"> (Accessed 8 October 2020).</w:t>
      </w:r>
    </w:p>
    <w:p w14:paraId="0F02AB35" w14:textId="77777777" w:rsidR="00E05262" w:rsidRPr="00E05262" w:rsidRDefault="00E05262" w:rsidP="00442245">
      <w:pPr>
        <w:keepNext/>
        <w:keepLines/>
        <w:shd w:val="clear" w:color="auto" w:fill="FFFFFF"/>
        <w:overflowPunct/>
        <w:autoSpaceDE/>
        <w:autoSpaceDN/>
        <w:adjustRightInd/>
        <w:spacing w:line="480" w:lineRule="auto"/>
        <w:textAlignment w:val="auto"/>
        <w:outlineLvl w:val="0"/>
        <w:rPr>
          <w:color w:val="111111"/>
          <w:kern w:val="36"/>
          <w:sz w:val="24"/>
          <w:szCs w:val="24"/>
        </w:rPr>
      </w:pPr>
      <w:r w:rsidRPr="00E05262">
        <w:rPr>
          <w:rFonts w:eastAsiaTheme="majorEastAsia"/>
          <w:color w:val="2F5496" w:themeColor="accent1" w:themeShade="BF"/>
          <w:sz w:val="24"/>
          <w:szCs w:val="24"/>
          <w:lang w:eastAsia="en-US"/>
        </w:rPr>
        <w:t>Robinson, A. (2004)</w:t>
      </w:r>
      <w:r w:rsidRPr="00E05262">
        <w:rPr>
          <w:rFonts w:eastAsiaTheme="majorEastAsia"/>
          <w:i/>
          <w:iCs/>
          <w:color w:val="2F5496" w:themeColor="accent1" w:themeShade="BF"/>
          <w:sz w:val="24"/>
          <w:szCs w:val="24"/>
          <w:lang w:eastAsia="en-US"/>
        </w:rPr>
        <w:t xml:space="preserve"> </w:t>
      </w:r>
      <w:r w:rsidRPr="00E05262">
        <w:rPr>
          <w:i/>
          <w:iCs/>
          <w:color w:val="111111"/>
          <w:kern w:val="36"/>
          <w:sz w:val="24"/>
          <w:szCs w:val="24"/>
        </w:rPr>
        <w:t xml:space="preserve">Domestic Violence MARACs (Multi-Agency Risk Assessment Conferences) for Very High-Risk Victims in Cardiff, Wales: A Process and Outcome Evaluation </w:t>
      </w:r>
      <w:r w:rsidRPr="00E05262">
        <w:rPr>
          <w:color w:val="111111"/>
          <w:kern w:val="36"/>
          <w:sz w:val="24"/>
          <w:szCs w:val="24"/>
        </w:rPr>
        <w:t xml:space="preserve">Available at: </w:t>
      </w:r>
      <w:hyperlink r:id="rId27" w:history="1">
        <w:r w:rsidRPr="00E05262">
          <w:rPr>
            <w:rFonts w:eastAsiaTheme="minorHAnsi"/>
            <w:color w:val="0000FF"/>
            <w:sz w:val="24"/>
            <w:szCs w:val="24"/>
            <w:u w:val="single"/>
            <w:lang w:eastAsia="en-US"/>
          </w:rPr>
          <w:t>https://www.researchgate.net/publication/237442284_Domestic_Violence_MARACs_Multi-Agency_Risk_Assessment_Conferences_for_Very_High-Risk_Victims_in_Cardiff_Wales_A_Process_and_Outcome_Evaluation</w:t>
        </w:r>
      </w:hyperlink>
      <w:r w:rsidRPr="00E05262">
        <w:rPr>
          <w:rFonts w:eastAsiaTheme="minorHAnsi"/>
          <w:color w:val="auto"/>
          <w:sz w:val="24"/>
          <w:szCs w:val="24"/>
          <w:lang w:eastAsia="en-US"/>
        </w:rPr>
        <w:t xml:space="preserve"> (Accessed 9 October 2020).</w:t>
      </w:r>
    </w:p>
    <w:p w14:paraId="746ED855"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p>
    <w:p w14:paraId="5B6E2B0A"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Robinson, A., Myhill, A., Wire, J., Roberts, J., and Tilley, N., (2016) </w:t>
      </w:r>
      <w:r w:rsidRPr="00E05262">
        <w:rPr>
          <w:rFonts w:eastAsiaTheme="minorHAnsi"/>
          <w:i/>
          <w:iCs/>
          <w:color w:val="auto"/>
          <w:sz w:val="24"/>
          <w:szCs w:val="24"/>
          <w:lang w:eastAsia="en-US"/>
        </w:rPr>
        <w:t>Risk-led policing of</w:t>
      </w:r>
      <w:r w:rsidRPr="00E05262">
        <w:rPr>
          <w:rFonts w:eastAsiaTheme="minorHAnsi"/>
          <w:color w:val="auto"/>
          <w:sz w:val="24"/>
          <w:szCs w:val="24"/>
          <w:lang w:eastAsia="en-US"/>
        </w:rPr>
        <w:t xml:space="preserve"> </w:t>
      </w:r>
      <w:r w:rsidRPr="00E05262">
        <w:rPr>
          <w:rFonts w:eastAsiaTheme="minorHAnsi"/>
          <w:i/>
          <w:iCs/>
          <w:color w:val="auto"/>
          <w:sz w:val="24"/>
          <w:szCs w:val="24"/>
          <w:lang w:eastAsia="en-US"/>
        </w:rPr>
        <w:t>domestic abuse and the DASH risk model</w:t>
      </w:r>
      <w:r w:rsidRPr="00E05262">
        <w:rPr>
          <w:rFonts w:eastAsiaTheme="minorHAnsi"/>
          <w:color w:val="auto"/>
          <w:sz w:val="24"/>
          <w:szCs w:val="24"/>
          <w:lang w:eastAsia="en-US"/>
        </w:rPr>
        <w:t xml:space="preserve">, Available at: </w:t>
      </w:r>
      <w:hyperlink r:id="rId28" w:history="1">
        <w:r w:rsidRPr="00E05262">
          <w:rPr>
            <w:rFonts w:eastAsiaTheme="minorHAnsi"/>
            <w:color w:val="0563C1" w:themeColor="hyperlink"/>
            <w:sz w:val="24"/>
            <w:szCs w:val="24"/>
            <w:u w:val="single"/>
            <w:lang w:eastAsia="en-US"/>
          </w:rPr>
          <w:t>https://www.college.police.uk/News./College-news/Documents/Risk-led_policing_of_domestic_abuse_and_the_DASH-risk_model.pdf</w:t>
        </w:r>
      </w:hyperlink>
      <w:r w:rsidRPr="00E05262">
        <w:rPr>
          <w:rFonts w:eastAsiaTheme="minorHAnsi"/>
          <w:color w:val="auto"/>
          <w:sz w:val="24"/>
          <w:szCs w:val="24"/>
          <w:lang w:eastAsia="en-US"/>
        </w:rPr>
        <w:t xml:space="preserve"> (Accessed 6 October 2020).</w:t>
      </w:r>
    </w:p>
    <w:p w14:paraId="2C7609B5"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Turner, E., Medina, J., and Brown, G. (2019) ‘Dashing Hopes? The Predictive Accuracy of Domestic Abuse Risk Assessment by Police’, </w:t>
      </w:r>
      <w:r w:rsidRPr="00E05262">
        <w:rPr>
          <w:rFonts w:eastAsiaTheme="minorHAnsi"/>
          <w:i/>
          <w:iCs/>
          <w:color w:val="auto"/>
          <w:sz w:val="24"/>
          <w:szCs w:val="24"/>
          <w:lang w:eastAsia="en-US"/>
        </w:rPr>
        <w:t>The British Journal of Criminology</w:t>
      </w:r>
      <w:r w:rsidRPr="00E05262">
        <w:rPr>
          <w:rFonts w:eastAsiaTheme="minorHAnsi"/>
          <w:color w:val="auto"/>
          <w:sz w:val="24"/>
          <w:szCs w:val="24"/>
          <w:lang w:eastAsia="en-US"/>
        </w:rPr>
        <w:t xml:space="preserve">, 59(5), pp. 1013-1034. Available at: </w:t>
      </w:r>
      <w:hyperlink r:id="rId29" w:history="1">
        <w:r w:rsidRPr="00E05262">
          <w:rPr>
            <w:rFonts w:eastAsiaTheme="minorHAnsi"/>
            <w:color w:val="0563C1" w:themeColor="hyperlink"/>
            <w:sz w:val="24"/>
            <w:szCs w:val="24"/>
            <w:u w:val="single"/>
            <w:lang w:eastAsia="en-US"/>
          </w:rPr>
          <w:t>https://academic.oup.com/bjc/article/59/5/1013/5518314</w:t>
        </w:r>
      </w:hyperlink>
      <w:r w:rsidRPr="00E05262">
        <w:rPr>
          <w:rFonts w:eastAsiaTheme="minorHAnsi"/>
          <w:color w:val="auto"/>
          <w:sz w:val="24"/>
          <w:szCs w:val="24"/>
          <w:lang w:eastAsia="en-US"/>
        </w:rPr>
        <w:t xml:space="preserve"> (Accessed 10 October 2020). </w:t>
      </w:r>
    </w:p>
    <w:p w14:paraId="475F2DE2" w14:textId="77777777" w:rsidR="00E05262" w:rsidRPr="00E05262"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lastRenderedPageBreak/>
        <w:t xml:space="preserve">Vallano, J., Evans, J., Compo, N., and Kieckhaefer, J. (2015) ‘Rapport- Building During Witness and Suspect Interviews: a Survey of Law Enforcement ‘,  </w:t>
      </w:r>
      <w:r w:rsidRPr="00E05262">
        <w:rPr>
          <w:rFonts w:eastAsiaTheme="minorHAnsi"/>
          <w:i/>
          <w:iCs/>
          <w:color w:val="auto"/>
          <w:sz w:val="24"/>
          <w:szCs w:val="24"/>
          <w:lang w:eastAsia="en-US"/>
        </w:rPr>
        <w:t>Applied Cognitive</w:t>
      </w:r>
      <w:r w:rsidRPr="00E05262">
        <w:rPr>
          <w:rFonts w:eastAsiaTheme="minorHAnsi"/>
          <w:color w:val="auto"/>
          <w:sz w:val="24"/>
          <w:szCs w:val="24"/>
          <w:lang w:eastAsia="en-US"/>
        </w:rPr>
        <w:t xml:space="preserve"> </w:t>
      </w:r>
      <w:r w:rsidRPr="00E05262">
        <w:rPr>
          <w:rFonts w:eastAsiaTheme="minorHAnsi"/>
          <w:i/>
          <w:iCs/>
          <w:color w:val="auto"/>
          <w:sz w:val="24"/>
          <w:szCs w:val="24"/>
          <w:lang w:eastAsia="en-US"/>
        </w:rPr>
        <w:t>Psychology,</w:t>
      </w:r>
      <w:r w:rsidRPr="00E05262">
        <w:rPr>
          <w:rFonts w:eastAsiaTheme="minorHAnsi"/>
          <w:color w:val="auto"/>
          <w:sz w:val="24"/>
          <w:szCs w:val="24"/>
          <w:lang w:eastAsia="en-US"/>
        </w:rPr>
        <w:t xml:space="preserve"> 29 (3) Available at: </w:t>
      </w:r>
      <w:hyperlink r:id="rId30" w:history="1">
        <w:r w:rsidRPr="00E05262">
          <w:rPr>
            <w:rFonts w:eastAsiaTheme="minorHAnsi"/>
            <w:color w:val="005274"/>
            <w:sz w:val="24"/>
            <w:szCs w:val="24"/>
            <w:u w:val="single"/>
            <w:shd w:val="clear" w:color="auto" w:fill="FFFFFF"/>
            <w:lang w:eastAsia="en-US"/>
          </w:rPr>
          <w:t>https://doi.org/10.1002/acp.3115</w:t>
        </w:r>
      </w:hyperlink>
      <w:r w:rsidRPr="00E05262">
        <w:rPr>
          <w:rFonts w:eastAsiaTheme="minorHAnsi"/>
          <w:color w:val="auto"/>
          <w:sz w:val="24"/>
          <w:szCs w:val="24"/>
          <w:lang w:eastAsia="en-US"/>
        </w:rPr>
        <w:t xml:space="preserve"> (Accessed 11 October 2020).</w:t>
      </w:r>
    </w:p>
    <w:p w14:paraId="29701BBB" w14:textId="6DB6B4FB" w:rsidR="00E05262" w:rsidRPr="00C56A6B" w:rsidRDefault="00E05262" w:rsidP="00442245">
      <w:pPr>
        <w:overflowPunct/>
        <w:autoSpaceDE/>
        <w:autoSpaceDN/>
        <w:adjustRightInd/>
        <w:spacing w:after="160" w:line="480" w:lineRule="auto"/>
        <w:textAlignment w:val="auto"/>
        <w:rPr>
          <w:rFonts w:eastAsiaTheme="minorHAnsi"/>
          <w:color w:val="auto"/>
          <w:sz w:val="24"/>
          <w:szCs w:val="24"/>
          <w:lang w:eastAsia="en-US"/>
        </w:rPr>
      </w:pPr>
      <w:r w:rsidRPr="00E05262">
        <w:rPr>
          <w:rFonts w:eastAsiaTheme="minorHAnsi"/>
          <w:color w:val="auto"/>
          <w:sz w:val="24"/>
          <w:szCs w:val="24"/>
          <w:lang w:eastAsia="en-US"/>
        </w:rPr>
        <w:t xml:space="preserve">Wire, J. and Myhill, A. (2016) </w:t>
      </w:r>
      <w:r w:rsidRPr="00E05262">
        <w:rPr>
          <w:rFonts w:eastAsiaTheme="minorHAnsi"/>
          <w:i/>
          <w:iCs/>
          <w:color w:val="auto"/>
          <w:sz w:val="24"/>
          <w:szCs w:val="24"/>
          <w:lang w:eastAsia="en-US"/>
        </w:rPr>
        <w:t>Domestic Abuse Matters</w:t>
      </w:r>
      <w:r w:rsidRPr="00E05262">
        <w:rPr>
          <w:rFonts w:eastAsiaTheme="minorHAnsi"/>
          <w:color w:val="auto"/>
          <w:sz w:val="24"/>
          <w:szCs w:val="24"/>
          <w:lang w:eastAsia="en-US"/>
        </w:rPr>
        <w:t xml:space="preserve">  Available at: </w:t>
      </w:r>
      <w:hyperlink r:id="rId31" w:history="1">
        <w:r w:rsidRPr="00E05262">
          <w:rPr>
            <w:rFonts w:eastAsiaTheme="minorHAnsi"/>
            <w:color w:val="0563C1" w:themeColor="hyperlink"/>
            <w:sz w:val="24"/>
            <w:szCs w:val="24"/>
            <w:u w:val="single"/>
            <w:lang w:eastAsia="en-US"/>
          </w:rPr>
          <w:t>https://whatworks.college.police.uk/Research/Documents?Domestic_Abuse_Matters.pdf</w:t>
        </w:r>
      </w:hyperlink>
      <w:r w:rsidRPr="00E05262">
        <w:rPr>
          <w:rFonts w:eastAsiaTheme="minorHAnsi"/>
          <w:color w:val="auto"/>
          <w:sz w:val="24"/>
          <w:szCs w:val="24"/>
          <w:lang w:eastAsia="en-US"/>
        </w:rPr>
        <w:t xml:space="preserve"> (Accessed 10 October 2020).</w:t>
      </w:r>
    </w:p>
    <w:p w14:paraId="3C865AB9" w14:textId="77777777" w:rsidR="00E84C92" w:rsidRPr="00E84C92" w:rsidRDefault="00E84C92" w:rsidP="00E84C92">
      <w:pPr>
        <w:overflowPunct/>
        <w:autoSpaceDE/>
        <w:autoSpaceDN/>
        <w:adjustRightInd/>
        <w:spacing w:after="160" w:line="259" w:lineRule="auto"/>
        <w:textAlignment w:val="auto"/>
        <w:rPr>
          <w:rFonts w:eastAsiaTheme="minorHAnsi"/>
          <w:color w:val="auto"/>
          <w:sz w:val="24"/>
          <w:szCs w:val="24"/>
          <w:u w:val="single"/>
          <w:lang w:eastAsia="en-US"/>
        </w:rPr>
      </w:pPr>
      <w:r w:rsidRPr="00E84C92">
        <w:rPr>
          <w:rFonts w:eastAsiaTheme="minorHAnsi"/>
          <w:color w:val="auto"/>
          <w:sz w:val="24"/>
          <w:szCs w:val="24"/>
          <w:u w:val="single"/>
          <w:lang w:eastAsia="en-US"/>
        </w:rPr>
        <w:t xml:space="preserve">Task 3 </w:t>
      </w:r>
    </w:p>
    <w:p w14:paraId="095338FC"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i/>
          <w:iCs/>
          <w:color w:val="auto"/>
          <w:sz w:val="24"/>
          <w:szCs w:val="24"/>
          <w:lang w:eastAsia="en-US"/>
        </w:rPr>
        <w:t>Animal Welfare Act 2006</w:t>
      </w:r>
      <w:r w:rsidRPr="00E84C92">
        <w:rPr>
          <w:rFonts w:eastAsiaTheme="minorHAnsi"/>
          <w:color w:val="auto"/>
          <w:sz w:val="24"/>
          <w:szCs w:val="24"/>
          <w:lang w:eastAsia="en-US"/>
        </w:rPr>
        <w:t xml:space="preserve"> Available at: </w:t>
      </w:r>
      <w:hyperlink r:id="rId32" w:history="1">
        <w:r w:rsidRPr="00E84C92">
          <w:rPr>
            <w:rFonts w:eastAsiaTheme="minorHAnsi"/>
            <w:color w:val="0563C1" w:themeColor="hyperlink"/>
            <w:sz w:val="24"/>
            <w:szCs w:val="24"/>
            <w:u w:val="single"/>
            <w:lang w:eastAsia="en-US"/>
          </w:rPr>
          <w:t>https://www.legislation.gov.uk/ukpga/2006/45/contents</w:t>
        </w:r>
      </w:hyperlink>
      <w:r w:rsidRPr="00E84C92">
        <w:rPr>
          <w:rFonts w:eastAsiaTheme="minorHAnsi"/>
          <w:color w:val="auto"/>
          <w:sz w:val="24"/>
          <w:szCs w:val="24"/>
          <w:lang w:eastAsia="en-US"/>
        </w:rPr>
        <w:t xml:space="preserve"> (Accessed 3 October 2020).</w:t>
      </w:r>
    </w:p>
    <w:p w14:paraId="58BDE3DA"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color w:val="auto"/>
          <w:sz w:val="24"/>
          <w:szCs w:val="24"/>
          <w:lang w:eastAsia="en-US"/>
        </w:rPr>
        <w:t xml:space="preserve">Bryant, R and Bryant, S. (2019) </w:t>
      </w:r>
      <w:r w:rsidRPr="00E84C92">
        <w:rPr>
          <w:rFonts w:eastAsiaTheme="minorHAnsi"/>
          <w:i/>
          <w:iCs/>
          <w:color w:val="auto"/>
          <w:sz w:val="24"/>
          <w:szCs w:val="24"/>
          <w:lang w:eastAsia="en-US"/>
        </w:rPr>
        <w:t>Blackstone’s Handbook for Policing Students</w:t>
      </w:r>
      <w:r w:rsidRPr="00E84C92">
        <w:rPr>
          <w:rFonts w:eastAsiaTheme="minorHAnsi"/>
          <w:color w:val="auto"/>
          <w:sz w:val="24"/>
          <w:szCs w:val="24"/>
          <w:lang w:eastAsia="en-US"/>
        </w:rPr>
        <w:t>.14</w:t>
      </w:r>
      <w:r w:rsidRPr="00E84C92">
        <w:rPr>
          <w:rFonts w:eastAsiaTheme="minorHAnsi"/>
          <w:color w:val="auto"/>
          <w:sz w:val="24"/>
          <w:szCs w:val="24"/>
          <w:vertAlign w:val="superscript"/>
          <w:lang w:eastAsia="en-US"/>
        </w:rPr>
        <w:t>th</w:t>
      </w:r>
      <w:r w:rsidRPr="00E84C92">
        <w:rPr>
          <w:rFonts w:eastAsiaTheme="minorHAnsi"/>
          <w:color w:val="auto"/>
          <w:sz w:val="24"/>
          <w:szCs w:val="24"/>
          <w:lang w:eastAsia="en-US"/>
        </w:rPr>
        <w:t xml:space="preserve"> edn. Oxford University Press.</w:t>
      </w:r>
    </w:p>
    <w:p w14:paraId="07DB06E7"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i/>
          <w:iCs/>
          <w:color w:val="auto"/>
          <w:sz w:val="24"/>
          <w:szCs w:val="24"/>
          <w:lang w:eastAsia="en-US"/>
        </w:rPr>
        <w:t>Code C Revised Code of Practice for the detention, treatment and questioning of persons by Police Officers</w:t>
      </w:r>
      <w:r w:rsidRPr="00E84C92">
        <w:rPr>
          <w:rFonts w:eastAsiaTheme="minorHAnsi"/>
          <w:color w:val="auto"/>
          <w:sz w:val="24"/>
          <w:szCs w:val="24"/>
          <w:lang w:eastAsia="en-US"/>
        </w:rPr>
        <w:t xml:space="preserve"> (2019) Available at: </w:t>
      </w:r>
      <w:hyperlink r:id="rId33" w:history="1">
        <w:r w:rsidRPr="00E84C92">
          <w:rPr>
            <w:rFonts w:eastAsiaTheme="minorHAnsi"/>
            <w:color w:val="0563C1" w:themeColor="hyperlink"/>
            <w:sz w:val="24"/>
            <w:szCs w:val="24"/>
            <w:u w:val="single"/>
            <w:lang w:eastAsia="en-US"/>
          </w:rPr>
          <w:t>https://assets.publishing.service.gov.uk/government/uploads/system/uploads/attachment_data/file/903473/pace-code-c-2019.pdf</w:t>
        </w:r>
      </w:hyperlink>
      <w:r w:rsidRPr="00E84C92">
        <w:rPr>
          <w:rFonts w:eastAsiaTheme="minorHAnsi"/>
          <w:color w:val="auto"/>
          <w:sz w:val="24"/>
          <w:szCs w:val="24"/>
          <w:lang w:eastAsia="en-US"/>
        </w:rPr>
        <w:t xml:space="preserve"> (Accessed 3 October 2020).</w:t>
      </w:r>
    </w:p>
    <w:p w14:paraId="78A48430"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i/>
          <w:iCs/>
          <w:color w:val="auto"/>
          <w:sz w:val="24"/>
          <w:szCs w:val="24"/>
          <w:lang w:eastAsia="en-US"/>
        </w:rPr>
        <w:t>Code E Revised Code of Practice on Audio Recording Interviews with Suspects</w:t>
      </w:r>
      <w:r w:rsidRPr="00E84C92">
        <w:rPr>
          <w:rFonts w:eastAsiaTheme="minorHAnsi"/>
          <w:color w:val="auto"/>
          <w:sz w:val="24"/>
          <w:szCs w:val="24"/>
          <w:lang w:eastAsia="en-US"/>
        </w:rPr>
        <w:t xml:space="preserve"> ( 2016) Available at: </w:t>
      </w:r>
      <w:hyperlink r:id="rId34" w:history="1">
        <w:r w:rsidRPr="00E84C92">
          <w:rPr>
            <w:rFonts w:eastAsiaTheme="minorHAnsi"/>
            <w:color w:val="0563C1" w:themeColor="hyperlink"/>
            <w:sz w:val="24"/>
            <w:szCs w:val="24"/>
            <w:u w:val="single"/>
            <w:lang w:eastAsia="en-US"/>
          </w:rPr>
          <w:t>https://assets.publishing.service.gov.uk/government/uploads/system/uploads/attachment_data/file/495716/52344_00_Pace_Code_E_Accessible_v0.3.pdf</w:t>
        </w:r>
      </w:hyperlink>
      <w:r w:rsidRPr="00E84C92">
        <w:rPr>
          <w:rFonts w:eastAsiaTheme="minorHAnsi"/>
          <w:color w:val="auto"/>
          <w:sz w:val="24"/>
          <w:szCs w:val="24"/>
          <w:lang w:eastAsia="en-US"/>
        </w:rPr>
        <w:t xml:space="preserve"> (Accessed 3 October 2020).</w:t>
      </w:r>
    </w:p>
    <w:p w14:paraId="5A700F16"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color w:val="auto"/>
          <w:sz w:val="24"/>
          <w:szCs w:val="24"/>
          <w:lang w:eastAsia="en-US"/>
        </w:rPr>
        <w:t xml:space="preserve">College of Policing (2020) </w:t>
      </w:r>
      <w:r w:rsidRPr="00E84C92">
        <w:rPr>
          <w:rFonts w:eastAsiaTheme="minorHAnsi"/>
          <w:i/>
          <w:iCs/>
          <w:color w:val="auto"/>
          <w:sz w:val="24"/>
          <w:szCs w:val="24"/>
          <w:lang w:eastAsia="en-US"/>
        </w:rPr>
        <w:t>Investigative Interviewing</w:t>
      </w:r>
      <w:r w:rsidRPr="00E84C92">
        <w:rPr>
          <w:rFonts w:eastAsiaTheme="minorHAnsi"/>
          <w:color w:val="auto"/>
          <w:sz w:val="24"/>
          <w:szCs w:val="24"/>
          <w:lang w:eastAsia="en-US"/>
        </w:rPr>
        <w:t xml:space="preserve">. Available at: </w:t>
      </w:r>
      <w:hyperlink r:id="rId35" w:history="1">
        <w:r w:rsidRPr="00E84C92">
          <w:rPr>
            <w:rFonts w:eastAsiaTheme="minorHAnsi"/>
            <w:color w:val="0563C1" w:themeColor="hyperlink"/>
            <w:sz w:val="24"/>
            <w:szCs w:val="24"/>
            <w:u w:val="single"/>
            <w:lang w:eastAsia="en-US"/>
          </w:rPr>
          <w:t>https://www.app.college.police.uk/app-content/investigations/investigative-interviewing/</w:t>
        </w:r>
      </w:hyperlink>
      <w:r w:rsidRPr="00E84C92">
        <w:rPr>
          <w:rFonts w:eastAsiaTheme="minorHAnsi"/>
          <w:color w:val="auto"/>
          <w:sz w:val="24"/>
          <w:szCs w:val="24"/>
          <w:lang w:eastAsia="en-US"/>
        </w:rPr>
        <w:t xml:space="preserve"> (Accessed 3 October 2020).</w:t>
      </w:r>
    </w:p>
    <w:p w14:paraId="17FF9D54"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i/>
          <w:iCs/>
          <w:color w:val="auto"/>
          <w:sz w:val="24"/>
          <w:szCs w:val="24"/>
          <w:lang w:eastAsia="en-US"/>
        </w:rPr>
        <w:lastRenderedPageBreak/>
        <w:t>Police and Criminal Evidence Act 1984</w:t>
      </w:r>
      <w:r w:rsidRPr="00E84C92">
        <w:rPr>
          <w:rFonts w:eastAsiaTheme="minorHAnsi"/>
          <w:color w:val="auto"/>
          <w:sz w:val="24"/>
          <w:szCs w:val="24"/>
          <w:lang w:eastAsia="en-US"/>
        </w:rPr>
        <w:t xml:space="preserve"> Available at: </w:t>
      </w:r>
      <w:hyperlink r:id="rId36" w:history="1">
        <w:r w:rsidRPr="00E84C92">
          <w:rPr>
            <w:rFonts w:eastAsiaTheme="minorHAnsi"/>
            <w:color w:val="0563C1" w:themeColor="hyperlink"/>
            <w:sz w:val="24"/>
            <w:szCs w:val="24"/>
            <w:u w:val="single"/>
            <w:lang w:eastAsia="en-US"/>
          </w:rPr>
          <w:t>https://www.gov.uk/guidance/police-and-criminal-evidence-act-1984-pace-codes-of-practice</w:t>
        </w:r>
      </w:hyperlink>
      <w:r w:rsidRPr="00E84C92">
        <w:rPr>
          <w:rFonts w:eastAsiaTheme="minorHAnsi"/>
          <w:color w:val="auto"/>
          <w:sz w:val="24"/>
          <w:szCs w:val="24"/>
          <w:lang w:eastAsia="en-US"/>
        </w:rPr>
        <w:t xml:space="preserve"> (Accessed 28 September 2020).</w:t>
      </w:r>
    </w:p>
    <w:p w14:paraId="44436D4B"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color w:val="auto"/>
          <w:sz w:val="24"/>
          <w:szCs w:val="24"/>
          <w:lang w:eastAsia="en-US"/>
        </w:rPr>
        <w:t xml:space="preserve">Home Office (2020) </w:t>
      </w:r>
      <w:r w:rsidRPr="00E84C92">
        <w:rPr>
          <w:rFonts w:eastAsiaTheme="minorHAnsi"/>
          <w:i/>
          <w:iCs/>
          <w:color w:val="auto"/>
          <w:sz w:val="24"/>
          <w:szCs w:val="24"/>
          <w:lang w:eastAsia="en-US"/>
        </w:rPr>
        <w:t>Interviewing suspects version 7.0</w:t>
      </w:r>
      <w:r w:rsidRPr="00E84C92">
        <w:rPr>
          <w:rFonts w:eastAsiaTheme="minorHAnsi"/>
          <w:color w:val="auto"/>
          <w:sz w:val="24"/>
          <w:szCs w:val="24"/>
          <w:lang w:eastAsia="en-US"/>
        </w:rPr>
        <w:t xml:space="preserve"> Available at: </w:t>
      </w:r>
      <w:hyperlink r:id="rId37" w:history="1">
        <w:r w:rsidRPr="00E84C92">
          <w:rPr>
            <w:rFonts w:eastAsiaTheme="minorHAnsi"/>
            <w:color w:val="0000FF"/>
            <w:sz w:val="24"/>
            <w:szCs w:val="24"/>
            <w:u w:val="single"/>
            <w:lang w:eastAsia="en-US"/>
          </w:rPr>
          <w:t>https://assets.publishing.service.gov.uk/government/uploads/system/uploads/attachment_data/file/864940/interviewing-suspects-v7.0.pdf</w:t>
        </w:r>
      </w:hyperlink>
      <w:r w:rsidRPr="00E84C92">
        <w:rPr>
          <w:rFonts w:eastAsiaTheme="minorHAnsi"/>
          <w:color w:val="auto"/>
          <w:sz w:val="24"/>
          <w:szCs w:val="24"/>
          <w:lang w:eastAsia="en-US"/>
        </w:rPr>
        <w:t xml:space="preserve"> (Accessed 3 October 2020).</w:t>
      </w:r>
    </w:p>
    <w:p w14:paraId="69C49E8D"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i/>
          <w:iCs/>
          <w:color w:val="auto"/>
          <w:sz w:val="24"/>
          <w:szCs w:val="24"/>
          <w:lang w:eastAsia="en-US"/>
        </w:rPr>
        <w:t>Human Rights Act 1998, c.42. Article 5</w:t>
      </w:r>
      <w:r w:rsidRPr="00E84C92">
        <w:rPr>
          <w:rFonts w:eastAsiaTheme="minorHAnsi"/>
          <w:color w:val="auto"/>
          <w:sz w:val="24"/>
          <w:szCs w:val="24"/>
          <w:lang w:eastAsia="en-US"/>
        </w:rPr>
        <w:t xml:space="preserve">. Available at: </w:t>
      </w:r>
      <w:hyperlink r:id="rId38" w:history="1">
        <w:r w:rsidRPr="00E84C92">
          <w:rPr>
            <w:rFonts w:eastAsiaTheme="minorHAnsi"/>
            <w:color w:val="0563C1" w:themeColor="hyperlink"/>
            <w:sz w:val="24"/>
            <w:szCs w:val="24"/>
            <w:u w:val="single"/>
            <w:lang w:eastAsia="en-US"/>
          </w:rPr>
          <w:t>https://www.legislation.gov.uk/ukpga/1998/42/schedule/1/part/1/chapter/4</w:t>
        </w:r>
      </w:hyperlink>
      <w:r w:rsidRPr="00E84C92">
        <w:rPr>
          <w:rFonts w:eastAsiaTheme="minorHAnsi"/>
          <w:color w:val="auto"/>
          <w:sz w:val="24"/>
          <w:szCs w:val="24"/>
          <w:lang w:eastAsia="en-US"/>
        </w:rPr>
        <w:t xml:space="preserve"> (Accessed 28 September 2020).</w:t>
      </w:r>
    </w:p>
    <w:p w14:paraId="37036BED" w14:textId="10095FB5" w:rsidR="00E84C92" w:rsidRPr="00C56A6B"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i/>
          <w:iCs/>
          <w:color w:val="auto"/>
          <w:sz w:val="24"/>
          <w:szCs w:val="24"/>
          <w:lang w:eastAsia="en-US"/>
        </w:rPr>
        <w:t>Sexual Offences Act 2003</w:t>
      </w:r>
      <w:r w:rsidRPr="00E84C92">
        <w:rPr>
          <w:rFonts w:eastAsiaTheme="minorHAnsi"/>
          <w:color w:val="auto"/>
          <w:sz w:val="24"/>
          <w:szCs w:val="24"/>
          <w:lang w:eastAsia="en-US"/>
        </w:rPr>
        <w:t xml:space="preserve">, </w:t>
      </w:r>
      <w:r w:rsidRPr="00E84C92">
        <w:rPr>
          <w:rFonts w:eastAsiaTheme="minorHAnsi"/>
          <w:i/>
          <w:iCs/>
          <w:color w:val="auto"/>
          <w:sz w:val="24"/>
          <w:szCs w:val="24"/>
          <w:lang w:eastAsia="en-US"/>
        </w:rPr>
        <w:t>c.42</w:t>
      </w:r>
      <w:r w:rsidRPr="00E84C92">
        <w:rPr>
          <w:rFonts w:eastAsiaTheme="minorHAnsi"/>
          <w:color w:val="auto"/>
          <w:sz w:val="24"/>
          <w:szCs w:val="24"/>
          <w:lang w:eastAsia="en-US"/>
        </w:rPr>
        <w:t xml:space="preserve">. Available at: </w:t>
      </w:r>
      <w:hyperlink r:id="rId39" w:history="1">
        <w:r w:rsidRPr="00E84C92">
          <w:rPr>
            <w:rFonts w:eastAsiaTheme="minorHAnsi"/>
            <w:color w:val="0563C1" w:themeColor="hyperlink"/>
            <w:sz w:val="24"/>
            <w:szCs w:val="24"/>
            <w:u w:val="single"/>
            <w:lang w:eastAsia="en-US"/>
          </w:rPr>
          <w:t>https://www.legislation.gov.uk/ukpga/2003/42/pdfs/ukpga_20030042_en.pdf</w:t>
        </w:r>
      </w:hyperlink>
      <w:r w:rsidRPr="00E84C92">
        <w:rPr>
          <w:rFonts w:eastAsiaTheme="minorHAnsi"/>
          <w:color w:val="auto"/>
          <w:sz w:val="24"/>
          <w:szCs w:val="24"/>
          <w:lang w:eastAsia="en-US"/>
        </w:rPr>
        <w:t xml:space="preserve"> (Accessed 28 September 2020).</w:t>
      </w:r>
    </w:p>
    <w:p w14:paraId="52A96D9B" w14:textId="1C06D874" w:rsidR="006A2182" w:rsidRPr="00E84C92" w:rsidRDefault="006A2182" w:rsidP="00442245">
      <w:pPr>
        <w:overflowPunct/>
        <w:autoSpaceDE/>
        <w:autoSpaceDN/>
        <w:adjustRightInd/>
        <w:spacing w:after="160" w:line="480" w:lineRule="auto"/>
        <w:textAlignment w:val="auto"/>
        <w:rPr>
          <w:rFonts w:eastAsiaTheme="minorHAnsi"/>
          <w:color w:val="auto"/>
          <w:sz w:val="24"/>
          <w:szCs w:val="24"/>
          <w:lang w:eastAsia="en-US"/>
        </w:rPr>
      </w:pPr>
      <w:r w:rsidRPr="006A2182">
        <w:rPr>
          <w:rFonts w:eastAsiaTheme="minorHAnsi"/>
          <w:color w:val="auto"/>
          <w:sz w:val="24"/>
          <w:szCs w:val="24"/>
          <w:lang w:eastAsia="en-US"/>
        </w:rPr>
        <w:t xml:space="preserve">Vallano, J., Evans, J., Compo, N., and Kieckhaefer, J. (2015) ‘Rapport- Building During Witness and Suspect Interviews: a Survey of Law Enforcement ‘,  </w:t>
      </w:r>
      <w:r w:rsidRPr="006A2182">
        <w:rPr>
          <w:rFonts w:eastAsiaTheme="minorHAnsi"/>
          <w:i/>
          <w:iCs/>
          <w:color w:val="auto"/>
          <w:sz w:val="24"/>
          <w:szCs w:val="24"/>
          <w:lang w:eastAsia="en-US"/>
        </w:rPr>
        <w:t>Applied Cognitive</w:t>
      </w:r>
      <w:r w:rsidRPr="006A2182">
        <w:rPr>
          <w:rFonts w:eastAsiaTheme="minorHAnsi"/>
          <w:color w:val="auto"/>
          <w:sz w:val="24"/>
          <w:szCs w:val="24"/>
          <w:lang w:eastAsia="en-US"/>
        </w:rPr>
        <w:t xml:space="preserve"> </w:t>
      </w:r>
      <w:r w:rsidRPr="006A2182">
        <w:rPr>
          <w:rFonts w:eastAsiaTheme="minorHAnsi"/>
          <w:i/>
          <w:iCs/>
          <w:color w:val="auto"/>
          <w:sz w:val="24"/>
          <w:szCs w:val="24"/>
          <w:lang w:eastAsia="en-US"/>
        </w:rPr>
        <w:t>Psychology,</w:t>
      </w:r>
      <w:r w:rsidRPr="006A2182">
        <w:rPr>
          <w:rFonts w:eastAsiaTheme="minorHAnsi"/>
          <w:color w:val="auto"/>
          <w:sz w:val="24"/>
          <w:szCs w:val="24"/>
          <w:lang w:eastAsia="en-US"/>
        </w:rPr>
        <w:t xml:space="preserve"> 29 (3) Available at: </w:t>
      </w:r>
      <w:hyperlink r:id="rId40" w:history="1">
        <w:r w:rsidRPr="006A2182">
          <w:rPr>
            <w:rFonts w:eastAsiaTheme="minorHAnsi"/>
            <w:color w:val="005274"/>
            <w:sz w:val="24"/>
            <w:szCs w:val="24"/>
            <w:u w:val="single"/>
            <w:shd w:val="clear" w:color="auto" w:fill="FFFFFF"/>
            <w:lang w:eastAsia="en-US"/>
          </w:rPr>
          <w:t>https://doi.org/10.1002/acp.3115</w:t>
        </w:r>
      </w:hyperlink>
      <w:r w:rsidRPr="006A2182">
        <w:rPr>
          <w:rFonts w:eastAsiaTheme="minorHAnsi"/>
          <w:color w:val="auto"/>
          <w:sz w:val="24"/>
          <w:szCs w:val="24"/>
          <w:lang w:eastAsia="en-US"/>
        </w:rPr>
        <w:t xml:space="preserve"> (Accessed 11 October 2020).</w:t>
      </w:r>
    </w:p>
    <w:p w14:paraId="195041BC"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color w:val="auto"/>
          <w:sz w:val="24"/>
          <w:szCs w:val="24"/>
          <w:lang w:eastAsia="en-US"/>
        </w:rPr>
        <w:t>Walsh, D. and Bull, R. (2010) ‘What really is effective in interviews with suspects? A study comparing interview skills against interviewing outcomes’</w:t>
      </w:r>
      <w:r w:rsidRPr="00E84C92">
        <w:rPr>
          <w:rFonts w:eastAsiaTheme="minorHAnsi"/>
          <w:i/>
          <w:iCs/>
          <w:color w:val="auto"/>
          <w:sz w:val="24"/>
          <w:szCs w:val="24"/>
          <w:lang w:eastAsia="en-US"/>
        </w:rPr>
        <w:t xml:space="preserve"> Legal and Criminological Psychology,</w:t>
      </w:r>
      <w:r w:rsidRPr="00E84C92">
        <w:rPr>
          <w:rFonts w:eastAsiaTheme="minorHAnsi"/>
          <w:color w:val="auto"/>
          <w:sz w:val="24"/>
          <w:szCs w:val="24"/>
          <w:lang w:eastAsia="en-US"/>
        </w:rPr>
        <w:t xml:space="preserve"> 15(2), pp. 305-321. Available at: </w:t>
      </w:r>
      <w:hyperlink r:id="rId41" w:history="1">
        <w:r w:rsidRPr="00E84C92">
          <w:rPr>
            <w:rFonts w:eastAsiaTheme="minorHAnsi"/>
            <w:color w:val="0563C1" w:themeColor="hyperlink"/>
            <w:sz w:val="24"/>
            <w:szCs w:val="24"/>
            <w:u w:val="single"/>
            <w:lang w:eastAsia="en-US"/>
          </w:rPr>
          <w:t>https://doi.org/10.1348/135532509X463356</w:t>
        </w:r>
      </w:hyperlink>
      <w:r w:rsidRPr="00E84C92">
        <w:rPr>
          <w:rFonts w:eastAsiaTheme="minorHAnsi"/>
          <w:color w:val="auto"/>
          <w:sz w:val="24"/>
          <w:szCs w:val="24"/>
          <w:lang w:eastAsia="en-US"/>
        </w:rPr>
        <w:t xml:space="preserve"> (Accessed 3 October 2020).</w:t>
      </w:r>
    </w:p>
    <w:p w14:paraId="36F68C95" w14:textId="77777777" w:rsidR="00E84C92" w:rsidRPr="00E84C92" w:rsidRDefault="00E84C92" w:rsidP="00442245">
      <w:pPr>
        <w:overflowPunct/>
        <w:autoSpaceDE/>
        <w:autoSpaceDN/>
        <w:adjustRightInd/>
        <w:spacing w:after="160" w:line="480" w:lineRule="auto"/>
        <w:textAlignment w:val="auto"/>
        <w:rPr>
          <w:rFonts w:eastAsiaTheme="minorHAnsi"/>
          <w:color w:val="auto"/>
          <w:sz w:val="24"/>
          <w:szCs w:val="24"/>
          <w:lang w:eastAsia="en-US"/>
        </w:rPr>
      </w:pPr>
      <w:r w:rsidRPr="00E84C92">
        <w:rPr>
          <w:rFonts w:eastAsiaTheme="minorHAnsi"/>
          <w:color w:val="auto"/>
          <w:sz w:val="24"/>
          <w:szCs w:val="24"/>
          <w:lang w:eastAsia="en-US"/>
        </w:rPr>
        <w:t>Walsh, D. and Bull, R. (2011) ‘Examining Rapport in Investigative Interviews with suspects: Does its Building and Maintenance Work?’  Journal of Police and Criminal Psychology, 27(1), pp. 73-84. Available at: DOI 10.1007/s11896-011-9087-x (Accessed 30 September 2020).</w:t>
      </w:r>
    </w:p>
    <w:p w14:paraId="262B5B5B" w14:textId="77777777" w:rsidR="00E810FA" w:rsidRPr="00E810FA" w:rsidRDefault="00E810FA" w:rsidP="00E810FA">
      <w:pPr>
        <w:overflowPunct/>
        <w:autoSpaceDE/>
        <w:autoSpaceDN/>
        <w:adjustRightInd/>
        <w:spacing w:after="160" w:line="259" w:lineRule="auto"/>
        <w:textAlignment w:val="auto"/>
        <w:rPr>
          <w:rFonts w:eastAsiaTheme="minorHAnsi"/>
          <w:color w:val="auto"/>
          <w:sz w:val="24"/>
          <w:szCs w:val="24"/>
          <w:u w:val="single"/>
          <w:lang w:eastAsia="en-US"/>
        </w:rPr>
      </w:pPr>
      <w:r w:rsidRPr="00E810FA">
        <w:rPr>
          <w:rFonts w:eastAsiaTheme="minorHAnsi"/>
          <w:color w:val="auto"/>
          <w:sz w:val="24"/>
          <w:szCs w:val="24"/>
          <w:u w:val="single"/>
          <w:lang w:eastAsia="en-US"/>
        </w:rPr>
        <w:lastRenderedPageBreak/>
        <w:t>Task 4</w:t>
      </w:r>
    </w:p>
    <w:p w14:paraId="685C7CFC"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ACPO (2011) </w:t>
      </w:r>
      <w:r w:rsidRPr="00E810FA">
        <w:rPr>
          <w:rFonts w:eastAsiaTheme="minorHAnsi"/>
          <w:i/>
          <w:iCs/>
          <w:color w:val="auto"/>
          <w:sz w:val="24"/>
          <w:szCs w:val="24"/>
          <w:lang w:eastAsia="en-US"/>
        </w:rPr>
        <w:t>Practice Advice on The Use Of CCTV in Criminal Investigations</w:t>
      </w:r>
      <w:r w:rsidRPr="00E810FA">
        <w:rPr>
          <w:rFonts w:eastAsiaTheme="minorHAnsi"/>
          <w:color w:val="auto"/>
          <w:sz w:val="24"/>
          <w:szCs w:val="24"/>
          <w:lang w:eastAsia="en-US"/>
        </w:rPr>
        <w:t xml:space="preserve">, Available at: </w:t>
      </w:r>
      <w:hyperlink r:id="rId42" w:history="1">
        <w:r w:rsidRPr="00E810FA">
          <w:rPr>
            <w:rFonts w:eastAsiaTheme="minorHAnsi"/>
            <w:color w:val="0563C1" w:themeColor="hyperlink"/>
            <w:sz w:val="24"/>
            <w:szCs w:val="24"/>
            <w:u w:val="single"/>
            <w:lang w:eastAsia="en-US"/>
          </w:rPr>
          <w:t>http://library.college.police.uk/docs/npia/cctv-final-locked-v21-2011.pdf</w:t>
        </w:r>
      </w:hyperlink>
      <w:r w:rsidRPr="00E810FA">
        <w:rPr>
          <w:rFonts w:eastAsiaTheme="minorHAnsi"/>
          <w:color w:val="auto"/>
          <w:sz w:val="24"/>
          <w:szCs w:val="24"/>
          <w:lang w:eastAsia="en-US"/>
        </w:rPr>
        <w:t xml:space="preserve"> (Accessed 12 October 2020).</w:t>
      </w:r>
    </w:p>
    <w:p w14:paraId="3F33C1F6"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i/>
          <w:iCs/>
          <w:color w:val="auto"/>
          <w:sz w:val="24"/>
          <w:szCs w:val="24"/>
          <w:lang w:eastAsia="en-US"/>
        </w:rPr>
        <w:t>Anti-social Behaviour, Crime and Policing Act 2014,</w:t>
      </w:r>
      <w:r w:rsidRPr="00E810FA">
        <w:rPr>
          <w:rFonts w:eastAsiaTheme="minorHAnsi"/>
          <w:color w:val="auto"/>
          <w:sz w:val="24"/>
          <w:szCs w:val="24"/>
          <w:lang w:eastAsia="en-US"/>
        </w:rPr>
        <w:t xml:space="preserve"> Available at: </w:t>
      </w:r>
      <w:hyperlink r:id="rId43" w:history="1">
        <w:r w:rsidRPr="00E810FA">
          <w:rPr>
            <w:rFonts w:eastAsiaTheme="minorHAnsi"/>
            <w:color w:val="0563C1" w:themeColor="hyperlink"/>
            <w:sz w:val="24"/>
            <w:szCs w:val="24"/>
            <w:u w:val="single"/>
            <w:lang w:eastAsia="en-US"/>
          </w:rPr>
          <w:t>https://www.legislation.gov.uk/ukpga/2014/12/contents/enacted</w:t>
        </w:r>
      </w:hyperlink>
      <w:r w:rsidRPr="00E810FA">
        <w:rPr>
          <w:rFonts w:eastAsiaTheme="minorHAnsi"/>
          <w:color w:val="auto"/>
          <w:sz w:val="24"/>
          <w:szCs w:val="24"/>
          <w:lang w:eastAsia="en-US"/>
        </w:rPr>
        <w:t xml:space="preserve"> (Accessed 13 October 2020).</w:t>
      </w:r>
    </w:p>
    <w:p w14:paraId="3FA4E238"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Bryant, R and Bryant, S. (2019) </w:t>
      </w:r>
      <w:r w:rsidRPr="00E810FA">
        <w:rPr>
          <w:rFonts w:eastAsiaTheme="minorHAnsi"/>
          <w:i/>
          <w:iCs/>
          <w:color w:val="auto"/>
          <w:sz w:val="24"/>
          <w:szCs w:val="24"/>
          <w:lang w:eastAsia="en-US"/>
        </w:rPr>
        <w:t>Blackstone’s Handbook for Policing Students</w:t>
      </w:r>
      <w:r w:rsidRPr="00E810FA">
        <w:rPr>
          <w:rFonts w:eastAsiaTheme="minorHAnsi"/>
          <w:color w:val="auto"/>
          <w:sz w:val="24"/>
          <w:szCs w:val="24"/>
          <w:lang w:eastAsia="en-US"/>
        </w:rPr>
        <w:t>.14</w:t>
      </w:r>
      <w:r w:rsidRPr="00E810FA">
        <w:rPr>
          <w:rFonts w:eastAsiaTheme="minorHAnsi"/>
          <w:color w:val="auto"/>
          <w:sz w:val="24"/>
          <w:szCs w:val="24"/>
          <w:vertAlign w:val="superscript"/>
          <w:lang w:eastAsia="en-US"/>
        </w:rPr>
        <w:t>th</w:t>
      </w:r>
      <w:r w:rsidRPr="00E810FA">
        <w:rPr>
          <w:rFonts w:eastAsiaTheme="minorHAnsi"/>
          <w:color w:val="auto"/>
          <w:sz w:val="24"/>
          <w:szCs w:val="24"/>
          <w:lang w:eastAsia="en-US"/>
        </w:rPr>
        <w:t xml:space="preserve"> edn. Oxford University Press.</w:t>
      </w:r>
    </w:p>
    <w:p w14:paraId="33874EBE"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Code of Ethics (2014) </w:t>
      </w:r>
      <w:r w:rsidRPr="00E810FA">
        <w:rPr>
          <w:rFonts w:eastAsiaTheme="minorHAnsi"/>
          <w:i/>
          <w:iCs/>
          <w:color w:val="auto"/>
          <w:sz w:val="24"/>
          <w:szCs w:val="24"/>
          <w:lang w:eastAsia="en-US"/>
        </w:rPr>
        <w:t xml:space="preserve">A Code of Practice for the Principles and Standards of Professional Behaviour for the Policing Profession of England and Wales, </w:t>
      </w:r>
      <w:r w:rsidRPr="00E810FA">
        <w:rPr>
          <w:rFonts w:eastAsiaTheme="minorHAnsi"/>
          <w:color w:val="auto"/>
          <w:sz w:val="24"/>
          <w:szCs w:val="24"/>
          <w:lang w:eastAsia="en-US"/>
        </w:rPr>
        <w:t xml:space="preserve">Available at: </w:t>
      </w:r>
      <w:hyperlink r:id="rId44" w:history="1">
        <w:r w:rsidRPr="00E810FA">
          <w:rPr>
            <w:rFonts w:eastAsiaTheme="minorHAnsi"/>
            <w:color w:val="0563C1" w:themeColor="hyperlink"/>
            <w:sz w:val="24"/>
            <w:szCs w:val="24"/>
            <w:u w:val="single"/>
            <w:lang w:eastAsia="en-US"/>
          </w:rPr>
          <w:t>https://www.college.police.uk/What-we-do/Ethics/Ethics-home/Documents/Code_of_Ethics.pdf</w:t>
        </w:r>
      </w:hyperlink>
      <w:r w:rsidRPr="00E810FA">
        <w:rPr>
          <w:rFonts w:eastAsiaTheme="minorHAnsi"/>
          <w:color w:val="auto"/>
          <w:sz w:val="24"/>
          <w:szCs w:val="24"/>
          <w:lang w:eastAsia="en-US"/>
        </w:rPr>
        <w:t xml:space="preserve"> (Accessed 13 October 2020).</w:t>
      </w:r>
    </w:p>
    <w:p w14:paraId="68E4A50A"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College of Policing (2017) </w:t>
      </w:r>
      <w:r w:rsidRPr="00E810FA">
        <w:rPr>
          <w:rFonts w:eastAsiaTheme="minorHAnsi"/>
          <w:i/>
          <w:iCs/>
          <w:color w:val="auto"/>
          <w:sz w:val="24"/>
          <w:szCs w:val="24"/>
          <w:lang w:eastAsia="en-US"/>
        </w:rPr>
        <w:t xml:space="preserve">Policing Professional Profile Police Community Support Officer (PCSO), </w:t>
      </w:r>
      <w:r w:rsidRPr="00E810FA">
        <w:rPr>
          <w:rFonts w:eastAsiaTheme="minorHAnsi"/>
          <w:color w:val="auto"/>
          <w:sz w:val="24"/>
          <w:szCs w:val="24"/>
          <w:lang w:eastAsia="en-US"/>
        </w:rPr>
        <w:t xml:space="preserve">Available at: </w:t>
      </w:r>
      <w:hyperlink r:id="rId45" w:history="1">
        <w:r w:rsidRPr="00E810FA">
          <w:rPr>
            <w:rFonts w:eastAsiaTheme="minorHAnsi"/>
            <w:color w:val="0563C1" w:themeColor="hyperlink"/>
            <w:sz w:val="24"/>
            <w:szCs w:val="24"/>
            <w:u w:val="single"/>
            <w:lang w:eastAsia="en-US"/>
          </w:rPr>
          <w:t>https://d17wy4t6ps30xx.cloudfront.net/production/uploads/2017/09/CR-SD-PCSO-V1.2.pdf</w:t>
        </w:r>
      </w:hyperlink>
      <w:r w:rsidRPr="00E810FA">
        <w:rPr>
          <w:rFonts w:eastAsiaTheme="minorHAnsi"/>
          <w:color w:val="auto"/>
          <w:sz w:val="24"/>
          <w:szCs w:val="24"/>
          <w:lang w:eastAsia="en-US"/>
        </w:rPr>
        <w:t xml:space="preserve"> (Accessed 13 October 2020).</w:t>
      </w:r>
    </w:p>
    <w:p w14:paraId="269C5E8E"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College of Policing (2019) </w:t>
      </w:r>
      <w:r w:rsidRPr="00E810FA">
        <w:rPr>
          <w:rFonts w:eastAsiaTheme="minorHAnsi"/>
          <w:i/>
          <w:iCs/>
          <w:color w:val="auto"/>
          <w:sz w:val="24"/>
          <w:szCs w:val="24"/>
          <w:lang w:eastAsia="en-US"/>
        </w:rPr>
        <w:t>Neighbourhood Policing Guidelines: Supporting material for police, staff and volunteers</w:t>
      </w:r>
      <w:r w:rsidRPr="00E810FA">
        <w:rPr>
          <w:rFonts w:eastAsiaTheme="minorHAnsi"/>
          <w:color w:val="auto"/>
          <w:sz w:val="24"/>
          <w:szCs w:val="24"/>
          <w:lang w:eastAsia="en-US"/>
        </w:rPr>
        <w:t xml:space="preserve"> Available at: </w:t>
      </w:r>
      <w:hyperlink r:id="rId46" w:history="1">
        <w:r w:rsidRPr="00E810FA">
          <w:rPr>
            <w:rFonts w:eastAsiaTheme="minorHAnsi"/>
            <w:color w:val="0563C1" w:themeColor="hyperlink"/>
            <w:sz w:val="24"/>
            <w:szCs w:val="24"/>
            <w:u w:val="single"/>
            <w:lang w:eastAsia="en-US"/>
          </w:rPr>
          <w:t>https://www.college.police.uk/What-we-do/Standards/Guidelines/Neighbourhood-Policing/Documents/NPG_supporting_material_frontline.pdf</w:t>
        </w:r>
      </w:hyperlink>
      <w:r w:rsidRPr="00E810FA">
        <w:rPr>
          <w:rFonts w:eastAsiaTheme="minorHAnsi"/>
          <w:color w:val="auto"/>
          <w:sz w:val="24"/>
          <w:szCs w:val="24"/>
          <w:lang w:eastAsia="en-US"/>
        </w:rPr>
        <w:t xml:space="preserve"> (Accessed 11 October 2020).</w:t>
      </w:r>
    </w:p>
    <w:p w14:paraId="57E432F8"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lastRenderedPageBreak/>
        <w:t xml:space="preserve">College of Policing (2020) Crime Reduction Toolkit Accessed at: </w:t>
      </w:r>
      <w:hyperlink r:id="rId47" w:history="1">
        <w:r w:rsidRPr="00E810FA">
          <w:rPr>
            <w:rFonts w:eastAsiaTheme="minorHAnsi"/>
            <w:color w:val="0563C1" w:themeColor="hyperlink"/>
            <w:sz w:val="24"/>
            <w:szCs w:val="24"/>
            <w:u w:val="single"/>
            <w:lang w:eastAsia="en-US"/>
          </w:rPr>
          <w:t>https://whatworks.college.police.uk/toolkit/pages/Toolkit.aspx</w:t>
        </w:r>
      </w:hyperlink>
      <w:r w:rsidRPr="00E810FA">
        <w:rPr>
          <w:rFonts w:eastAsiaTheme="minorHAnsi"/>
          <w:color w:val="auto"/>
          <w:sz w:val="24"/>
          <w:szCs w:val="24"/>
          <w:lang w:eastAsia="en-US"/>
        </w:rPr>
        <w:t xml:space="preserve"> (Accessed 12 October 2020).</w:t>
      </w:r>
    </w:p>
    <w:p w14:paraId="68843593"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Gwent Police OPERATIONAL DELIVERY PLAN 2017-21 Available at: </w:t>
      </w:r>
      <w:hyperlink r:id="rId48" w:history="1">
        <w:r w:rsidRPr="00E810FA">
          <w:rPr>
            <w:rFonts w:eastAsiaTheme="minorHAnsi"/>
            <w:color w:val="0563C1" w:themeColor="hyperlink"/>
            <w:sz w:val="24"/>
            <w:szCs w:val="24"/>
            <w:u w:val="single"/>
            <w:lang w:eastAsia="en-US"/>
          </w:rPr>
          <w:t>https://www.gwent.police.uk/fileadmin/Documents/About_Us/Your_Right_to_Information/Force_Performance/Force_Delivery_Plan_2017-18.pdf</w:t>
        </w:r>
      </w:hyperlink>
      <w:r w:rsidRPr="00E810FA">
        <w:rPr>
          <w:rFonts w:eastAsiaTheme="minorHAnsi"/>
          <w:color w:val="auto"/>
          <w:sz w:val="24"/>
          <w:szCs w:val="24"/>
          <w:lang w:eastAsia="en-US"/>
        </w:rPr>
        <w:t xml:space="preserve"> (Accessed 10 October 2020).</w:t>
      </w:r>
    </w:p>
    <w:p w14:paraId="33082E4E"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Home Office (2004) </w:t>
      </w:r>
      <w:r w:rsidRPr="00E810FA">
        <w:rPr>
          <w:rFonts w:eastAsiaTheme="minorHAnsi"/>
          <w:i/>
          <w:iCs/>
          <w:color w:val="auto"/>
          <w:sz w:val="24"/>
          <w:szCs w:val="24"/>
          <w:lang w:eastAsia="en-US"/>
        </w:rPr>
        <w:t xml:space="preserve">Defining and measuring anti-social behaviour, </w:t>
      </w:r>
      <w:r w:rsidRPr="00E810FA">
        <w:rPr>
          <w:rFonts w:eastAsiaTheme="minorHAnsi"/>
          <w:color w:val="auto"/>
          <w:sz w:val="24"/>
          <w:szCs w:val="24"/>
          <w:lang w:eastAsia="en-US"/>
        </w:rPr>
        <w:t xml:space="preserve">Available at: </w:t>
      </w:r>
      <w:hyperlink r:id="rId49" w:history="1">
        <w:r w:rsidRPr="00E810FA">
          <w:rPr>
            <w:rFonts w:eastAsiaTheme="minorHAnsi"/>
            <w:color w:val="0563C1" w:themeColor="hyperlink"/>
            <w:sz w:val="24"/>
            <w:szCs w:val="24"/>
            <w:u w:val="single"/>
            <w:lang w:eastAsia="en-US"/>
          </w:rPr>
          <w:t>https://assets.publishing.service.gov.uk/government/uploads/system/uploads/attachment_data/file/116655/dpr26.pdf</w:t>
        </w:r>
      </w:hyperlink>
      <w:r w:rsidRPr="00E810FA">
        <w:rPr>
          <w:rFonts w:eastAsiaTheme="minorHAnsi"/>
          <w:color w:val="auto"/>
          <w:sz w:val="24"/>
          <w:szCs w:val="24"/>
          <w:lang w:eastAsia="en-US"/>
        </w:rPr>
        <w:t xml:space="preserve"> (Accessed 10 October 2020).</w:t>
      </w:r>
    </w:p>
    <w:p w14:paraId="5BE5415F"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bookmarkStart w:id="11" w:name="_Hlk50188572"/>
      <w:r w:rsidRPr="00E810FA">
        <w:rPr>
          <w:rFonts w:eastAsiaTheme="minorHAnsi"/>
          <w:color w:val="auto"/>
          <w:sz w:val="24"/>
          <w:szCs w:val="24"/>
          <w:lang w:eastAsia="en-US"/>
        </w:rPr>
        <w:t xml:space="preserve">National Decision Model (2014) </w:t>
      </w:r>
      <w:hyperlink r:id="rId50" w:history="1">
        <w:r w:rsidRPr="00E810FA">
          <w:rPr>
            <w:rFonts w:eastAsiaTheme="minorHAnsi"/>
            <w:color w:val="0563C1" w:themeColor="hyperlink"/>
            <w:sz w:val="24"/>
            <w:szCs w:val="24"/>
            <w:u w:val="single"/>
            <w:lang w:eastAsia="en-US"/>
          </w:rPr>
          <w:t>https://www.app.college.police.uk/app-content/national-decision-model/the-national-decision-model/</w:t>
        </w:r>
      </w:hyperlink>
      <w:r w:rsidRPr="00E810FA">
        <w:rPr>
          <w:rFonts w:eastAsiaTheme="minorHAnsi"/>
          <w:color w:val="auto"/>
          <w:sz w:val="24"/>
          <w:szCs w:val="24"/>
          <w:lang w:eastAsia="en-US"/>
        </w:rPr>
        <w:t xml:space="preserve"> (Accessed 5 October 2020)</w:t>
      </w:r>
      <w:bookmarkEnd w:id="11"/>
    </w:p>
    <w:p w14:paraId="0509CDF4"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National Police Chiefs Council </w:t>
      </w:r>
      <w:r w:rsidRPr="00E810FA">
        <w:rPr>
          <w:rFonts w:eastAsiaTheme="minorHAnsi"/>
          <w:i/>
          <w:iCs/>
          <w:color w:val="auto"/>
          <w:sz w:val="24"/>
          <w:szCs w:val="24"/>
          <w:lang w:eastAsia="en-US"/>
        </w:rPr>
        <w:t>‘Policing Vision 2025’</w:t>
      </w:r>
      <w:r w:rsidRPr="00E810FA">
        <w:rPr>
          <w:rFonts w:eastAsiaTheme="minorHAnsi"/>
          <w:color w:val="auto"/>
          <w:sz w:val="24"/>
          <w:szCs w:val="24"/>
          <w:lang w:eastAsia="en-US"/>
        </w:rPr>
        <w:t xml:space="preserve"> Available at: </w:t>
      </w:r>
      <w:hyperlink r:id="rId51" w:anchor="search=anti%20social%20behaviour" w:history="1">
        <w:r w:rsidRPr="00E810FA">
          <w:rPr>
            <w:rFonts w:eastAsiaTheme="minorHAnsi"/>
            <w:color w:val="0563C1" w:themeColor="hyperlink"/>
            <w:sz w:val="24"/>
            <w:szCs w:val="24"/>
            <w:u w:val="single"/>
            <w:lang w:eastAsia="en-US"/>
          </w:rPr>
          <w:t>https://recruit.college.police.uk/Officer/leadership-programmes/Direct-Entry-Programme/Documents/Policing%20Vision.pdf#search=anti%20social%20behaviour</w:t>
        </w:r>
      </w:hyperlink>
      <w:r w:rsidRPr="00E810FA">
        <w:rPr>
          <w:rFonts w:eastAsiaTheme="minorHAnsi"/>
          <w:color w:val="auto"/>
          <w:sz w:val="24"/>
          <w:szCs w:val="24"/>
          <w:lang w:eastAsia="en-US"/>
        </w:rPr>
        <w:t xml:space="preserve"> (Accessed 10 October 2020).</w:t>
      </w:r>
    </w:p>
    <w:p w14:paraId="642EC774"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Office of Rail and Road (2020) Rail Safety 2019-20 Available at: https://dataportal.orr.gov.uk/statistics/.health-and-safety/rail-safety/ (Accessed 10 October 2020).</w:t>
      </w:r>
    </w:p>
    <w:p w14:paraId="71A6A7B8"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i/>
          <w:iCs/>
          <w:color w:val="auto"/>
          <w:sz w:val="24"/>
          <w:szCs w:val="24"/>
          <w:lang w:eastAsia="en-US"/>
        </w:rPr>
        <w:t>Police Reform and Social Responsibility Act 2011,</w:t>
      </w:r>
      <w:r w:rsidRPr="00E810FA">
        <w:rPr>
          <w:rFonts w:eastAsiaTheme="minorHAnsi"/>
          <w:color w:val="auto"/>
          <w:sz w:val="24"/>
          <w:szCs w:val="24"/>
          <w:lang w:eastAsia="en-US"/>
        </w:rPr>
        <w:t xml:space="preserve"> Available at: </w:t>
      </w:r>
      <w:hyperlink r:id="rId52" w:history="1">
        <w:r w:rsidRPr="00E810FA">
          <w:rPr>
            <w:rFonts w:eastAsiaTheme="minorHAnsi"/>
            <w:color w:val="0563C1" w:themeColor="hyperlink"/>
            <w:sz w:val="24"/>
            <w:szCs w:val="24"/>
            <w:u w:val="single"/>
            <w:lang w:eastAsia="en-US"/>
          </w:rPr>
          <w:t>https://www.legislation.gov.uk/ukpga/2011/13/contents/enacted</w:t>
        </w:r>
      </w:hyperlink>
      <w:r w:rsidRPr="00E810FA">
        <w:rPr>
          <w:rFonts w:eastAsiaTheme="minorHAnsi"/>
          <w:color w:val="auto"/>
          <w:sz w:val="24"/>
          <w:szCs w:val="24"/>
          <w:lang w:eastAsia="en-US"/>
        </w:rPr>
        <w:t xml:space="preserve"> (Accessed 10 October 2020).</w:t>
      </w:r>
    </w:p>
    <w:p w14:paraId="217D4458"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i/>
          <w:iCs/>
          <w:color w:val="auto"/>
          <w:sz w:val="24"/>
          <w:szCs w:val="24"/>
          <w:lang w:eastAsia="en-US"/>
        </w:rPr>
        <w:lastRenderedPageBreak/>
        <w:t>Public Order Act 1986,</w:t>
      </w:r>
      <w:r w:rsidRPr="00E810FA">
        <w:rPr>
          <w:rFonts w:eastAsiaTheme="minorHAnsi"/>
          <w:color w:val="auto"/>
          <w:sz w:val="24"/>
          <w:szCs w:val="24"/>
          <w:lang w:eastAsia="en-US"/>
        </w:rPr>
        <w:t xml:space="preserve"> Available at: </w:t>
      </w:r>
      <w:hyperlink r:id="rId53" w:history="1">
        <w:r w:rsidRPr="00E810FA">
          <w:rPr>
            <w:rFonts w:eastAsiaTheme="minorHAnsi"/>
            <w:color w:val="0563C1" w:themeColor="hyperlink"/>
            <w:sz w:val="24"/>
            <w:szCs w:val="24"/>
            <w:u w:val="single"/>
            <w:lang w:eastAsia="en-US"/>
          </w:rPr>
          <w:t>https://www.legislation.gov.uk/ukpga/1986/64</w:t>
        </w:r>
      </w:hyperlink>
      <w:r w:rsidRPr="00E810FA">
        <w:rPr>
          <w:rFonts w:eastAsiaTheme="minorHAnsi"/>
          <w:color w:val="auto"/>
          <w:sz w:val="24"/>
          <w:szCs w:val="24"/>
          <w:lang w:eastAsia="en-US"/>
        </w:rPr>
        <w:t xml:space="preserve"> (Accessed 13 October 2020).</w:t>
      </w:r>
    </w:p>
    <w:p w14:paraId="5DB3993E"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Sidebottom, A., Bullock, K., Armitage, R., Ashby, M., Clemmow, C., Kirby, S., Laycock , G. and Tilley, N. (2020) </w:t>
      </w:r>
      <w:r w:rsidRPr="00E810FA">
        <w:rPr>
          <w:rFonts w:eastAsiaTheme="minorHAnsi"/>
          <w:i/>
          <w:iCs/>
          <w:color w:val="auto"/>
          <w:sz w:val="24"/>
          <w:szCs w:val="24"/>
          <w:lang w:eastAsia="en-US"/>
        </w:rPr>
        <w:t>Problem-Oriented Policing in England and Wales 2019,</w:t>
      </w:r>
      <w:r w:rsidRPr="00E810FA">
        <w:rPr>
          <w:rFonts w:eastAsiaTheme="minorHAnsi"/>
          <w:color w:val="auto"/>
          <w:sz w:val="24"/>
          <w:szCs w:val="24"/>
          <w:lang w:eastAsia="en-US"/>
        </w:rPr>
        <w:t xml:space="preserve"> Available at: </w:t>
      </w:r>
      <w:hyperlink r:id="rId54" w:anchor=":~:text=Problem-oriented%20policing%20%28POP%29%20is%20an%20approach%20for%20improving,for%20the%20police%20to%20focus%20not%20on%20individual" w:history="1">
        <w:r w:rsidRPr="00E810FA">
          <w:rPr>
            <w:rFonts w:eastAsiaTheme="minorHAnsi"/>
            <w:color w:val="0563C1" w:themeColor="hyperlink"/>
            <w:sz w:val="24"/>
            <w:szCs w:val="24"/>
            <w:u w:val="single"/>
            <w:lang w:eastAsia="en-US"/>
          </w:rPr>
          <w:t>https://whatworks.college.police.uk/Research/Documents/Problem-oriented_policing.pdf#:~:text=Problem-oriented%20policing%20%28POP%29%20is%20an%20approach%20for%20improving,for%20the%20police%20to%20focus%20not%20on%20individual</w:t>
        </w:r>
      </w:hyperlink>
      <w:r w:rsidRPr="00E810FA">
        <w:rPr>
          <w:rFonts w:eastAsiaTheme="minorHAnsi"/>
          <w:color w:val="auto"/>
          <w:sz w:val="24"/>
          <w:szCs w:val="24"/>
          <w:lang w:eastAsia="en-US"/>
        </w:rPr>
        <w:t xml:space="preserve"> (Accessed 13 October 2020).</w:t>
      </w:r>
    </w:p>
    <w:p w14:paraId="4E0ABEFB"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Swarbrick, J. (2015) Using sport to tackle youth crime Available at: </w:t>
      </w:r>
      <w:hyperlink r:id="rId55" w:history="1">
        <w:r w:rsidRPr="00E810FA">
          <w:rPr>
            <w:rFonts w:eastAsiaTheme="minorHAnsi"/>
            <w:color w:val="0563C1" w:themeColor="hyperlink"/>
            <w:sz w:val="24"/>
            <w:szCs w:val="24"/>
            <w:u w:val="single"/>
            <w:lang w:eastAsia="en-US"/>
          </w:rPr>
          <w:t>https://sportandrecreation.org.uk/blogs/jo-swarbrick/using-sport-to-tackle-youth-crime</w:t>
        </w:r>
      </w:hyperlink>
      <w:r w:rsidRPr="00E810FA">
        <w:rPr>
          <w:rFonts w:eastAsiaTheme="minorHAnsi"/>
          <w:color w:val="auto"/>
          <w:sz w:val="24"/>
          <w:szCs w:val="24"/>
          <w:lang w:eastAsia="en-US"/>
        </w:rPr>
        <w:t xml:space="preserve"> (Accessed 12 October 2020).</w:t>
      </w:r>
    </w:p>
    <w:p w14:paraId="0D4D8CC3"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Welsh Government (2015) </w:t>
      </w:r>
      <w:r w:rsidRPr="00E810FA">
        <w:rPr>
          <w:rFonts w:eastAsiaTheme="minorHAnsi"/>
          <w:i/>
          <w:iCs/>
          <w:color w:val="auto"/>
          <w:sz w:val="24"/>
          <w:szCs w:val="24"/>
          <w:lang w:eastAsia="en-US"/>
        </w:rPr>
        <w:t>The work of Welsh Government funded Community Support Officers Appendix E- Gwent Police Force Area Report</w:t>
      </w:r>
      <w:r w:rsidRPr="00E810FA">
        <w:rPr>
          <w:rFonts w:eastAsiaTheme="minorHAnsi"/>
          <w:color w:val="auto"/>
          <w:sz w:val="24"/>
          <w:szCs w:val="24"/>
          <w:lang w:eastAsia="en-US"/>
        </w:rPr>
        <w:t xml:space="preserve">, Available at: </w:t>
      </w:r>
      <w:hyperlink r:id="rId56" w:history="1">
        <w:r w:rsidRPr="00E810FA">
          <w:rPr>
            <w:rFonts w:eastAsiaTheme="minorHAnsi"/>
            <w:color w:val="0563C1" w:themeColor="hyperlink"/>
            <w:sz w:val="24"/>
            <w:szCs w:val="24"/>
            <w:u w:val="single"/>
            <w:lang w:eastAsia="en-US"/>
          </w:rPr>
          <w:t>https://gov.wales/sites/default/files/statistics-and-research/2018-12/150226-wg-funded-community-support-officers-appendix-e-en.pdf</w:t>
        </w:r>
      </w:hyperlink>
      <w:r w:rsidRPr="00E810FA">
        <w:rPr>
          <w:rFonts w:eastAsiaTheme="minorHAnsi"/>
          <w:color w:val="auto"/>
          <w:sz w:val="24"/>
          <w:szCs w:val="24"/>
          <w:lang w:eastAsia="en-US"/>
        </w:rPr>
        <w:t xml:space="preserve"> (Accessed 13 October 2020).</w:t>
      </w:r>
    </w:p>
    <w:p w14:paraId="731DC5B1" w14:textId="77777777" w:rsidR="00E810FA" w:rsidRPr="00E810FA" w:rsidRDefault="00E810FA" w:rsidP="00442245">
      <w:pPr>
        <w:overflowPunct/>
        <w:autoSpaceDE/>
        <w:autoSpaceDN/>
        <w:adjustRightInd/>
        <w:spacing w:after="160" w:line="480" w:lineRule="auto"/>
        <w:textAlignment w:val="auto"/>
        <w:rPr>
          <w:rFonts w:eastAsiaTheme="minorHAnsi"/>
          <w:color w:val="auto"/>
          <w:sz w:val="24"/>
          <w:szCs w:val="24"/>
          <w:lang w:eastAsia="en-US"/>
        </w:rPr>
      </w:pPr>
      <w:r w:rsidRPr="00E810FA">
        <w:rPr>
          <w:rFonts w:eastAsiaTheme="minorHAnsi"/>
          <w:color w:val="auto"/>
          <w:sz w:val="24"/>
          <w:szCs w:val="24"/>
          <w:lang w:eastAsia="en-US"/>
        </w:rPr>
        <w:t xml:space="preserve">Welsh Government (2020) </w:t>
      </w:r>
      <w:r w:rsidRPr="00E810FA">
        <w:rPr>
          <w:rFonts w:eastAsiaTheme="minorHAnsi"/>
          <w:i/>
          <w:iCs/>
          <w:color w:val="auto"/>
          <w:sz w:val="24"/>
          <w:szCs w:val="24"/>
          <w:lang w:eastAsia="en-US"/>
        </w:rPr>
        <w:t xml:space="preserve">The Health Protection (Coronavirus Restrictions) (No.2) (Wales) Regulations 2020, as amended, </w:t>
      </w:r>
      <w:r w:rsidRPr="00E810FA">
        <w:rPr>
          <w:rFonts w:eastAsiaTheme="minorHAnsi"/>
          <w:color w:val="auto"/>
          <w:sz w:val="24"/>
          <w:szCs w:val="24"/>
          <w:lang w:eastAsia="en-US"/>
        </w:rPr>
        <w:t xml:space="preserve">Available at: </w:t>
      </w:r>
      <w:hyperlink r:id="rId57" w:history="1">
        <w:r w:rsidRPr="00E810FA">
          <w:rPr>
            <w:rFonts w:eastAsiaTheme="minorHAnsi"/>
            <w:color w:val="0563C1" w:themeColor="hyperlink"/>
            <w:sz w:val="24"/>
            <w:szCs w:val="24"/>
            <w:u w:val="single"/>
            <w:lang w:eastAsia="en-US"/>
          </w:rPr>
          <w:t>https://gov.wales/sites/default/files/publications/2020-10/the-health-protection-coronavirus-restrictions-no2-wales-regulations-2020-as-amended.pdf</w:t>
        </w:r>
      </w:hyperlink>
      <w:r w:rsidRPr="00E810FA">
        <w:rPr>
          <w:rFonts w:eastAsiaTheme="minorHAnsi"/>
          <w:color w:val="auto"/>
          <w:sz w:val="24"/>
          <w:szCs w:val="24"/>
          <w:lang w:eastAsia="en-US"/>
        </w:rPr>
        <w:t xml:space="preserve"> (Accessed 13 October 2020).</w:t>
      </w:r>
    </w:p>
    <w:p w14:paraId="1549EE82" w14:textId="77777777" w:rsidR="00E05262" w:rsidRPr="00E05262" w:rsidRDefault="00E05262" w:rsidP="00E05262">
      <w:pPr>
        <w:overflowPunct/>
        <w:autoSpaceDE/>
        <w:autoSpaceDN/>
        <w:adjustRightInd/>
        <w:spacing w:after="160" w:line="259" w:lineRule="auto"/>
        <w:textAlignment w:val="auto"/>
        <w:rPr>
          <w:rFonts w:eastAsiaTheme="minorHAnsi"/>
          <w:color w:val="auto"/>
          <w:sz w:val="22"/>
          <w:szCs w:val="22"/>
          <w:lang w:eastAsia="en-US"/>
        </w:rPr>
      </w:pPr>
    </w:p>
    <w:p w14:paraId="2EBAD0AB" w14:textId="4CE4AC99" w:rsidR="00EA60CA" w:rsidRDefault="00EA60CA" w:rsidP="00EA60CA">
      <w:pPr>
        <w:overflowPunct/>
        <w:autoSpaceDE/>
        <w:autoSpaceDN/>
        <w:adjustRightInd/>
        <w:spacing w:after="160" w:line="259" w:lineRule="auto"/>
        <w:textAlignment w:val="auto"/>
        <w:rPr>
          <w:rFonts w:eastAsiaTheme="minorHAnsi"/>
          <w:color w:val="auto"/>
          <w:sz w:val="24"/>
          <w:szCs w:val="24"/>
          <w:lang w:eastAsia="en-US"/>
        </w:rPr>
      </w:pPr>
    </w:p>
    <w:p w14:paraId="49DCB7BC" w14:textId="77777777" w:rsidR="00E05262" w:rsidRPr="00EA60CA" w:rsidRDefault="00E05262" w:rsidP="00EA60CA">
      <w:pPr>
        <w:overflowPunct/>
        <w:autoSpaceDE/>
        <w:autoSpaceDN/>
        <w:adjustRightInd/>
        <w:spacing w:after="160" w:line="259" w:lineRule="auto"/>
        <w:textAlignment w:val="auto"/>
        <w:rPr>
          <w:rFonts w:eastAsiaTheme="minorHAnsi"/>
          <w:color w:val="auto"/>
          <w:sz w:val="24"/>
          <w:szCs w:val="24"/>
          <w:lang w:eastAsia="en-US"/>
        </w:rPr>
      </w:pPr>
    </w:p>
    <w:p w14:paraId="5994A5C8" w14:textId="4FE40B02" w:rsidR="009F50C0" w:rsidRDefault="009F50C0" w:rsidP="009F50C0">
      <w:pPr>
        <w:keepNext/>
        <w:spacing w:before="240" w:after="60"/>
        <w:ind w:right="237"/>
        <w:jc w:val="both"/>
        <w:rPr>
          <w:sz w:val="24"/>
          <w:szCs w:val="24"/>
        </w:rPr>
      </w:pPr>
    </w:p>
    <w:p w14:paraId="2CEC9798" w14:textId="77777777" w:rsidR="00EA60CA" w:rsidRDefault="00EA60CA" w:rsidP="009F50C0">
      <w:pPr>
        <w:keepNext/>
        <w:spacing w:before="240" w:after="60"/>
        <w:ind w:right="237"/>
        <w:jc w:val="both"/>
        <w:rPr>
          <w:sz w:val="24"/>
          <w:szCs w:val="24"/>
        </w:rPr>
      </w:pPr>
    </w:p>
    <w:p w14:paraId="6ED77802" w14:textId="1C154E9B" w:rsidR="0093018C" w:rsidRPr="00294868" w:rsidRDefault="00BC5725" w:rsidP="009F50C0">
      <w:pPr>
        <w:keepNext/>
        <w:spacing w:before="240" w:after="60"/>
        <w:ind w:right="237"/>
        <w:jc w:val="both"/>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F8F3AF3" w:rsidR="5848403C" w:rsidRPr="00D80E19" w:rsidRDefault="5848403C" w:rsidP="5848403C">
      <w:pPr>
        <w:jc w:val="both"/>
        <w:rPr>
          <w:rFonts w:eastAsia="Arial"/>
          <w:color w:val="000000" w:themeColor="text1"/>
          <w:sz w:val="36"/>
          <w:szCs w:val="36"/>
        </w:rPr>
      </w:pPr>
      <w:r w:rsidRPr="5848403C">
        <w:rPr>
          <w:rFonts w:eastAsia="Arial"/>
          <w:color w:val="000000" w:themeColor="text1"/>
          <w:sz w:val="24"/>
          <w:szCs w:val="24"/>
        </w:rPr>
        <w:t xml:space="preserve">Signed:  </w:t>
      </w:r>
      <w:r w:rsidR="00D80E19" w:rsidRPr="00D80E19">
        <w:rPr>
          <w:rFonts w:ascii="Brush Script MT" w:eastAsia="Arial" w:hAnsi="Brush Script MT"/>
          <w:color w:val="000000" w:themeColor="text1"/>
          <w:sz w:val="36"/>
          <w:szCs w:val="36"/>
        </w:rPr>
        <w:t>C.Coomer</w:t>
      </w:r>
    </w:p>
    <w:p w14:paraId="5473B39D" w14:textId="25489F28" w:rsidR="5848403C" w:rsidRDefault="5848403C" w:rsidP="5848403C">
      <w:pPr>
        <w:jc w:val="both"/>
        <w:rPr>
          <w:rFonts w:eastAsia="Arial"/>
          <w:color w:val="000000" w:themeColor="text1"/>
          <w:sz w:val="24"/>
          <w:szCs w:val="24"/>
        </w:rPr>
      </w:pPr>
    </w:p>
    <w:p w14:paraId="4EC5D203" w14:textId="29901B0B" w:rsidR="5848403C" w:rsidRDefault="00D80E19" w:rsidP="5848403C">
      <w:pPr>
        <w:jc w:val="both"/>
        <w:rPr>
          <w:rFonts w:eastAsia="Arial"/>
          <w:color w:val="000000" w:themeColor="text1"/>
          <w:sz w:val="24"/>
          <w:szCs w:val="24"/>
        </w:rPr>
      </w:pPr>
      <w:r>
        <w:rPr>
          <w:rFonts w:eastAsia="Arial"/>
          <w:color w:val="000000" w:themeColor="text1"/>
          <w:sz w:val="24"/>
          <w:szCs w:val="24"/>
        </w:rPr>
        <w:t>Date: 15/10/2020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76DF17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80E19" w:rsidRPr="00D80E19">
        <w:rPr>
          <w:rFonts w:ascii="Brush Script MT" w:eastAsia="Arial" w:hAnsi="Brush Script MT"/>
          <w:color w:val="000000" w:themeColor="text1"/>
          <w:sz w:val="40"/>
          <w:szCs w:val="40"/>
        </w:rPr>
        <w:t>C.Coomer</w:t>
      </w:r>
      <w:r w:rsidR="00D80E19">
        <w:rPr>
          <w:rFonts w:eastAsia="Arial"/>
          <w:color w:val="000000" w:themeColor="text1"/>
          <w:sz w:val="24"/>
          <w:szCs w:val="24"/>
        </w:rPr>
        <w:t xml:space="preserve"> </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0D2BB2C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80E19">
        <w:rPr>
          <w:rFonts w:eastAsia="Arial"/>
          <w:color w:val="000000" w:themeColor="text1"/>
          <w:sz w:val="24"/>
          <w:szCs w:val="24"/>
        </w:rPr>
        <w:t>15/10/2020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2B101EF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80E19" w:rsidRPr="00846B1C">
        <w:rPr>
          <w:rFonts w:ascii="Brush Script MT" w:eastAsia="Arial" w:hAnsi="Brush Script MT"/>
          <w:color w:val="000000" w:themeColor="text1"/>
          <w:sz w:val="40"/>
          <w:szCs w:val="40"/>
        </w:rPr>
        <w:t>D.Waddell</w:t>
      </w:r>
      <w:r w:rsidR="00D80E19">
        <w:rPr>
          <w:rFonts w:eastAsia="Arial"/>
          <w:color w:val="000000" w:themeColor="text1"/>
          <w:sz w:val="24"/>
          <w:szCs w:val="24"/>
        </w:rPr>
        <w:t xml:space="preserve"> </w:t>
      </w:r>
      <w:r w:rsidR="00846B1C">
        <w:rPr>
          <w:rFonts w:eastAsia="Arial"/>
          <w:color w:val="000000" w:themeColor="text1"/>
          <w:sz w:val="24"/>
          <w:szCs w:val="24"/>
        </w:rPr>
        <w:t xml:space="preserve"> 1831 </w:t>
      </w:r>
      <w:r w:rsidRPr="5848403C">
        <w:rPr>
          <w:rFonts w:eastAsia="Arial"/>
          <w:color w:val="000000" w:themeColor="text1"/>
          <w:sz w:val="24"/>
          <w:szCs w:val="24"/>
        </w:rPr>
        <w:t xml:space="preserve">(Tutor Constable) </w:t>
      </w:r>
    </w:p>
    <w:p w14:paraId="143CEFC4" w14:textId="5E98B60C" w:rsidR="5848403C" w:rsidRDefault="5848403C" w:rsidP="5848403C">
      <w:pPr>
        <w:jc w:val="both"/>
        <w:rPr>
          <w:rFonts w:eastAsia="Arial"/>
          <w:color w:val="000000" w:themeColor="text1"/>
          <w:sz w:val="24"/>
          <w:szCs w:val="24"/>
        </w:rPr>
      </w:pPr>
    </w:p>
    <w:p w14:paraId="1F0252AC" w14:textId="5165B19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w:t>
      </w:r>
      <w:r w:rsidR="00846B1C">
        <w:rPr>
          <w:rFonts w:eastAsia="Arial"/>
          <w:color w:val="000000" w:themeColor="text1"/>
          <w:sz w:val="24"/>
          <w:szCs w:val="24"/>
        </w:rPr>
        <w:t>te: 15/10/2020</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637D8" w14:textId="77777777" w:rsidR="005C1976" w:rsidRDefault="005C1976">
      <w:r>
        <w:separator/>
      </w:r>
    </w:p>
  </w:endnote>
  <w:endnote w:type="continuationSeparator" w:id="0">
    <w:p w14:paraId="53CA4136" w14:textId="77777777" w:rsidR="005C1976" w:rsidRDefault="005C1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60D73B8" w:rsidR="00F6513F" w:rsidRDefault="00F6513F">
    <w:pPr>
      <w:pStyle w:val="Footer"/>
      <w:jc w:val="right"/>
    </w:pPr>
    <w:r>
      <w:fldChar w:fldCharType="begin"/>
    </w:r>
    <w:r>
      <w:instrText xml:space="preserve"> PAGE   \* MERGEFORMAT </w:instrText>
    </w:r>
    <w:r>
      <w:fldChar w:fldCharType="separate"/>
    </w:r>
    <w:r w:rsidR="00221CF5">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4303A3" w14:textId="77777777" w:rsidR="005C1976" w:rsidRDefault="005C1976">
      <w:r>
        <w:separator/>
      </w:r>
    </w:p>
  </w:footnote>
  <w:footnote w:type="continuationSeparator" w:id="0">
    <w:p w14:paraId="2B279648" w14:textId="77777777" w:rsidR="005C1976" w:rsidRDefault="005C1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521"/>
    <w:rsid w:val="000B1E96"/>
    <w:rsid w:val="000B631B"/>
    <w:rsid w:val="000B6C8D"/>
    <w:rsid w:val="000C378F"/>
    <w:rsid w:val="000C6892"/>
    <w:rsid w:val="000C6FFE"/>
    <w:rsid w:val="000D0BB6"/>
    <w:rsid w:val="000D4604"/>
    <w:rsid w:val="000E26B0"/>
    <w:rsid w:val="000F1599"/>
    <w:rsid w:val="000F1769"/>
    <w:rsid w:val="000F6196"/>
    <w:rsid w:val="000F7ECD"/>
    <w:rsid w:val="00102E64"/>
    <w:rsid w:val="0010312C"/>
    <w:rsid w:val="0010472B"/>
    <w:rsid w:val="00106DC7"/>
    <w:rsid w:val="0011102D"/>
    <w:rsid w:val="0011237D"/>
    <w:rsid w:val="00112391"/>
    <w:rsid w:val="00113DB1"/>
    <w:rsid w:val="00114F52"/>
    <w:rsid w:val="0012135C"/>
    <w:rsid w:val="001347F8"/>
    <w:rsid w:val="00137BB5"/>
    <w:rsid w:val="00137E05"/>
    <w:rsid w:val="001447F6"/>
    <w:rsid w:val="00147DE3"/>
    <w:rsid w:val="00150794"/>
    <w:rsid w:val="001608C4"/>
    <w:rsid w:val="00167446"/>
    <w:rsid w:val="00171418"/>
    <w:rsid w:val="00190913"/>
    <w:rsid w:val="001961CF"/>
    <w:rsid w:val="001A59BB"/>
    <w:rsid w:val="001A6A51"/>
    <w:rsid w:val="001A79C4"/>
    <w:rsid w:val="001B331A"/>
    <w:rsid w:val="001B52EE"/>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1CF5"/>
    <w:rsid w:val="002246A0"/>
    <w:rsid w:val="00224AF9"/>
    <w:rsid w:val="00230439"/>
    <w:rsid w:val="00235176"/>
    <w:rsid w:val="00236061"/>
    <w:rsid w:val="0024084E"/>
    <w:rsid w:val="0024100E"/>
    <w:rsid w:val="00241C1B"/>
    <w:rsid w:val="0024288B"/>
    <w:rsid w:val="00247D5A"/>
    <w:rsid w:val="00251380"/>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565F"/>
    <w:rsid w:val="00417925"/>
    <w:rsid w:val="004348AE"/>
    <w:rsid w:val="004376C0"/>
    <w:rsid w:val="0044115F"/>
    <w:rsid w:val="0044223A"/>
    <w:rsid w:val="00442245"/>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1976"/>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2182"/>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B1C"/>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140"/>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4189A"/>
    <w:rsid w:val="00943D13"/>
    <w:rsid w:val="009544C0"/>
    <w:rsid w:val="00954FA4"/>
    <w:rsid w:val="00956AE9"/>
    <w:rsid w:val="00964CC6"/>
    <w:rsid w:val="00990EE9"/>
    <w:rsid w:val="00991FDA"/>
    <w:rsid w:val="009927A1"/>
    <w:rsid w:val="0099774D"/>
    <w:rsid w:val="009A5F3B"/>
    <w:rsid w:val="009B0B61"/>
    <w:rsid w:val="009B28C0"/>
    <w:rsid w:val="009B7136"/>
    <w:rsid w:val="009B7806"/>
    <w:rsid w:val="009C3AC2"/>
    <w:rsid w:val="009D27B7"/>
    <w:rsid w:val="009D4365"/>
    <w:rsid w:val="009D4E3B"/>
    <w:rsid w:val="009D7BC9"/>
    <w:rsid w:val="009E1982"/>
    <w:rsid w:val="009E4D2C"/>
    <w:rsid w:val="009F0978"/>
    <w:rsid w:val="009F3AEC"/>
    <w:rsid w:val="009F50C0"/>
    <w:rsid w:val="00A00081"/>
    <w:rsid w:val="00A015F7"/>
    <w:rsid w:val="00A04C5C"/>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5D9F"/>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1B17"/>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1B5F"/>
    <w:rsid w:val="00BF75A9"/>
    <w:rsid w:val="00C019E3"/>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6A6B"/>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0E19"/>
    <w:rsid w:val="00D81D06"/>
    <w:rsid w:val="00D8652C"/>
    <w:rsid w:val="00D876E6"/>
    <w:rsid w:val="00D93CA6"/>
    <w:rsid w:val="00D94C3D"/>
    <w:rsid w:val="00D951B9"/>
    <w:rsid w:val="00DA1025"/>
    <w:rsid w:val="00DA22EC"/>
    <w:rsid w:val="00DA5860"/>
    <w:rsid w:val="00DB2767"/>
    <w:rsid w:val="00DC418E"/>
    <w:rsid w:val="00DC4729"/>
    <w:rsid w:val="00DD233A"/>
    <w:rsid w:val="00DD62E9"/>
    <w:rsid w:val="00DE556F"/>
    <w:rsid w:val="00E03B6D"/>
    <w:rsid w:val="00E05262"/>
    <w:rsid w:val="00E17160"/>
    <w:rsid w:val="00E35BEC"/>
    <w:rsid w:val="00E42DC4"/>
    <w:rsid w:val="00E50821"/>
    <w:rsid w:val="00E50EF8"/>
    <w:rsid w:val="00E51F91"/>
    <w:rsid w:val="00E66D20"/>
    <w:rsid w:val="00E7086E"/>
    <w:rsid w:val="00E72F35"/>
    <w:rsid w:val="00E7374A"/>
    <w:rsid w:val="00E73C41"/>
    <w:rsid w:val="00E7598F"/>
    <w:rsid w:val="00E76F60"/>
    <w:rsid w:val="00E810FA"/>
    <w:rsid w:val="00E83D90"/>
    <w:rsid w:val="00E83F28"/>
    <w:rsid w:val="00E83F91"/>
    <w:rsid w:val="00E84C92"/>
    <w:rsid w:val="00E9107A"/>
    <w:rsid w:val="00E91F62"/>
    <w:rsid w:val="00E929FD"/>
    <w:rsid w:val="00E93240"/>
    <w:rsid w:val="00E9479B"/>
    <w:rsid w:val="00EA4D48"/>
    <w:rsid w:val="00EA60CA"/>
    <w:rsid w:val="00EB2173"/>
    <w:rsid w:val="00EB62E6"/>
    <w:rsid w:val="00ED1B30"/>
    <w:rsid w:val="00ED250E"/>
    <w:rsid w:val="00ED528D"/>
    <w:rsid w:val="00EE1AC1"/>
    <w:rsid w:val="00EE39D6"/>
    <w:rsid w:val="00EE413C"/>
    <w:rsid w:val="00EE52AD"/>
    <w:rsid w:val="00F00945"/>
    <w:rsid w:val="00F01F92"/>
    <w:rsid w:val="00F073D0"/>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search-proquest-com.ezproxy.uwtsd.ac.uk/docview/2211285497?accountid=130472" TargetMode="External"/><Relationship Id="rId26" Type="http://schemas.openxmlformats.org/officeDocument/2006/relationships/hyperlink" Target="https://www.dashriskchecklist.co.uk/wp-content/uploads/2016/09/DASH-2009.pdf" TargetMode="External"/><Relationship Id="rId39" Type="http://schemas.openxmlformats.org/officeDocument/2006/relationships/hyperlink" Target="https://www.legislation.gov.uk/ukpga/2003/42/pdfs/ukpga_20030042_en.pdf" TargetMode="External"/><Relationship Id="rId21" Type="http://schemas.openxmlformats.org/officeDocument/2006/relationships/hyperlink" Target="https://assets.publishing.service.gov.uk/government/uploads/system/uploads/attachment_data/file/447967/code-of-practice-approved.pdf" TargetMode="External"/><Relationship Id="rId34" Type="http://schemas.openxmlformats.org/officeDocument/2006/relationships/hyperlink" Target="https://assets.publishing.service.gov.uk/government/uploads/system/uploads/attachment_data/file/495716/52344_00_Pace_Code_E_Accessible_v0.3.pdf" TargetMode="External"/><Relationship Id="rId42" Type="http://schemas.openxmlformats.org/officeDocument/2006/relationships/hyperlink" Target="http://library.college.police.uk/docs/npia/cctv-final-locked-v21-2011.pdf" TargetMode="External"/><Relationship Id="rId47" Type="http://schemas.openxmlformats.org/officeDocument/2006/relationships/hyperlink" Target="https://whatworks.college.police.uk/toolkit/pages/Toolkit.aspx" TargetMode="External"/><Relationship Id="rId50" Type="http://schemas.openxmlformats.org/officeDocument/2006/relationships/hyperlink" Target="https://www.app.college.police.uk/app-content/national-decision-model/the-national-decision-model/" TargetMode="External"/><Relationship Id="rId55" Type="http://schemas.openxmlformats.org/officeDocument/2006/relationships/hyperlink" Target="https://sportandrecreation.org.uk/blogs/jo-swarbrick/using-sport-to-tackle-youth-crim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hs.uk/conditions/stress-anxiety-depression/reduce-stress/" TargetMode="External"/><Relationship Id="rId25" Type="http://schemas.openxmlformats.org/officeDocument/2006/relationships/hyperlink" Target="https://whatworks.college.police.uk/Research/Documents/BWV_Report.pdf" TargetMode="External"/><Relationship Id="rId33" Type="http://schemas.openxmlformats.org/officeDocument/2006/relationships/hyperlink" Target="https://assets.publishing.service.gov.uk/government/uploads/system/uploads/attachment_data/file/903473/pace-code-c-2019.pdf" TargetMode="External"/><Relationship Id="rId38" Type="http://schemas.openxmlformats.org/officeDocument/2006/relationships/hyperlink" Target="https://www.legislation.gov.uk/ukpga/1998/42/schedule/1/part/1/chapter/4" TargetMode="External"/><Relationship Id="rId46" Type="http://schemas.openxmlformats.org/officeDocument/2006/relationships/hyperlink" Target="https://www.college.police.uk/What-we-do/Standards/Guidelines/Neighbourhood-Policing/Documents/NPG_supporting_material_frontline.pdf"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ind.org.uk/media-a/2959/stress-2017.pdf" TargetMode="External"/><Relationship Id="rId20" Type="http://schemas.openxmlformats.org/officeDocument/2006/relationships/hyperlink" Target="https://www.college.police.uk/What-we-do/Ethics/Ethics-home/Documents/Code_of_Ethics.pdf" TargetMode="External"/><Relationship Id="rId29" Type="http://schemas.openxmlformats.org/officeDocument/2006/relationships/hyperlink" Target="https://academic.oup.com/bjc/article/59/5/1013/5518314" TargetMode="External"/><Relationship Id="rId41" Type="http://schemas.openxmlformats.org/officeDocument/2006/relationships/hyperlink" Target="https://doi.org/10.1348/135532509X463356" TargetMode="External"/><Relationship Id="rId54" Type="http://schemas.openxmlformats.org/officeDocument/2006/relationships/hyperlink" Target="https://whatworks.college.police.uk/Research/Documents/Problem-oriented_policing.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domestic-abuse-bill-2020-factsheets/domestic-abuse-bill-2020-overarching-factsheet" TargetMode="External"/><Relationship Id="rId32" Type="http://schemas.openxmlformats.org/officeDocument/2006/relationships/hyperlink" Target="https://www.legislation.gov.uk/ukpga/2006/45/contents" TargetMode="External"/><Relationship Id="rId37" Type="http://schemas.openxmlformats.org/officeDocument/2006/relationships/hyperlink" Target="https://assets.publishing.service.gov.uk/government/uploads/system/uploads/attachment_data/file/864940/interviewing-suspects-v7.0.pdf" TargetMode="External"/><Relationship Id="rId40" Type="http://schemas.openxmlformats.org/officeDocument/2006/relationships/hyperlink" Target="https://doi.org/10.1002/acp.3115" TargetMode="External"/><Relationship Id="rId45" Type="http://schemas.openxmlformats.org/officeDocument/2006/relationships/hyperlink" Target="https://d17wy4t6ps30xx.cloudfront.net/production/uploads/2017/09/CR-SD-PCSO-V1.2.pdf" TargetMode="External"/><Relationship Id="rId53" Type="http://schemas.openxmlformats.org/officeDocument/2006/relationships/hyperlink" Target="https://www.legislation.gov.uk/ukpga/1986/64"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rofdev.college.police.uk/professional-profile/test-9/" TargetMode="External"/><Relationship Id="rId23" Type="http://schemas.openxmlformats.org/officeDocument/2006/relationships/hyperlink" Target="https://www.cps.gov.uk/crime-info/domestic-abuse" TargetMode="External"/><Relationship Id="rId28" Type="http://schemas.openxmlformats.org/officeDocument/2006/relationships/hyperlink" Target="https://www.college.police.uk/News./College-news/Documents/Risk-led_policing_of_domestic_abuse_and_the_DASH-risk_model.pdf" TargetMode="External"/><Relationship Id="rId36" Type="http://schemas.openxmlformats.org/officeDocument/2006/relationships/hyperlink" Target="https://www.gov.uk/guidance/police-and-criminal-evidence-act-1984-pace-codes-of-practice" TargetMode="External"/><Relationship Id="rId49" Type="http://schemas.openxmlformats.org/officeDocument/2006/relationships/hyperlink" Target="https://assets.publishing.service.gov.uk/government/uploads/system/uploads/attachment_data/file/116655/dpr26.pdf" TargetMode="External"/><Relationship Id="rId57" Type="http://schemas.openxmlformats.org/officeDocument/2006/relationships/hyperlink" Target="https://gov.wales/sites/default/files/publications/2020-10/the-health-protection-coronavirus-restrictions-no2-wales-regulations-2020-as-amended.pdf" TargetMode="External"/><Relationship Id="rId10" Type="http://schemas.openxmlformats.org/officeDocument/2006/relationships/endnotes" Target="endnotes.xml"/><Relationship Id="rId19" Type="http://schemas.openxmlformats.org/officeDocument/2006/relationships/hyperlink" Target="http://library.college.police.uk/docs/APPref/house-to-house-enquiries.pdf" TargetMode="External"/><Relationship Id="rId31" Type="http://schemas.openxmlformats.org/officeDocument/2006/relationships/hyperlink" Target="https://whatworks.college.police.uk/Research/Documents?Domestic_Abuse_Matters.pdf" TargetMode="External"/><Relationship Id="rId44" Type="http://schemas.openxmlformats.org/officeDocument/2006/relationships/hyperlink" Target="https://www.college.police.uk/What-we-do/Ethics/Ethics-home/Documents/Code_of_Ethics.pdf" TargetMode="External"/><Relationship Id="rId52" Type="http://schemas.openxmlformats.org/officeDocument/2006/relationships/hyperlink" Target="https://www.legislation.gov.uk/ukpga/2011/13/contents/enact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library.college.police.uk/docs/college-of-policing/body-worn-video-guidance-2014.pdf" TargetMode="External"/><Relationship Id="rId27" Type="http://schemas.openxmlformats.org/officeDocument/2006/relationships/hyperlink" Target="https://www.researchgate.net/publication/237442284_Domestic_Violence_MARACs_Multi-Agency_Risk_Assessment_Conferences_for_Very_High-Risk_Victims_in_Cardiff_Wales_A_Process_and_Outcome_Evaluation" TargetMode="External"/><Relationship Id="rId30" Type="http://schemas.openxmlformats.org/officeDocument/2006/relationships/hyperlink" Target="https://doi.org/10.1002/acp.3115" TargetMode="External"/><Relationship Id="rId35" Type="http://schemas.openxmlformats.org/officeDocument/2006/relationships/hyperlink" Target="https://www.app.college.police.uk/app-content/investigations/investigative-interviewing/" TargetMode="External"/><Relationship Id="rId43" Type="http://schemas.openxmlformats.org/officeDocument/2006/relationships/hyperlink" Target="https://www.legislation.gov.uk/ukpga/2014/12/contents/enacted" TargetMode="External"/><Relationship Id="rId48" Type="http://schemas.openxmlformats.org/officeDocument/2006/relationships/hyperlink" Target="https://www.gwent.police.uk/fileadmin/Documents/About_Us/Your_Right_to_Information/Force_Performance/Force_Delivery_Plan_2017-18.pdf" TargetMode="External"/><Relationship Id="rId56" Type="http://schemas.openxmlformats.org/officeDocument/2006/relationships/hyperlink" Target="https://gov.wales/sites/default/files/statistics-and-research/2018-12/150226-wg-funded-community-support-officers-appendix-e-en.pdf" TargetMode="External"/><Relationship Id="rId8" Type="http://schemas.openxmlformats.org/officeDocument/2006/relationships/webSettings" Target="webSettings.xml"/><Relationship Id="rId51" Type="http://schemas.openxmlformats.org/officeDocument/2006/relationships/hyperlink" Target="https://recruit.college.police.uk/Officer/leadership-programmes/Direct-Entry-Programme/Documents/Policing%20Vision.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84B1D914-D591-46FB-90A3-523ABBD01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9818</Words>
  <Characters>55963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Coomer Christian</cp:lastModifiedBy>
  <cp:revision>2</cp:revision>
  <cp:lastPrinted>2019-09-26T14:40:00Z</cp:lastPrinted>
  <dcterms:created xsi:type="dcterms:W3CDTF">2020-10-15T20:24:00Z</dcterms:created>
  <dcterms:modified xsi:type="dcterms:W3CDTF">2020-10-15T20:24:00Z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