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48DD47" w14:textId="194C6119" w:rsidR="008C1DB7" w:rsidRPr="008C1DB7" w:rsidRDefault="00764261" w:rsidP="008C1DB7">
      <w:pPr>
        <w:jc w:val="center"/>
        <w:rPr>
          <w:b/>
          <w:bCs/>
          <w:i/>
          <w:iCs/>
          <w:sz w:val="52"/>
          <w:szCs w:val="52"/>
          <w:u w:val="single"/>
        </w:rPr>
      </w:pPr>
      <w:r>
        <w:rPr>
          <w:noProof/>
        </w:rPr>
        <w:drawing>
          <wp:anchor distT="0" distB="0" distL="114300" distR="114300" simplePos="0" relativeHeight="251658240" behindDoc="0" locked="0" layoutInCell="1" allowOverlap="1" wp14:anchorId="05E8E37B" wp14:editId="1D338B7C">
            <wp:simplePos x="0" y="0"/>
            <wp:positionH relativeFrom="margin">
              <wp:posOffset>-798168</wp:posOffset>
            </wp:positionH>
            <wp:positionV relativeFrom="margin">
              <wp:posOffset>573904</wp:posOffset>
            </wp:positionV>
            <wp:extent cx="7303770" cy="3851910"/>
            <wp:effectExtent l="0" t="0" r="0" b="0"/>
            <wp:wrapSquare wrapText="bothSides"/>
            <wp:docPr id="2" name="Picture 2" descr="A picture containing indoor,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 differe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303770" cy="3851910"/>
                    </a:xfrm>
                    <a:prstGeom prst="rect">
                      <a:avLst/>
                    </a:prstGeom>
                  </pic:spPr>
                </pic:pic>
              </a:graphicData>
            </a:graphic>
            <wp14:sizeRelH relativeFrom="margin">
              <wp14:pctWidth>0</wp14:pctWidth>
            </wp14:sizeRelH>
            <wp14:sizeRelV relativeFrom="margin">
              <wp14:pctHeight>0</wp14:pctHeight>
            </wp14:sizeRelV>
          </wp:anchor>
        </w:drawing>
      </w:r>
      <w:r w:rsidR="008C1DB7" w:rsidRPr="2ED962D2">
        <w:rPr>
          <w:b/>
          <w:bCs/>
          <w:i/>
          <w:iCs/>
          <w:sz w:val="52"/>
          <w:szCs w:val="52"/>
          <w:u w:val="single"/>
        </w:rPr>
        <w:t>Museum Catalogue Entry</w:t>
      </w:r>
    </w:p>
    <w:p w14:paraId="30044E07" w14:textId="77777777" w:rsidR="00AF7673" w:rsidRDefault="00AF7673" w:rsidP="00AF7673">
      <w:pPr>
        <w:rPr>
          <w:rFonts w:cstheme="minorHAnsi"/>
          <w:b/>
          <w:sz w:val="21"/>
          <w:szCs w:val="21"/>
        </w:rPr>
      </w:pPr>
    </w:p>
    <w:p w14:paraId="098C3671" w14:textId="4355B2B7" w:rsidR="00AF7673" w:rsidRPr="00AF7673" w:rsidRDefault="00AF7673" w:rsidP="00AF7673">
      <w:pPr>
        <w:rPr>
          <w:rFonts w:cstheme="minorHAnsi"/>
          <w:bCs/>
          <w:sz w:val="21"/>
          <w:szCs w:val="21"/>
        </w:rPr>
      </w:pPr>
      <w:r w:rsidRPr="00AF7673">
        <w:rPr>
          <w:rFonts w:cstheme="minorHAnsi"/>
          <w:b/>
          <w:sz w:val="21"/>
          <w:szCs w:val="21"/>
        </w:rPr>
        <w:t>Figure 1:</w:t>
      </w:r>
      <w:r w:rsidRPr="00AF7673">
        <w:rPr>
          <w:rFonts w:cstheme="minorHAnsi"/>
          <w:bCs/>
          <w:sz w:val="21"/>
          <w:szCs w:val="21"/>
        </w:rPr>
        <w:t xml:space="preserve"> Front Profile view of statue fragment CCM 118 936 © Copyright of Katharina Zinn.</w:t>
      </w:r>
    </w:p>
    <w:p w14:paraId="2567296D" w14:textId="49B5EB73" w:rsidR="00AF7673" w:rsidRPr="00AF7673" w:rsidRDefault="00AF7673" w:rsidP="00AF7673">
      <w:pPr>
        <w:rPr>
          <w:rFonts w:cstheme="minorHAnsi"/>
          <w:bCs/>
          <w:sz w:val="21"/>
          <w:szCs w:val="21"/>
        </w:rPr>
      </w:pPr>
      <w:r w:rsidRPr="00AF7673">
        <w:rPr>
          <w:rFonts w:cstheme="minorHAnsi"/>
          <w:b/>
          <w:sz w:val="21"/>
          <w:szCs w:val="21"/>
        </w:rPr>
        <w:t>Figure 2:</w:t>
      </w:r>
      <w:r w:rsidRPr="00AF7673">
        <w:rPr>
          <w:rFonts w:cstheme="minorHAnsi"/>
          <w:bCs/>
          <w:sz w:val="21"/>
          <w:szCs w:val="21"/>
        </w:rPr>
        <w:t xml:space="preserve"> Side Profile view of statue fragment CCM 118 936 © Copyright of Katharina Zinn.</w:t>
      </w:r>
    </w:p>
    <w:p w14:paraId="27C2F582" w14:textId="77777777" w:rsidR="00AF7673" w:rsidRPr="00AF7673" w:rsidRDefault="00AF7673" w:rsidP="00AF7673">
      <w:pPr>
        <w:rPr>
          <w:rFonts w:cstheme="minorHAnsi"/>
          <w:bCs/>
          <w:sz w:val="21"/>
          <w:szCs w:val="21"/>
        </w:rPr>
      </w:pPr>
      <w:r w:rsidRPr="00AF7673">
        <w:rPr>
          <w:rFonts w:cstheme="minorHAnsi"/>
          <w:b/>
          <w:sz w:val="21"/>
          <w:szCs w:val="21"/>
        </w:rPr>
        <w:t>Figure 3:</w:t>
      </w:r>
      <w:r w:rsidRPr="00AF7673">
        <w:rPr>
          <w:rFonts w:cstheme="minorHAnsi"/>
          <w:bCs/>
          <w:sz w:val="21"/>
          <w:szCs w:val="21"/>
        </w:rPr>
        <w:t xml:space="preserve"> Diagonal Profile view of statue fragment CCM 118 936 © Copyright of Katharina Zinn. </w:t>
      </w:r>
    </w:p>
    <w:p w14:paraId="65B17296" w14:textId="4FC08534" w:rsidR="00AF7673" w:rsidRPr="00AF7673" w:rsidRDefault="00AF7673" w:rsidP="00AF7673">
      <w:pPr>
        <w:rPr>
          <w:rFonts w:cstheme="minorHAnsi"/>
          <w:bCs/>
          <w:sz w:val="21"/>
          <w:szCs w:val="21"/>
        </w:rPr>
      </w:pPr>
      <w:r w:rsidRPr="00AF7673">
        <w:rPr>
          <w:rFonts w:cstheme="minorHAnsi"/>
          <w:b/>
          <w:sz w:val="21"/>
          <w:szCs w:val="21"/>
        </w:rPr>
        <w:t>Figure 4:</w:t>
      </w:r>
      <w:r w:rsidRPr="00AF7673">
        <w:rPr>
          <w:rFonts w:cstheme="minorHAnsi"/>
          <w:bCs/>
          <w:sz w:val="21"/>
          <w:szCs w:val="21"/>
        </w:rPr>
        <w:t xml:space="preserve"> Back of statue fragment CCM 118 936 showing the back column and hieroglyphic inscription © Copyright of Katharina Zinn.</w:t>
      </w:r>
    </w:p>
    <w:p w14:paraId="2B674750" w14:textId="01274416" w:rsidR="008C1DB7" w:rsidRPr="00C3163C" w:rsidRDefault="008C1DB7" w:rsidP="001D0987"/>
    <w:p w14:paraId="6FAEAA42" w14:textId="04777C0C" w:rsidR="008C1DB7" w:rsidRDefault="008C1DB7" w:rsidP="001D0987"/>
    <w:p w14:paraId="7BA95483" w14:textId="30322FCC" w:rsidR="00492897" w:rsidRDefault="00492897" w:rsidP="001D0987"/>
    <w:p w14:paraId="10606301" w14:textId="77777777" w:rsidR="00AF7673" w:rsidRPr="00C3163C" w:rsidRDefault="00AF7673" w:rsidP="001D0987"/>
    <w:p w14:paraId="397B95F7" w14:textId="7D7DCEDC" w:rsidR="008C1DB7" w:rsidRPr="00C3163C" w:rsidRDefault="008C1DB7" w:rsidP="001D0987"/>
    <w:p w14:paraId="54766282" w14:textId="77777777" w:rsidR="00AF7673" w:rsidRDefault="00AF7673" w:rsidP="001D0987"/>
    <w:p w14:paraId="02634A44" w14:textId="5CADEF5D" w:rsidR="001D0987" w:rsidRPr="00BF4E14" w:rsidRDefault="001D0987" w:rsidP="001D0987">
      <w:pPr>
        <w:rPr>
          <w:b/>
          <w:bCs/>
          <w:sz w:val="32"/>
          <w:szCs w:val="32"/>
        </w:rPr>
      </w:pPr>
      <w:r w:rsidRPr="00BF4E14">
        <w:rPr>
          <w:b/>
          <w:bCs/>
          <w:sz w:val="32"/>
          <w:szCs w:val="32"/>
        </w:rPr>
        <w:t xml:space="preserve">Granite Statue Fragment </w:t>
      </w:r>
    </w:p>
    <w:p w14:paraId="28101CD7" w14:textId="570A7710" w:rsidR="008C1DB7" w:rsidRPr="00492897" w:rsidRDefault="008C1DB7" w:rsidP="008C1DB7">
      <w:pPr>
        <w:rPr>
          <w:sz w:val="28"/>
          <w:szCs w:val="28"/>
        </w:rPr>
      </w:pPr>
      <w:r w:rsidRPr="00492897">
        <w:rPr>
          <w:b/>
          <w:bCs/>
          <w:sz w:val="28"/>
          <w:szCs w:val="28"/>
        </w:rPr>
        <w:t>Museum</w:t>
      </w:r>
      <w:r w:rsidRPr="00492897">
        <w:rPr>
          <w:sz w:val="28"/>
          <w:szCs w:val="28"/>
        </w:rPr>
        <w:t>: Cyfarthfa Castle Museum, Merthyr Tydfil, Wales, United Kingdom</w:t>
      </w:r>
    </w:p>
    <w:p w14:paraId="6412B081" w14:textId="017BE25B" w:rsidR="008C1DB7" w:rsidRPr="00492897" w:rsidRDefault="008C1DB7" w:rsidP="008C1DB7">
      <w:pPr>
        <w:rPr>
          <w:sz w:val="28"/>
          <w:szCs w:val="28"/>
        </w:rPr>
      </w:pPr>
      <w:r w:rsidRPr="00492897">
        <w:rPr>
          <w:b/>
          <w:bCs/>
          <w:sz w:val="28"/>
          <w:szCs w:val="28"/>
        </w:rPr>
        <w:t>Museum Number:</w:t>
      </w:r>
      <w:r w:rsidRPr="00492897">
        <w:rPr>
          <w:sz w:val="28"/>
          <w:szCs w:val="28"/>
        </w:rPr>
        <w:t xml:space="preserve"> </w:t>
      </w:r>
      <w:r w:rsidR="00956022">
        <w:rPr>
          <w:sz w:val="28"/>
          <w:szCs w:val="28"/>
        </w:rPr>
        <w:t xml:space="preserve">CCM </w:t>
      </w:r>
      <w:r w:rsidR="00355133">
        <w:rPr>
          <w:sz w:val="28"/>
          <w:szCs w:val="28"/>
        </w:rPr>
        <w:t>118 9</w:t>
      </w:r>
      <w:r w:rsidR="00816220">
        <w:rPr>
          <w:sz w:val="28"/>
          <w:szCs w:val="28"/>
        </w:rPr>
        <w:t>3</w:t>
      </w:r>
      <w:r w:rsidR="00355133">
        <w:rPr>
          <w:sz w:val="28"/>
          <w:szCs w:val="28"/>
        </w:rPr>
        <w:t>6</w:t>
      </w:r>
    </w:p>
    <w:p w14:paraId="2EC8835B" w14:textId="77777777" w:rsidR="008C1DB7" w:rsidRPr="00492897" w:rsidRDefault="008C1DB7" w:rsidP="008C1DB7">
      <w:pPr>
        <w:rPr>
          <w:sz w:val="28"/>
          <w:szCs w:val="28"/>
        </w:rPr>
      </w:pPr>
      <w:r w:rsidRPr="00492897">
        <w:rPr>
          <w:b/>
          <w:bCs/>
          <w:sz w:val="28"/>
          <w:szCs w:val="28"/>
        </w:rPr>
        <w:t>Provenance:</w:t>
      </w:r>
      <w:r w:rsidRPr="00492897">
        <w:rPr>
          <w:sz w:val="28"/>
          <w:szCs w:val="28"/>
        </w:rPr>
        <w:t xml:space="preserve"> Egypt</w:t>
      </w:r>
    </w:p>
    <w:p w14:paraId="5D63F374" w14:textId="21F6F5A6" w:rsidR="008C1DB7" w:rsidRPr="00492897" w:rsidRDefault="008C1DB7" w:rsidP="008C1DB7">
      <w:pPr>
        <w:rPr>
          <w:sz w:val="28"/>
          <w:szCs w:val="28"/>
        </w:rPr>
      </w:pPr>
      <w:r w:rsidRPr="00492897">
        <w:rPr>
          <w:b/>
          <w:bCs/>
          <w:sz w:val="28"/>
          <w:szCs w:val="28"/>
        </w:rPr>
        <w:t>Period:</w:t>
      </w:r>
      <w:r w:rsidRPr="00492897">
        <w:rPr>
          <w:sz w:val="28"/>
          <w:szCs w:val="28"/>
        </w:rPr>
        <w:t xml:space="preserve"> Unknown, </w:t>
      </w:r>
      <w:r w:rsidR="00494885">
        <w:rPr>
          <w:sz w:val="28"/>
          <w:szCs w:val="28"/>
        </w:rPr>
        <w:t xml:space="preserve">but </w:t>
      </w:r>
      <w:r w:rsidRPr="00492897">
        <w:rPr>
          <w:sz w:val="28"/>
          <w:szCs w:val="28"/>
        </w:rPr>
        <w:t>most likely</w:t>
      </w:r>
      <w:r w:rsidR="00494885">
        <w:rPr>
          <w:sz w:val="28"/>
          <w:szCs w:val="28"/>
        </w:rPr>
        <w:t xml:space="preserve"> from</w:t>
      </w:r>
      <w:r w:rsidRPr="00492897">
        <w:rPr>
          <w:sz w:val="28"/>
          <w:szCs w:val="28"/>
        </w:rPr>
        <w:t xml:space="preserve"> </w:t>
      </w:r>
      <w:r w:rsidR="00494885">
        <w:rPr>
          <w:sz w:val="28"/>
          <w:szCs w:val="28"/>
        </w:rPr>
        <w:t xml:space="preserve">the </w:t>
      </w:r>
      <w:r w:rsidR="003258E0">
        <w:rPr>
          <w:sz w:val="28"/>
          <w:szCs w:val="28"/>
        </w:rPr>
        <w:t>Middle Kingdom</w:t>
      </w:r>
    </w:p>
    <w:p w14:paraId="3CBF59C8" w14:textId="77777777" w:rsidR="001D0987" w:rsidRPr="00492897" w:rsidRDefault="001D0987" w:rsidP="001D0987">
      <w:pPr>
        <w:rPr>
          <w:sz w:val="28"/>
          <w:szCs w:val="28"/>
        </w:rPr>
      </w:pPr>
      <w:r w:rsidRPr="00492897">
        <w:rPr>
          <w:b/>
          <w:bCs/>
          <w:sz w:val="28"/>
          <w:szCs w:val="28"/>
        </w:rPr>
        <w:t>Object Type:</w:t>
      </w:r>
      <w:r w:rsidRPr="00492897">
        <w:rPr>
          <w:sz w:val="28"/>
          <w:szCs w:val="28"/>
        </w:rPr>
        <w:t xml:space="preserve"> Statue Fragment</w:t>
      </w:r>
    </w:p>
    <w:p w14:paraId="13E41F08" w14:textId="77777777" w:rsidR="001D0987" w:rsidRPr="00492897" w:rsidRDefault="001D0987" w:rsidP="001D0987">
      <w:pPr>
        <w:rPr>
          <w:sz w:val="28"/>
          <w:szCs w:val="28"/>
        </w:rPr>
      </w:pPr>
      <w:r w:rsidRPr="00492897">
        <w:rPr>
          <w:b/>
          <w:bCs/>
          <w:sz w:val="28"/>
          <w:szCs w:val="28"/>
        </w:rPr>
        <w:t>Material:</w:t>
      </w:r>
      <w:r w:rsidRPr="00492897">
        <w:rPr>
          <w:sz w:val="28"/>
          <w:szCs w:val="28"/>
        </w:rPr>
        <w:t xml:space="preserve"> Rose Granite</w:t>
      </w:r>
    </w:p>
    <w:p w14:paraId="66D32A4A" w14:textId="47FFCDCC" w:rsidR="00117028" w:rsidRDefault="00117028" w:rsidP="00740018">
      <w:pPr>
        <w:rPr>
          <w:sz w:val="28"/>
          <w:szCs w:val="28"/>
        </w:rPr>
      </w:pPr>
      <w:r w:rsidRPr="00492897">
        <w:rPr>
          <w:b/>
          <w:bCs/>
          <w:sz w:val="28"/>
          <w:szCs w:val="28"/>
        </w:rPr>
        <w:t>Dimensions:</w:t>
      </w:r>
      <w:r w:rsidRPr="00492897">
        <w:rPr>
          <w:sz w:val="28"/>
          <w:szCs w:val="28"/>
        </w:rPr>
        <w:t xml:space="preserve"> </w:t>
      </w:r>
      <w:r w:rsidR="00740018" w:rsidRPr="00740018">
        <w:rPr>
          <w:sz w:val="28"/>
          <w:szCs w:val="28"/>
        </w:rPr>
        <w:t>Height</w:t>
      </w:r>
      <w:r w:rsidR="00740018">
        <w:rPr>
          <w:sz w:val="28"/>
          <w:szCs w:val="28"/>
        </w:rPr>
        <w:t xml:space="preserve">: </w:t>
      </w:r>
      <w:r w:rsidR="00740018" w:rsidRPr="00740018">
        <w:rPr>
          <w:sz w:val="28"/>
          <w:szCs w:val="28"/>
        </w:rPr>
        <w:t>19cm</w:t>
      </w:r>
      <w:r w:rsidR="00740018">
        <w:rPr>
          <w:sz w:val="28"/>
          <w:szCs w:val="28"/>
        </w:rPr>
        <w:t xml:space="preserve">, </w:t>
      </w:r>
      <w:r w:rsidR="00740018" w:rsidRPr="00740018">
        <w:rPr>
          <w:sz w:val="28"/>
          <w:szCs w:val="28"/>
        </w:rPr>
        <w:t>Width</w:t>
      </w:r>
      <w:r w:rsidR="00740018">
        <w:rPr>
          <w:sz w:val="28"/>
          <w:szCs w:val="28"/>
        </w:rPr>
        <w:t>: 1</w:t>
      </w:r>
      <w:r w:rsidR="00740018" w:rsidRPr="00740018">
        <w:rPr>
          <w:sz w:val="28"/>
          <w:szCs w:val="28"/>
        </w:rPr>
        <w:t>5.25cm</w:t>
      </w:r>
      <w:r w:rsidR="00740018">
        <w:rPr>
          <w:sz w:val="28"/>
          <w:szCs w:val="28"/>
        </w:rPr>
        <w:t xml:space="preserve">, </w:t>
      </w:r>
      <w:r w:rsidR="00740018" w:rsidRPr="00740018">
        <w:rPr>
          <w:sz w:val="28"/>
          <w:szCs w:val="28"/>
        </w:rPr>
        <w:t>Back Column Width: 6.2 cm</w:t>
      </w:r>
      <w:r w:rsidR="00740018">
        <w:rPr>
          <w:sz w:val="28"/>
          <w:szCs w:val="28"/>
        </w:rPr>
        <w:t xml:space="preserve">, </w:t>
      </w:r>
      <w:r w:rsidR="00740018" w:rsidRPr="00740018">
        <w:rPr>
          <w:sz w:val="28"/>
          <w:szCs w:val="28"/>
        </w:rPr>
        <w:t>Diameter: 40cm</w:t>
      </w:r>
    </w:p>
    <w:p w14:paraId="4A6BAAA0" w14:textId="1F08ED3D" w:rsidR="00492897" w:rsidRPr="00C3163C" w:rsidRDefault="008C1DB7">
      <w:pPr>
        <w:rPr>
          <w:b/>
          <w:bCs/>
          <w:sz w:val="28"/>
          <w:szCs w:val="28"/>
        </w:rPr>
      </w:pPr>
      <w:r w:rsidRPr="00492897">
        <w:rPr>
          <w:b/>
          <w:bCs/>
          <w:sz w:val="28"/>
          <w:szCs w:val="28"/>
        </w:rPr>
        <w:t>Object Analysis by Lloyd Clements</w:t>
      </w:r>
    </w:p>
    <w:p w14:paraId="62262565" w14:textId="0C8B2385" w:rsidR="007C08CE" w:rsidRDefault="00B425C1" w:rsidP="2559862A">
      <w:r>
        <w:rPr>
          <w:noProof/>
        </w:rPr>
        <w:lastRenderedPageBreak/>
        <mc:AlternateContent>
          <mc:Choice Requires="wps">
            <w:drawing>
              <wp:anchor distT="0" distB="0" distL="114300" distR="114300" simplePos="0" relativeHeight="251663360" behindDoc="0" locked="0" layoutInCell="1" allowOverlap="1" wp14:anchorId="50DE598A" wp14:editId="2BA84F6F">
                <wp:simplePos x="0" y="0"/>
                <wp:positionH relativeFrom="column">
                  <wp:posOffset>4407535</wp:posOffset>
                </wp:positionH>
                <wp:positionV relativeFrom="paragraph">
                  <wp:posOffset>3302000</wp:posOffset>
                </wp:positionV>
                <wp:extent cx="1917700" cy="635"/>
                <wp:effectExtent l="0" t="0" r="0" b="12065"/>
                <wp:wrapSquare wrapText="bothSides"/>
                <wp:docPr id="5" name="Text Box 5"/>
                <wp:cNvGraphicFramePr/>
                <a:graphic xmlns:a="http://schemas.openxmlformats.org/drawingml/2006/main">
                  <a:graphicData uri="http://schemas.microsoft.com/office/word/2010/wordprocessingShape">
                    <wps:wsp>
                      <wps:cNvSpPr txBox="1"/>
                      <wps:spPr>
                        <a:xfrm>
                          <a:off x="0" y="0"/>
                          <a:ext cx="1917700" cy="635"/>
                        </a:xfrm>
                        <a:prstGeom prst="rect">
                          <a:avLst/>
                        </a:prstGeom>
                        <a:solidFill>
                          <a:prstClr val="white"/>
                        </a:solidFill>
                        <a:ln>
                          <a:noFill/>
                        </a:ln>
                      </wps:spPr>
                      <wps:txbx>
                        <w:txbxContent>
                          <w:p w14:paraId="2FFE90B9" w14:textId="54C877EB" w:rsidR="00B425C1" w:rsidRPr="00B425C1" w:rsidRDefault="00B425C1" w:rsidP="00B425C1">
                            <w:pPr>
                              <w:pStyle w:val="Caption"/>
                              <w:jc w:val="center"/>
                              <w:rPr>
                                <w:rFonts w:cstheme="minorHAnsi"/>
                                <w:bCs/>
                                <w:noProof/>
                                <w:sz w:val="10"/>
                                <w:szCs w:val="10"/>
                              </w:rPr>
                            </w:pPr>
                            <w:r w:rsidRPr="00B425C1">
                              <w:rPr>
                                <w:sz w:val="10"/>
                                <w:szCs w:val="10"/>
                              </w:rPr>
                              <w:t>Figure 5:</w:t>
                            </w:r>
                            <w:r>
                              <w:rPr>
                                <w:sz w:val="10"/>
                                <w:szCs w:val="10"/>
                              </w:rPr>
                              <w:t xml:space="preserve"> The s</w:t>
                            </w:r>
                            <w:r w:rsidRPr="00B425C1">
                              <w:rPr>
                                <w:sz w:val="10"/>
                                <w:szCs w:val="10"/>
                              </w:rPr>
                              <w:t xml:space="preserve">tanding </w:t>
                            </w:r>
                            <w:r>
                              <w:rPr>
                                <w:sz w:val="10"/>
                                <w:szCs w:val="10"/>
                              </w:rPr>
                              <w:t>f</w:t>
                            </w:r>
                            <w:r w:rsidRPr="00B425C1">
                              <w:rPr>
                                <w:sz w:val="10"/>
                                <w:szCs w:val="10"/>
                              </w:rPr>
                              <w:t>igure of Antef (ÄM 12485) in the Egyptian Museum and Papyrus Collection in Berlin.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0DE598A" id="_x0000_t202" coordsize="21600,21600" o:spt="202" path="m,l,21600r21600,l21600,xe">
                <v:stroke joinstyle="miter"/>
                <v:path gradientshapeok="t" o:connecttype="rect"/>
              </v:shapetype>
              <v:shape id="Text Box 5" o:spid="_x0000_s1026" type="#_x0000_t202" style="position:absolute;margin-left:347.05pt;margin-top:260pt;width:151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" stroked="f">
                <v:textbox style="mso-fit-shape-to-text:t" inset="0,0,0,0">
                  <w:txbxContent>
                    <w:p w14:paraId="2FFE90B9" w14:textId="54C877EB" w:rsidR="00B425C1" w:rsidRPr="00B425C1" w:rsidRDefault="00B425C1" w:rsidP="00B425C1">
                      <w:pPr>
                        <w:pStyle w:val="Caption"/>
                        <w:jc w:val="center"/>
                        <w:rPr>
                          <w:rFonts w:cstheme="minorHAnsi"/>
                          <w:bCs/>
                          <w:noProof/>
                          <w:sz w:val="10"/>
                          <w:szCs w:val="10"/>
                        </w:rPr>
                      </w:pPr>
                      <w:r w:rsidRPr="00B425C1">
                        <w:rPr>
                          <w:sz w:val="10"/>
                          <w:szCs w:val="10"/>
                        </w:rPr>
                        <w:t>Figure 5:</w:t>
                      </w:r>
                      <w:r>
                        <w:rPr>
                          <w:sz w:val="10"/>
                          <w:szCs w:val="10"/>
                        </w:rPr>
                        <w:t xml:space="preserve"> The s</w:t>
                      </w:r>
                      <w:r w:rsidRPr="00B425C1">
                        <w:rPr>
                          <w:sz w:val="10"/>
                          <w:szCs w:val="10"/>
                        </w:rPr>
                        <w:t xml:space="preserve">tanding </w:t>
                      </w:r>
                      <w:r>
                        <w:rPr>
                          <w:sz w:val="10"/>
                          <w:szCs w:val="10"/>
                        </w:rPr>
                        <w:t>f</w:t>
                      </w:r>
                      <w:r w:rsidRPr="00B425C1">
                        <w:rPr>
                          <w:sz w:val="10"/>
                          <w:szCs w:val="10"/>
                        </w:rPr>
                        <w:t>igure of Antef (ÄM 12485) in the Egyptian Museum and Papyrus Collection in Berlin.</w:t>
                      </w:r>
                    </w:p>
                  </w:txbxContent>
                </v:textbox>
                <w10:wrap type="square"/>
              </v:shape>
            </w:pict>
          </mc:Fallback>
        </mc:AlternateContent>
      </w:r>
      <w:r w:rsidR="00BA17B7">
        <w:rPr>
          <w:rFonts w:cstheme="minorHAnsi"/>
          <w:bCs/>
          <w:noProof/>
        </w:rPr>
        <w:drawing>
          <wp:anchor distT="0" distB="0" distL="114300" distR="114300" simplePos="0" relativeHeight="251659264" behindDoc="0" locked="0" layoutInCell="1" allowOverlap="1" wp14:anchorId="2EF9364D" wp14:editId="289653AE">
            <wp:simplePos x="0" y="0"/>
            <wp:positionH relativeFrom="margin">
              <wp:posOffset>4407559</wp:posOffset>
            </wp:positionH>
            <wp:positionV relativeFrom="margin">
              <wp:posOffset>1465537</wp:posOffset>
            </wp:positionV>
            <wp:extent cx="1918177" cy="17802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1918177" cy="1780210"/>
                    </a:xfrm>
                    <a:prstGeom prst="rect">
                      <a:avLst/>
                    </a:prstGeom>
                  </pic:spPr>
                </pic:pic>
              </a:graphicData>
            </a:graphic>
          </wp:anchor>
        </w:drawing>
      </w:r>
      <w:r w:rsidR="00426604" w:rsidRPr="2559862A">
        <w:t>This is a fragment from a statue that it is currently in Cyfarthfa Castle Museum in Merthyr Tydfil, United Kingdom. The fragment stands at a height of 19cm, a width of 15.25cm, a diameter of 40cm and the back pillar of the fragment has a width of about 6.2 cm. The statue is made from rose granite, which is a reddish type of granite that was mined in the quarries of Aswan in Upper Egypt</w:t>
      </w:r>
      <w:r w:rsidR="001F4F86">
        <w:t>.</w:t>
      </w:r>
      <w:r w:rsidR="001415D3" w:rsidRPr="2559862A">
        <w:rPr>
          <w:rStyle w:val="FootnoteReference"/>
        </w:rPr>
        <w:footnoteReference w:id="1"/>
      </w:r>
      <w:r w:rsidR="001F4F86">
        <w:t xml:space="preserve"> </w:t>
      </w:r>
      <w:r w:rsidR="00FC04CD" w:rsidRPr="2559862A">
        <w:t>R</w:t>
      </w:r>
      <w:r w:rsidR="008D2566" w:rsidRPr="2559862A">
        <w:t>ose</w:t>
      </w:r>
      <w:r w:rsidR="00FC04CD" w:rsidRPr="2559862A">
        <w:t xml:space="preserve"> granite was a very rare</w:t>
      </w:r>
      <w:r w:rsidR="008D2566" w:rsidRPr="2559862A">
        <w:t xml:space="preserve"> material</w:t>
      </w:r>
      <w:r w:rsidR="00AF2E84" w:rsidRPr="2559862A">
        <w:t xml:space="preserve">, mostly </w:t>
      </w:r>
      <w:r w:rsidR="0A92D9E7" w:rsidRPr="2559862A">
        <w:t xml:space="preserve">bestowed </w:t>
      </w:r>
      <w:r w:rsidR="00AF2E84" w:rsidRPr="2559862A">
        <w:t>as a gift from the King</w:t>
      </w:r>
      <w:r w:rsidR="00AF2E84" w:rsidRPr="2559862A">
        <w:rPr>
          <w:rStyle w:val="FootnoteReference"/>
        </w:rPr>
        <w:footnoteReference w:id="2"/>
      </w:r>
      <w:r w:rsidR="00AF2E84" w:rsidRPr="2559862A">
        <w:t xml:space="preserve"> </w:t>
      </w:r>
      <w:r w:rsidR="004C5F33" w:rsidRPr="2559862A">
        <w:t xml:space="preserve">and it is likely that </w:t>
      </w:r>
      <w:r w:rsidR="003A4CD6" w:rsidRPr="2559862A">
        <w:t xml:space="preserve">the slab it came from was sawed </w:t>
      </w:r>
      <w:r w:rsidR="004C5F33" w:rsidRPr="2559862A">
        <w:t>using</w:t>
      </w:r>
      <w:r w:rsidR="75DEEB38" w:rsidRPr="2559862A">
        <w:t xml:space="preserve"> the</w:t>
      </w:r>
      <w:r w:rsidR="004C5F33" w:rsidRPr="2559862A">
        <w:t xml:space="preserve"> wet sand method</w:t>
      </w:r>
      <w:r w:rsidR="10F9704B" w:rsidRPr="2559862A">
        <w:t>.</w:t>
      </w:r>
      <w:r w:rsidR="005F5FC9" w:rsidRPr="2559862A">
        <w:rPr>
          <w:rStyle w:val="FootnoteReference"/>
        </w:rPr>
        <w:footnoteReference w:id="3"/>
      </w:r>
      <w:r w:rsidR="20DAC835" w:rsidRPr="2559862A">
        <w:t xml:space="preserve"> </w:t>
      </w:r>
      <w:r w:rsidR="00426604" w:rsidRPr="2559862A">
        <w:t xml:space="preserve">The fragment most likely depicts a man rather than a woman, mainly due to the style of the headdress that they are wearing. This particular wig </w:t>
      </w:r>
      <w:r w:rsidR="70DADD25" w:rsidRPr="2559862A">
        <w:t>wa</w:t>
      </w:r>
      <w:r w:rsidR="00426604" w:rsidRPr="2559862A">
        <w:t xml:space="preserve">s mainly worn by men and can been seen </w:t>
      </w:r>
      <w:r w:rsidR="2C33621A" w:rsidRPr="2559862A">
        <w:t>o</w:t>
      </w:r>
      <w:r w:rsidR="00426604" w:rsidRPr="2559862A">
        <w:t>n other male statues such as the Standing Figure of Antef (ÄM 12485) in the Egyptian Museum and Papyrus Collection in Berlin</w:t>
      </w:r>
      <w:r w:rsidR="00831ABD" w:rsidRPr="2559862A">
        <w:rPr>
          <w:rStyle w:val="FootnoteReference"/>
        </w:rPr>
        <w:footnoteReference w:id="4"/>
      </w:r>
      <w:r w:rsidR="00426604" w:rsidRPr="2559862A">
        <w:t xml:space="preserve"> (Figure 5). It is of note that </w:t>
      </w:r>
      <w:r w:rsidR="004913F9" w:rsidRPr="2559862A">
        <w:t xml:space="preserve">the </w:t>
      </w:r>
      <w:r w:rsidR="00426604" w:rsidRPr="2559862A">
        <w:t>shoulders are not clearly defined as would usually be expected of a statue of this type.</w:t>
      </w:r>
      <w:r w:rsidR="000D0831" w:rsidRPr="2559862A">
        <w:t xml:space="preserve"> </w:t>
      </w:r>
      <w:r w:rsidR="00426604" w:rsidRPr="2559862A">
        <w:t>The headdress also suggests that the statue may be representing a person of status, due to this particular headcloth being worn by royals and upper nobles during the Egyptian Middle Kingdom, 2055-1650 BC</w:t>
      </w:r>
      <w:r w:rsidR="76B27947" w:rsidRPr="2559862A">
        <w:t>,</w:t>
      </w:r>
      <w:r w:rsidR="001415D3" w:rsidRPr="2559862A">
        <w:rPr>
          <w:rStyle w:val="FootnoteReference"/>
        </w:rPr>
        <w:footnoteReference w:id="5"/>
      </w:r>
      <w:r w:rsidR="0E598629" w:rsidRPr="2559862A">
        <w:t xml:space="preserve"> </w:t>
      </w:r>
      <w:r w:rsidR="00426604" w:rsidRPr="2559862A">
        <w:t>which can also be seen in ÄM 12485</w:t>
      </w:r>
      <w:r w:rsidR="73554025" w:rsidRPr="2559862A">
        <w:t>.</w:t>
      </w:r>
      <w:r w:rsidR="008F5A3D" w:rsidRPr="2559862A">
        <w:rPr>
          <w:rStyle w:val="FootnoteReference"/>
        </w:rPr>
        <w:footnoteReference w:id="6"/>
      </w:r>
      <w:r w:rsidR="000D0831" w:rsidRPr="2559862A">
        <w:t xml:space="preserve"> </w:t>
      </w:r>
      <w:r w:rsidR="002745CD" w:rsidRPr="2559862A">
        <w:t>Sadly, due to bad record keeping, we do not know where this particular statue was purchased or discovered, making it difficult to work out where the statue would have resided.</w:t>
      </w:r>
    </w:p>
    <w:p w14:paraId="6FCCAE04" w14:textId="42F816CF" w:rsidR="007C08CE" w:rsidRDefault="007C08CE" w:rsidP="00426604">
      <w:pPr>
        <w:rPr>
          <w:rFonts w:cstheme="minorHAnsi"/>
          <w:bCs/>
        </w:rPr>
      </w:pPr>
    </w:p>
    <w:p w14:paraId="74009DAC" w14:textId="08246C13" w:rsidR="005F5FC9" w:rsidRDefault="00B425C1" w:rsidP="2559862A">
      <w:r>
        <w:rPr>
          <w:noProof/>
        </w:rPr>
        <mc:AlternateContent>
          <mc:Choice Requires="wps">
            <w:drawing>
              <wp:anchor distT="0" distB="0" distL="114300" distR="114300" simplePos="0" relativeHeight="251665408" behindDoc="0" locked="0" layoutInCell="1" allowOverlap="1" wp14:anchorId="7852CFDE" wp14:editId="2E9F75DB">
                <wp:simplePos x="0" y="0"/>
                <wp:positionH relativeFrom="column">
                  <wp:posOffset>4123690</wp:posOffset>
                </wp:positionH>
                <wp:positionV relativeFrom="paragraph">
                  <wp:posOffset>3141980</wp:posOffset>
                </wp:positionV>
                <wp:extent cx="1825625" cy="635"/>
                <wp:effectExtent l="0" t="0" r="3175" b="12065"/>
                <wp:wrapSquare wrapText="bothSides"/>
                <wp:docPr id="6" name="Text Box 6"/>
                <wp:cNvGraphicFramePr/>
                <a:graphic xmlns:a="http://schemas.openxmlformats.org/drawingml/2006/main">
                  <a:graphicData uri="http://schemas.microsoft.com/office/word/2010/wordprocessingShape">
                    <wps:wsp>
                      <wps:cNvSpPr txBox="1"/>
                      <wps:spPr>
                        <a:xfrm>
                          <a:off x="0" y="0"/>
                          <a:ext cx="1825625" cy="635"/>
                        </a:xfrm>
                        <a:prstGeom prst="rect">
                          <a:avLst/>
                        </a:prstGeom>
                        <a:solidFill>
                          <a:prstClr val="white"/>
                        </a:solidFill>
                        <a:ln>
                          <a:noFill/>
                        </a:ln>
                      </wps:spPr>
                      <wps:txbx>
                        <w:txbxContent>
                          <w:p w14:paraId="3DC07F68" w14:textId="42B2A92E" w:rsidR="00B425C1" w:rsidRPr="00251198" w:rsidRDefault="00B425C1" w:rsidP="00B425C1">
                            <w:pPr>
                              <w:pStyle w:val="Caption"/>
                              <w:jc w:val="center"/>
                              <w:rPr>
                                <w:rFonts w:cstheme="minorHAnsi"/>
                                <w:bCs/>
                                <w:noProof/>
                              </w:rPr>
                            </w:pPr>
                            <w:r w:rsidRPr="00B425C1">
                              <w:rPr>
                                <w:sz w:val="10"/>
                                <w:szCs w:val="10"/>
                              </w:rPr>
                              <w:t xml:space="preserve">Figure </w:t>
                            </w:r>
                            <w:r>
                              <w:rPr>
                                <w:sz w:val="10"/>
                                <w:szCs w:val="10"/>
                              </w:rPr>
                              <w:t>6: T</w:t>
                            </w:r>
                            <w:r w:rsidRPr="00B425C1">
                              <w:rPr>
                                <w:sz w:val="10"/>
                                <w:szCs w:val="10"/>
                              </w:rPr>
                              <w:t>he seated depiction of Cherti-hotep</w:t>
                            </w:r>
                            <w:r>
                              <w:rPr>
                                <w:sz w:val="10"/>
                                <w:szCs w:val="10"/>
                              </w:rPr>
                              <w:t xml:space="preserve"> (</w:t>
                            </w:r>
                            <w:r w:rsidRPr="00B425C1">
                              <w:rPr>
                                <w:sz w:val="10"/>
                                <w:szCs w:val="10"/>
                              </w:rPr>
                              <w:t>ÄM 15700</w:t>
                            </w:r>
                            <w:r>
                              <w:rPr>
                                <w:sz w:val="10"/>
                                <w:szCs w:val="10"/>
                              </w:rPr>
                              <w:t>)</w:t>
                            </w:r>
                            <w:r>
                              <w:t xml:space="preserve"> </w:t>
                            </w:r>
                            <w:r w:rsidRPr="00B425C1">
                              <w:rPr>
                                <w:sz w:val="10"/>
                                <w:szCs w:val="10"/>
                              </w:rPr>
                              <w:t>in the Egyptian Museum and Papyrus Collection in Berlin.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52CFDE" id="Text Box 6" o:spid="_x0000_s1027" type="#_x0000_t202" style="position:absolute;margin-left:324.7pt;margin-top:247.4pt;width:143.7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" stroked="f">
                <v:textbox style="mso-fit-shape-to-text:t" inset="0,0,0,0">
                  <w:txbxContent>
                    <w:p w14:paraId="3DC07F68" w14:textId="42B2A92E" w:rsidR="00B425C1" w:rsidRPr="00251198" w:rsidRDefault="00B425C1" w:rsidP="00B425C1">
                      <w:pPr>
                        <w:pStyle w:val="Caption"/>
                        <w:jc w:val="center"/>
                        <w:rPr>
                          <w:rFonts w:cstheme="minorHAnsi"/>
                          <w:bCs/>
                          <w:noProof/>
                        </w:rPr>
                      </w:pPr>
                      <w:r w:rsidRPr="00B425C1">
                        <w:rPr>
                          <w:sz w:val="10"/>
                          <w:szCs w:val="10"/>
                        </w:rPr>
                        <w:t xml:space="preserve">Figure </w:t>
                      </w:r>
                      <w:r>
                        <w:rPr>
                          <w:sz w:val="10"/>
                          <w:szCs w:val="10"/>
                        </w:rPr>
                        <w:t>6: T</w:t>
                      </w:r>
                      <w:r w:rsidRPr="00B425C1">
                        <w:rPr>
                          <w:sz w:val="10"/>
                          <w:szCs w:val="10"/>
                        </w:rPr>
                        <w:t>he seated depiction of Cherti-hotep</w:t>
                      </w:r>
                      <w:r>
                        <w:rPr>
                          <w:sz w:val="10"/>
                          <w:szCs w:val="10"/>
                        </w:rPr>
                        <w:t xml:space="preserve"> (</w:t>
                      </w:r>
                      <w:r w:rsidRPr="00B425C1">
                        <w:rPr>
                          <w:sz w:val="10"/>
                          <w:szCs w:val="10"/>
                        </w:rPr>
                        <w:t>ÄM 15700</w:t>
                      </w:r>
                      <w:r>
                        <w:rPr>
                          <w:sz w:val="10"/>
                          <w:szCs w:val="10"/>
                        </w:rPr>
                        <w:t>)</w:t>
                      </w:r>
                      <w:r>
                        <w:t xml:space="preserve"> </w:t>
                      </w:r>
                      <w:r w:rsidRPr="00B425C1">
                        <w:rPr>
                          <w:sz w:val="10"/>
                          <w:szCs w:val="10"/>
                        </w:rPr>
                        <w:t>in the Egyptian Museum and Papyrus Collection in Berlin.</w:t>
                      </w:r>
                    </w:p>
                  </w:txbxContent>
                </v:textbox>
                <w10:wrap type="square"/>
              </v:shape>
            </w:pict>
          </mc:Fallback>
        </mc:AlternateContent>
      </w:r>
      <w:r w:rsidR="00BA17B7">
        <w:rPr>
          <w:rFonts w:cstheme="minorHAnsi"/>
          <w:bCs/>
          <w:noProof/>
        </w:rPr>
        <w:drawing>
          <wp:anchor distT="0" distB="0" distL="114300" distR="114300" simplePos="0" relativeHeight="251660288" behindDoc="0" locked="0" layoutInCell="1" allowOverlap="1" wp14:anchorId="724AE064" wp14:editId="0CA33992">
            <wp:simplePos x="0" y="0"/>
            <wp:positionH relativeFrom="margin">
              <wp:posOffset>4124058</wp:posOffset>
            </wp:positionH>
            <wp:positionV relativeFrom="margin">
              <wp:posOffset>5199710</wp:posOffset>
            </wp:positionV>
            <wp:extent cx="1825625" cy="1722755"/>
            <wp:effectExtent l="0" t="0" r="3175" b="4445"/>
            <wp:wrapSquare wrapText="bothSides"/>
            <wp:docPr id="3" name="Picture 3" descr="A collage of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llage of a person&#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1825625" cy="1722755"/>
                    </a:xfrm>
                    <a:prstGeom prst="rect">
                      <a:avLst/>
                    </a:prstGeom>
                  </pic:spPr>
                </pic:pic>
              </a:graphicData>
            </a:graphic>
            <wp14:sizeRelH relativeFrom="margin">
              <wp14:pctWidth>0</wp14:pctWidth>
            </wp14:sizeRelH>
            <wp14:sizeRelV relativeFrom="margin">
              <wp14:pctHeight>0</wp14:pctHeight>
            </wp14:sizeRelV>
          </wp:anchor>
        </w:drawing>
      </w:r>
      <w:r w:rsidR="00426604" w:rsidRPr="2559862A">
        <w:t>It appears that at some point in the statue’s life, it was either accidently or deliberately broken and this caused the top half and the object in the figure’s hand to break off, leaving the statue in the state it is in today (both of these breakages are seen in Figure 3). Due to this breakage, it is difficult to determine how the statue would have originally looked as there are a number of features that are apparent on other types of statues. In particular the back pillar and the position of the arms, being crossed, on the statue are common traits which can be mainly found on seated and standing statues like the</w:t>
      </w:r>
      <w:r w:rsidR="000D0831" w:rsidRPr="2559862A">
        <w:t xml:space="preserve"> </w:t>
      </w:r>
      <w:r w:rsidR="30DFA9A6" w:rsidRPr="2559862A">
        <w:t>s</w:t>
      </w:r>
      <w:r w:rsidR="000D0831" w:rsidRPr="2559862A">
        <w:t>eated depiction of Cherti-hotep, ÄM 15700</w:t>
      </w:r>
      <w:r w:rsidR="000D0831" w:rsidRPr="2559862A">
        <w:rPr>
          <w:rStyle w:val="FootnoteReference"/>
        </w:rPr>
        <w:footnoteReference w:id="7"/>
      </w:r>
      <w:r w:rsidR="000D0831" w:rsidRPr="2559862A">
        <w:t xml:space="preserve"> </w:t>
      </w:r>
      <w:r w:rsidR="00BA17B7">
        <w:t xml:space="preserve">(Figure 6) </w:t>
      </w:r>
      <w:r w:rsidR="00426604" w:rsidRPr="2559862A">
        <w:t>and ÄM 12485</w:t>
      </w:r>
      <w:r w:rsidR="001F4F86">
        <w:t>.</w:t>
      </w:r>
      <w:r w:rsidR="000D0831" w:rsidRPr="2559862A">
        <w:rPr>
          <w:rStyle w:val="FootnoteReference"/>
        </w:rPr>
        <w:footnoteReference w:id="8"/>
      </w:r>
      <w:r w:rsidR="001F4F86">
        <w:t xml:space="preserve"> </w:t>
      </w:r>
      <w:r w:rsidR="00426604" w:rsidRPr="2559862A">
        <w:t>It is unknown which of these positions the fragment would have taken</w:t>
      </w:r>
      <w:r w:rsidR="00CC269F" w:rsidRPr="2559862A">
        <w:t xml:space="preserve">. </w:t>
      </w:r>
      <w:r w:rsidR="000D0831" w:rsidRPr="2559862A">
        <w:t>EA1237 i</w:t>
      </w:r>
      <w:r w:rsidR="005F5FC9" w:rsidRPr="2559862A">
        <w:t>n the British Museum</w:t>
      </w:r>
      <w:r w:rsidR="00BA17B7">
        <w:t xml:space="preserve"> (figure 7)</w:t>
      </w:r>
      <w:r w:rsidR="00CC269F" w:rsidRPr="2559862A">
        <w:t>, which is a broken fragment from a standing statue,</w:t>
      </w:r>
      <w:r w:rsidR="000D0831" w:rsidRPr="2559862A">
        <w:t xml:space="preserve"> has a very similar appearance to the fragment (CCM 118 936)</w:t>
      </w:r>
      <w:r w:rsidR="00CC269F" w:rsidRPr="2559862A">
        <w:t xml:space="preserve"> and it can therefore be deduced that the statue was likely to have been standing</w:t>
      </w:r>
      <w:r w:rsidR="001F4F86">
        <w:t>,</w:t>
      </w:r>
      <w:r w:rsidR="007C08CE" w:rsidRPr="2559862A">
        <w:rPr>
          <w:rStyle w:val="FootnoteReference"/>
        </w:rPr>
        <w:footnoteReference w:id="9"/>
      </w:r>
      <w:r w:rsidR="001F4F86">
        <w:t xml:space="preserve"> </w:t>
      </w:r>
      <w:r w:rsidR="007C08CE" w:rsidRPr="2559862A">
        <w:t>but it could possibly be a seated statue as well</w:t>
      </w:r>
      <w:r w:rsidR="00CC269F" w:rsidRPr="2559862A">
        <w:t xml:space="preserve">. </w:t>
      </w:r>
      <w:r w:rsidR="007C08CE" w:rsidRPr="2559862A">
        <w:t xml:space="preserve">If the statue was standing, it would explain </w:t>
      </w:r>
      <w:r w:rsidR="00CC269F" w:rsidRPr="2559862A">
        <w:t>the breakage on the fragment</w:t>
      </w:r>
      <w:r w:rsidR="007C08CE" w:rsidRPr="2559862A">
        <w:t>,</w:t>
      </w:r>
      <w:r w:rsidR="00CC269F" w:rsidRPr="2559862A">
        <w:t xml:space="preserve"> as it would have been more likely to break in the way it di</w:t>
      </w:r>
      <w:r w:rsidR="00907A65" w:rsidRPr="2559862A">
        <w:t>d</w:t>
      </w:r>
      <w:r w:rsidR="007C08CE" w:rsidRPr="2559862A">
        <w:t xml:space="preserve"> due to the weight and surface area of the figure</w:t>
      </w:r>
      <w:r w:rsidR="00CC269F" w:rsidRPr="2559862A">
        <w:t xml:space="preserve">. </w:t>
      </w:r>
    </w:p>
    <w:p w14:paraId="6CC193B8" w14:textId="2078BE01" w:rsidR="00426604" w:rsidRDefault="00426604" w:rsidP="00426604">
      <w:pPr>
        <w:rPr>
          <w:rFonts w:cstheme="minorHAnsi"/>
          <w:bCs/>
        </w:rPr>
      </w:pPr>
    </w:p>
    <w:p w14:paraId="489CF456" w14:textId="57F67869" w:rsidR="00737FDC" w:rsidRDefault="00B425C1" w:rsidP="2559862A">
      <w:r>
        <w:rPr>
          <w:noProof/>
        </w:rPr>
        <w:lastRenderedPageBreak/>
        <mc:AlternateContent>
          <mc:Choice Requires="wps">
            <w:drawing>
              <wp:anchor distT="0" distB="0" distL="114300" distR="114300" simplePos="0" relativeHeight="251667456" behindDoc="0" locked="0" layoutInCell="1" allowOverlap="1" wp14:anchorId="25763D92" wp14:editId="65E7F3D7">
                <wp:simplePos x="0" y="0"/>
                <wp:positionH relativeFrom="column">
                  <wp:posOffset>5264150</wp:posOffset>
                </wp:positionH>
                <wp:positionV relativeFrom="paragraph">
                  <wp:posOffset>2014220</wp:posOffset>
                </wp:positionV>
                <wp:extent cx="914400" cy="635"/>
                <wp:effectExtent l="0" t="0" r="0" b="12065"/>
                <wp:wrapSquare wrapText="bothSides"/>
                <wp:docPr id="7" name="Text Box 7"/>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473E3669" w14:textId="29C28633" w:rsidR="00B425C1" w:rsidRPr="00B425C1" w:rsidRDefault="00B425C1" w:rsidP="00B425C1">
                            <w:pPr>
                              <w:pStyle w:val="Caption"/>
                              <w:jc w:val="center"/>
                              <w:rPr>
                                <w:rFonts w:cstheme="minorHAnsi"/>
                                <w:bCs/>
                                <w:noProof/>
                                <w:sz w:val="10"/>
                                <w:szCs w:val="10"/>
                              </w:rPr>
                            </w:pPr>
                            <w:r w:rsidRPr="00B425C1">
                              <w:rPr>
                                <w:sz w:val="10"/>
                                <w:szCs w:val="10"/>
                              </w:rPr>
                              <w:t>Figure 7: Granodiorite statue of a cloaked man (EA1237) in the British Museum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763D92" id="Text Box 7" o:spid="_x0000_s1028" type="#_x0000_t202" style="position:absolute;margin-left:414.5pt;margin-top:158.6pt;width:1in;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" stroked="f">
                <v:textbox style="mso-fit-shape-to-text:t" inset="0,0,0,0">
                  <w:txbxContent>
                    <w:p w14:paraId="473E3669" w14:textId="29C28633" w:rsidR="00B425C1" w:rsidRPr="00B425C1" w:rsidRDefault="00B425C1" w:rsidP="00B425C1">
                      <w:pPr>
                        <w:pStyle w:val="Caption"/>
                        <w:jc w:val="center"/>
                        <w:rPr>
                          <w:rFonts w:cstheme="minorHAnsi"/>
                          <w:bCs/>
                          <w:noProof/>
                          <w:sz w:val="10"/>
                          <w:szCs w:val="10"/>
                        </w:rPr>
                      </w:pPr>
                      <w:r w:rsidRPr="00B425C1">
                        <w:rPr>
                          <w:sz w:val="10"/>
                          <w:szCs w:val="10"/>
                        </w:rPr>
                        <w:t>Figure 7: Granodiorite statue of a cloaked man (EA1237) in the British Museum</w:t>
                      </w:r>
                    </w:p>
                  </w:txbxContent>
                </v:textbox>
                <w10:wrap type="square"/>
              </v:shape>
            </w:pict>
          </mc:Fallback>
        </mc:AlternateContent>
      </w:r>
      <w:r w:rsidR="00BA17B7">
        <w:rPr>
          <w:rFonts w:cstheme="minorHAnsi"/>
          <w:bCs/>
          <w:noProof/>
        </w:rPr>
        <w:drawing>
          <wp:anchor distT="0" distB="0" distL="114300" distR="114300" simplePos="0" relativeHeight="251661312" behindDoc="0" locked="0" layoutInCell="1" allowOverlap="1" wp14:anchorId="77B709DE" wp14:editId="11BC192A">
            <wp:simplePos x="0" y="0"/>
            <wp:positionH relativeFrom="margin">
              <wp:posOffset>5264389</wp:posOffset>
            </wp:positionH>
            <wp:positionV relativeFrom="margin">
              <wp:posOffset>74099</wp:posOffset>
            </wp:positionV>
            <wp:extent cx="845648" cy="1883801"/>
            <wp:effectExtent l="114300" t="101600" r="120015" b="135890"/>
            <wp:wrapSquare wrapText="bothSides"/>
            <wp:docPr id="4" name="Picture 4" descr="A statue of a pers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tatue of a person&#10;&#10;Description automatically generated with low confidence"/>
                    <pic:cNvPicPr/>
                  </pic:nvPicPr>
                  <pic:blipFill rotWithShape="1">
                    <a:blip r:embed="rId14">
                      <a:extLst>
                        <a:ext uri="{28A0092B-C50C-407E-A947-70E740481C1C}">
                          <a14:useLocalDpi xmlns:a14="http://schemas.microsoft.com/office/drawing/2010/main" val="0"/>
                        </a:ext>
                      </a:extLst>
                    </a:blip>
                    <a:srcRect l="19020" t="10526" r="20967" b="7033"/>
                    <a:stretch/>
                  </pic:blipFill>
                  <pic:spPr bwMode="auto">
                    <a:xfrm>
                      <a:off x="0" y="0"/>
                      <a:ext cx="845648" cy="1883801"/>
                    </a:xfrm>
                    <a:prstGeom prst="rect">
                      <a:avLst/>
                    </a:prstGeom>
                    <a:solidFill>
                      <a:srgbClr val="FFFFFF">
                        <a:shade val="85000"/>
                      </a:srgbClr>
                    </a:solidFill>
                    <a:ln w="889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r w:rsidR="00B52C7E" w:rsidRPr="2559862A">
        <w:t xml:space="preserve">As </w:t>
      </w:r>
      <w:r w:rsidR="00E66808" w:rsidRPr="2559862A">
        <w:t xml:space="preserve">most of the glyphs have been damaged, </w:t>
      </w:r>
      <w:r w:rsidR="00BC2871" w:rsidRPr="2559862A">
        <w:t xml:space="preserve">we only have part of the inscription that was on the </w:t>
      </w:r>
      <w:r w:rsidR="00915565" w:rsidRPr="2559862A">
        <w:t>back pillar</w:t>
      </w:r>
      <w:r w:rsidR="00BC2871" w:rsidRPr="2559862A">
        <w:t xml:space="preserve"> of the statue (Figure 4). Therefore, </w:t>
      </w:r>
      <w:r w:rsidR="00E66808" w:rsidRPr="2559862A">
        <w:t>we need to compare what remains to other hieroglyphic texts which have a similar order and style.</w:t>
      </w:r>
      <w:r w:rsidR="00907A65" w:rsidRPr="2559862A">
        <w:t xml:space="preserve"> </w:t>
      </w:r>
      <w:r w:rsidR="00BC2871" w:rsidRPr="2559862A">
        <w:t>B</w:t>
      </w:r>
      <w:r w:rsidR="00894F16" w:rsidRPr="2559862A">
        <w:t xml:space="preserve">ecause the </w:t>
      </w:r>
      <w:r w:rsidR="00426604" w:rsidRPr="2559862A">
        <w:t>statue</w:t>
      </w:r>
      <w:r w:rsidR="787B7EF2" w:rsidRPr="2559862A">
        <w:t>’</w:t>
      </w:r>
      <w:r w:rsidR="00426604" w:rsidRPr="2559862A">
        <w:t>s</w:t>
      </w:r>
      <w:r w:rsidR="00894F16" w:rsidRPr="2559862A">
        <w:t xml:space="preserve"> wig is from the</w:t>
      </w:r>
      <w:r w:rsidR="00426604" w:rsidRPr="2559862A">
        <w:t xml:space="preserve"> </w:t>
      </w:r>
      <w:r w:rsidR="00BC2871" w:rsidRPr="2559862A">
        <w:t>Egyptian MK</w:t>
      </w:r>
      <w:r w:rsidR="001F4F86">
        <w:t>,</w:t>
      </w:r>
      <w:r w:rsidR="00FB11F9" w:rsidRPr="2559862A">
        <w:rPr>
          <w:rStyle w:val="FootnoteReference"/>
        </w:rPr>
        <w:footnoteReference w:id="10"/>
      </w:r>
      <w:r w:rsidR="00426604" w:rsidRPr="00426604">
        <w:t xml:space="preserve"> </w:t>
      </w:r>
      <w:r w:rsidR="00426604" w:rsidRPr="2559862A">
        <w:t xml:space="preserve">we can infer that the inscription was </w:t>
      </w:r>
      <w:r w:rsidR="00FB11F9" w:rsidRPr="2559862A">
        <w:t xml:space="preserve">probably </w:t>
      </w:r>
      <w:r w:rsidR="00426604" w:rsidRPr="2559862A">
        <w:t xml:space="preserve">written in Middle Egyptian, </w:t>
      </w:r>
      <w:r w:rsidR="00FB11F9" w:rsidRPr="2559862A">
        <w:t>as it</w:t>
      </w:r>
      <w:r w:rsidR="00426604" w:rsidRPr="2559862A">
        <w:t xml:space="preserve"> was the writing system used during the Egyptian MK and New Kingdom</w:t>
      </w:r>
      <w:r w:rsidR="001F4F86">
        <w:t>.</w:t>
      </w:r>
      <w:r w:rsidR="001415D3" w:rsidRPr="2559862A">
        <w:rPr>
          <w:rStyle w:val="FootnoteReference"/>
        </w:rPr>
        <w:footnoteReference w:id="11"/>
      </w:r>
      <w:r w:rsidR="000F2FCE" w:rsidRPr="2559862A">
        <w:t xml:space="preserve"> </w:t>
      </w:r>
      <w:r w:rsidR="00426604" w:rsidRPr="2559862A">
        <w:t>Also, when analysing the Funerary Cone of Mermose, there is an apparent similarity with the inscription on the cone and that on the statue</w:t>
      </w:r>
      <w:r w:rsidR="001F4F86">
        <w:t>.</w:t>
      </w:r>
      <w:r w:rsidR="000F2FCE" w:rsidRPr="2559862A">
        <w:rPr>
          <w:rStyle w:val="FootnoteReference"/>
        </w:rPr>
        <w:footnoteReference w:id="12"/>
      </w:r>
      <w:r w:rsidR="001F4F86">
        <w:t xml:space="preserve"> </w:t>
      </w:r>
      <w:r w:rsidR="00426604" w:rsidRPr="2559862A">
        <w:t>There is also a glyph that has the appearance of an Ibis bird on the statue</w:t>
      </w:r>
      <w:r w:rsidR="5061B0C7" w:rsidRPr="2559862A">
        <w:t>,</w:t>
      </w:r>
      <w:r w:rsidR="00426604" w:rsidRPr="2559862A">
        <w:t xml:space="preserve"> which may indicate that this statue is dedicated to the god Thoth</w:t>
      </w:r>
      <w:r w:rsidR="001F4F86">
        <w:t>.</w:t>
      </w:r>
      <w:r w:rsidR="000F2FCE" w:rsidRPr="2559862A">
        <w:rPr>
          <w:rStyle w:val="FootnoteReference"/>
        </w:rPr>
        <w:footnoteReference w:id="13"/>
      </w:r>
      <w:r w:rsidR="001F4F86">
        <w:t xml:space="preserve"> </w:t>
      </w:r>
      <w:r w:rsidR="00BC2871" w:rsidRPr="2559862A">
        <w:t>Hence</w:t>
      </w:r>
      <w:r w:rsidR="00E66808" w:rsidRPr="2559862A">
        <w:t>,</w:t>
      </w:r>
      <w:r w:rsidR="006B768C" w:rsidRPr="2559862A">
        <w:t xml:space="preserve"> </w:t>
      </w:r>
      <w:r w:rsidR="00E66808" w:rsidRPr="2559862A">
        <w:t xml:space="preserve">the most likely translation of the glyphs </w:t>
      </w:r>
      <w:r w:rsidR="006B768C" w:rsidRPr="2559862A">
        <w:t xml:space="preserve">from the evidence </w:t>
      </w:r>
      <w:r w:rsidR="00E66808" w:rsidRPr="2559862A">
        <w:t>is ‘ỉmꜣḫr ḏḥwty’ (</w:t>
      </w:r>
      <w:r w:rsidR="00E66808">
        <w:rPr>
          <w:rFonts w:ascii="Times" w:hAnsi="Times"/>
          <w:noProof/>
        </w:rPr>
        <w:drawing>
          <wp:inline distT="0" distB="0" distL="0" distR="0" wp14:anchorId="43E2E2CD" wp14:editId="7223A2F1">
            <wp:extent cx="457200" cy="165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00" cy="165100"/>
                    </a:xfrm>
                    <a:prstGeom prst="rect">
                      <a:avLst/>
                    </a:prstGeom>
                    <a:noFill/>
                    <a:ln>
                      <a:noFill/>
                    </a:ln>
                  </pic:spPr>
                </pic:pic>
              </a:graphicData>
            </a:graphic>
          </wp:inline>
        </w:drawing>
      </w:r>
      <w:r w:rsidR="00E66808" w:rsidRPr="2559862A">
        <w:t xml:space="preserve">): ‘revered one before Thoth’. </w:t>
      </w:r>
      <w:r w:rsidR="00426604" w:rsidRPr="2559862A">
        <w:t>This dedication to Thoth could potentially imply that the statue’s owner was possibly a scribe, as Thoth was the God of hieroglyphs and writing</w:t>
      </w:r>
      <w:r w:rsidR="001F4F86">
        <w:t>,</w:t>
      </w:r>
      <w:r w:rsidR="00FB11F9" w:rsidRPr="2559862A">
        <w:rPr>
          <w:rStyle w:val="FootnoteReference"/>
        </w:rPr>
        <w:footnoteReference w:id="14"/>
      </w:r>
      <w:r w:rsidR="001F4F86">
        <w:t xml:space="preserve"> </w:t>
      </w:r>
      <w:r w:rsidR="00426604" w:rsidRPr="2559862A">
        <w:t>suggesting that the person wanted to dedicate the statue to the god that had properties of his occupation.</w:t>
      </w:r>
    </w:p>
    <w:p w14:paraId="362F2C20" w14:textId="5F3BB7C6" w:rsidR="00FB11F9" w:rsidRDefault="00FB11F9" w:rsidP="00D33CAC">
      <w:pPr>
        <w:rPr>
          <w:rFonts w:cstheme="minorHAnsi"/>
          <w:bCs/>
        </w:rPr>
      </w:pPr>
    </w:p>
    <w:p w14:paraId="0422B90C" w14:textId="1E1BC65D" w:rsidR="00736E90" w:rsidRDefault="00322714" w:rsidP="2559862A">
      <w:r w:rsidRPr="2559862A">
        <w:t>S</w:t>
      </w:r>
      <w:r w:rsidR="007C08CE" w:rsidRPr="2559862A">
        <w:t>tanding/s</w:t>
      </w:r>
      <w:r w:rsidRPr="2559862A">
        <w:t>eated s</w:t>
      </w:r>
      <w:r w:rsidR="00D33CAC" w:rsidRPr="2559862A">
        <w:t>tatues</w:t>
      </w:r>
      <w:r w:rsidRPr="2559862A">
        <w:t xml:space="preserve"> </w:t>
      </w:r>
      <w:r w:rsidR="00FE403B" w:rsidRPr="2559862A">
        <w:t xml:space="preserve">have an interesting place within </w:t>
      </w:r>
      <w:r w:rsidRPr="2559862A">
        <w:t>the Egyptian funerary sphere</w:t>
      </w:r>
      <w:r w:rsidR="00FE403B" w:rsidRPr="2559862A">
        <w:t xml:space="preserve"> as the</w:t>
      </w:r>
      <w:r w:rsidR="006F3029" w:rsidRPr="2559862A">
        <w:t xml:space="preserve">y have been </w:t>
      </w:r>
      <w:r w:rsidR="00E12D87" w:rsidRPr="2559862A">
        <w:t>u</w:t>
      </w:r>
      <w:r w:rsidR="006F3029" w:rsidRPr="2559862A">
        <w:t xml:space="preserve">sed within a number of different ways and in different locations. </w:t>
      </w:r>
      <w:r w:rsidR="00FE403B" w:rsidRPr="2559862A">
        <w:t>This particular statue (CCM 118 936)</w:t>
      </w:r>
      <w:r w:rsidR="006F3029" w:rsidRPr="2559862A">
        <w:t xml:space="preserve"> is likely to have been used within</w:t>
      </w:r>
      <w:r w:rsidR="00E12D87" w:rsidRPr="2559862A">
        <w:t xml:space="preserve"> an</w:t>
      </w:r>
      <w:r w:rsidR="006F3029" w:rsidRPr="2559862A">
        <w:t xml:space="preserve"> ancestor cult, as similar statues</w:t>
      </w:r>
      <w:r w:rsidR="218D9139" w:rsidRPr="2559862A">
        <w:t>,</w:t>
      </w:r>
      <w:r w:rsidR="006F3029" w:rsidRPr="2559862A">
        <w:t xml:space="preserve"> </w:t>
      </w:r>
      <w:r w:rsidR="00A055B0" w:rsidRPr="2559862A">
        <w:t xml:space="preserve">like the </w:t>
      </w:r>
      <w:r w:rsidR="00E12D87" w:rsidRPr="2559862A">
        <w:t xml:space="preserve">seated scribe from </w:t>
      </w:r>
      <w:r w:rsidR="00A055B0" w:rsidRPr="2559862A">
        <w:t xml:space="preserve">Tell </w:t>
      </w:r>
      <w:r w:rsidR="00E12D87" w:rsidRPr="2559862A">
        <w:t>Edfu</w:t>
      </w:r>
      <w:r w:rsidR="17C9ED2D" w:rsidRPr="2559862A">
        <w:t>,</w:t>
      </w:r>
      <w:r w:rsidR="00A055B0" w:rsidRPr="2559862A">
        <w:t xml:space="preserve"> w</w:t>
      </w:r>
      <w:r w:rsidR="000D66C0" w:rsidRPr="2559862A">
        <w:t>ere</w:t>
      </w:r>
      <w:r w:rsidR="00A055B0" w:rsidRPr="2559862A">
        <w:t xml:space="preserve"> discovered within </w:t>
      </w:r>
      <w:r w:rsidR="00F94FEF" w:rsidRPr="2559862A">
        <w:t xml:space="preserve">what appeared to be private household </w:t>
      </w:r>
      <w:r w:rsidR="00A055B0" w:rsidRPr="2559862A">
        <w:t>shrine</w:t>
      </w:r>
      <w:r w:rsidR="000D66C0" w:rsidRPr="2559862A">
        <w:t>s</w:t>
      </w:r>
      <w:r w:rsidR="00A055B0" w:rsidRPr="2559862A">
        <w:t xml:space="preserve"> dedicated to the recently deceased</w:t>
      </w:r>
      <w:r w:rsidR="001F4F86">
        <w:t>.</w:t>
      </w:r>
      <w:r w:rsidR="00A055B0" w:rsidRPr="2559862A">
        <w:rPr>
          <w:rStyle w:val="FootnoteReference"/>
        </w:rPr>
        <w:footnoteReference w:id="15"/>
      </w:r>
      <w:r w:rsidR="001F4F86">
        <w:t xml:space="preserve"> </w:t>
      </w:r>
      <w:r w:rsidR="000D66C0" w:rsidRPr="2559862A">
        <w:t>Ancestor cult statues were dedicated stylised representations of the recently deceased person they depicted and were used to give offerings to the deceased person</w:t>
      </w:r>
      <w:r w:rsidR="001F4F86">
        <w:t>.</w:t>
      </w:r>
      <w:r w:rsidR="000D66C0" w:rsidRPr="2559862A">
        <w:rPr>
          <w:rStyle w:val="FootnoteReference"/>
        </w:rPr>
        <w:footnoteReference w:id="16"/>
      </w:r>
      <w:r w:rsidR="00E30E36" w:rsidRPr="2559862A">
        <w:t xml:space="preserve"> </w:t>
      </w:r>
      <w:r w:rsidR="00A055B0" w:rsidRPr="2559862A">
        <w:t>If this was an ancestor cult statue, it would have likely been situated in a number of places, such as a shrine within a private residence along with other ancestor busts</w:t>
      </w:r>
      <w:r w:rsidR="00A055B0" w:rsidRPr="2559862A">
        <w:rPr>
          <w:rStyle w:val="FootnoteReference"/>
        </w:rPr>
        <w:footnoteReference w:id="17"/>
      </w:r>
      <w:r w:rsidR="00A055B0" w:rsidRPr="2559862A">
        <w:t xml:space="preserve"> like the example from Tell Edfu</w:t>
      </w:r>
      <w:r w:rsidR="51417F41" w:rsidRPr="2559862A">
        <w:t>,</w:t>
      </w:r>
      <w:r w:rsidR="00A055B0" w:rsidRPr="2559862A">
        <w:rPr>
          <w:rStyle w:val="FootnoteReference"/>
        </w:rPr>
        <w:footnoteReference w:id="18"/>
      </w:r>
      <w:r w:rsidR="001F4F86">
        <w:t xml:space="preserve"> </w:t>
      </w:r>
      <w:r w:rsidR="00A055B0" w:rsidRPr="2559862A">
        <w:t xml:space="preserve">or at a temple complex, which were known to have collected statues </w:t>
      </w:r>
      <w:r w:rsidR="000D66C0" w:rsidRPr="2559862A">
        <w:t xml:space="preserve">of </w:t>
      </w:r>
      <w:r w:rsidR="00A055B0" w:rsidRPr="2559862A">
        <w:t>the recently deceased</w:t>
      </w:r>
      <w:r w:rsidR="001F4F86">
        <w:t>.</w:t>
      </w:r>
      <w:r w:rsidR="00A055B0" w:rsidRPr="2559862A">
        <w:rPr>
          <w:rStyle w:val="FootnoteReference"/>
        </w:rPr>
        <w:footnoteReference w:id="19"/>
      </w:r>
      <w:r w:rsidR="000D66C0" w:rsidRPr="2559862A">
        <w:t xml:space="preserve"> </w:t>
      </w:r>
    </w:p>
    <w:p w14:paraId="0658C918" w14:textId="590D57AD" w:rsidR="00322714" w:rsidRDefault="00736E90" w:rsidP="2559862A">
      <w:r w:rsidRPr="2559862A">
        <w:t>If it was situated in a temple, then it may have been kept in Hermopolis (Khmunu). Due to the appearance of the Ibis hieroglyph and its possible connection to Thoth</w:t>
      </w:r>
      <w:r w:rsidR="00935C6B" w:rsidRPr="2559862A">
        <w:t>,</w:t>
      </w:r>
      <w:r w:rsidRPr="2559862A">
        <w:t xml:space="preserve"> it could </w:t>
      </w:r>
      <w:r w:rsidR="1801FC8E" w:rsidRPr="2559862A">
        <w:t xml:space="preserve">then </w:t>
      </w:r>
      <w:r w:rsidRPr="2559862A">
        <w:t xml:space="preserve">be implied that the statue was kept </w:t>
      </w:r>
      <w:r w:rsidR="00935C6B" w:rsidRPr="2559862A">
        <w:t xml:space="preserve">in a temple </w:t>
      </w:r>
      <w:r w:rsidRPr="2559862A">
        <w:t xml:space="preserve">where his cult was most </w:t>
      </w:r>
      <w:r w:rsidR="00935C6B" w:rsidRPr="2559862A">
        <w:t>prominent, which was at Hermopolis</w:t>
      </w:r>
      <w:r w:rsidR="001F4F86">
        <w:t>,</w:t>
      </w:r>
      <w:r w:rsidR="00935C6B" w:rsidRPr="2559862A">
        <w:rPr>
          <w:rStyle w:val="FootnoteReference"/>
        </w:rPr>
        <w:footnoteReference w:id="20"/>
      </w:r>
      <w:r w:rsidR="00935C6B" w:rsidRPr="2559862A">
        <w:t xml:space="preserve"> similar to what happened in Abydos to statues dedicated to </w:t>
      </w:r>
      <w:r w:rsidRPr="2559862A">
        <w:t>Osiris</w:t>
      </w:r>
      <w:r w:rsidR="001F4F86">
        <w:t>.</w:t>
      </w:r>
      <w:r w:rsidRPr="2559862A">
        <w:rPr>
          <w:rStyle w:val="FootnoteReference"/>
        </w:rPr>
        <w:footnoteReference w:id="21"/>
      </w:r>
      <w:r w:rsidR="00DC63D7" w:rsidRPr="2559862A">
        <w:t xml:space="preserve"> </w:t>
      </w:r>
      <w:r w:rsidR="000D66C0" w:rsidRPr="2559862A">
        <w:t>However, it is also plausible for the statue to have been placed within an ancestral tomb</w:t>
      </w:r>
      <w:r w:rsidR="00935C6B" w:rsidRPr="2559862A">
        <w:t xml:space="preserve">. It would have </w:t>
      </w:r>
      <w:r w:rsidR="000D66C0" w:rsidRPr="2559862A">
        <w:t>be</w:t>
      </w:r>
      <w:r w:rsidR="00935C6B" w:rsidRPr="2559862A">
        <w:t>en</w:t>
      </w:r>
      <w:r w:rsidR="000D66C0" w:rsidRPr="2559862A">
        <w:t xml:space="preserve"> situated outside the physical tomb</w:t>
      </w:r>
      <w:r w:rsidR="00935C6B" w:rsidRPr="2559862A">
        <w:t xml:space="preserve"> and placed alongside </w:t>
      </w:r>
      <w:r w:rsidR="000D66C0" w:rsidRPr="2559862A">
        <w:t>the false door</w:t>
      </w:r>
      <w:r w:rsidR="00935C6B" w:rsidRPr="2559862A">
        <w:t xml:space="preserve"> and offering tables, which can be seen in the </w:t>
      </w:r>
      <w:r w:rsidR="001B0916" w:rsidRPr="001B0916">
        <w:t>Tomb of Qar</w:t>
      </w:r>
      <w:r w:rsidR="001B0916">
        <w:t xml:space="preserve">- </w:t>
      </w:r>
      <w:r w:rsidR="001B0916" w:rsidRPr="001B0916">
        <w:t>G7101</w:t>
      </w:r>
      <w:r w:rsidR="001D3F32">
        <w:t>.</w:t>
      </w:r>
      <w:r w:rsidR="001D3F32">
        <w:rPr>
          <w:rStyle w:val="FootnoteReference"/>
        </w:rPr>
        <w:footnoteReference w:id="22"/>
      </w:r>
      <w:r w:rsidR="00DC63D7" w:rsidRPr="2559862A">
        <w:t xml:space="preserve"> </w:t>
      </w:r>
      <w:r w:rsidR="000D66C0" w:rsidRPr="2559862A">
        <w:t xml:space="preserve">Despite this, </w:t>
      </w:r>
      <w:r w:rsidR="00322714" w:rsidRPr="2559862A">
        <w:t>there are very few examples of ancestor cult statues</w:t>
      </w:r>
      <w:r w:rsidR="000D66C0" w:rsidRPr="2559862A">
        <w:t xml:space="preserve"> from the Middle Kingdom,</w:t>
      </w:r>
      <w:r w:rsidR="00322714" w:rsidRPr="2559862A">
        <w:t xml:space="preserve"> with most of the evidence</w:t>
      </w:r>
      <w:r w:rsidR="000D66C0" w:rsidRPr="2559862A">
        <w:t xml:space="preserve"> dating </w:t>
      </w:r>
      <w:r w:rsidR="00322714" w:rsidRPr="2559862A">
        <w:t xml:space="preserve">from the </w:t>
      </w:r>
      <w:r w:rsidR="000D66C0" w:rsidRPr="2559862A">
        <w:t>early N</w:t>
      </w:r>
      <w:r w:rsidR="00322714" w:rsidRPr="2559862A">
        <w:t xml:space="preserve">ew </w:t>
      </w:r>
      <w:r w:rsidR="4D66AEC9" w:rsidRPr="2559862A">
        <w:t>K</w:t>
      </w:r>
      <w:r w:rsidR="00322714" w:rsidRPr="2559862A">
        <w:t>ingdom</w:t>
      </w:r>
      <w:r w:rsidR="001F4F86">
        <w:t>.</w:t>
      </w:r>
      <w:r w:rsidR="000F2FCE" w:rsidRPr="2559862A">
        <w:rPr>
          <w:rStyle w:val="FootnoteReference"/>
        </w:rPr>
        <w:footnoteReference w:id="23"/>
      </w:r>
      <w:r w:rsidR="00322714" w:rsidRPr="2559862A">
        <w:t xml:space="preserve"> </w:t>
      </w:r>
      <w:r w:rsidR="000D66C0" w:rsidRPr="2559862A">
        <w:t xml:space="preserve">Therefore, it may not belong to one of these </w:t>
      </w:r>
      <w:r w:rsidR="000D66C0" w:rsidRPr="2559862A">
        <w:lastRenderedPageBreak/>
        <w:t xml:space="preserve">cults, but would have </w:t>
      </w:r>
      <w:r w:rsidR="00DC63D7" w:rsidRPr="2559862A">
        <w:t xml:space="preserve">still </w:t>
      </w:r>
      <w:r w:rsidR="000D66C0" w:rsidRPr="2559862A">
        <w:t>been a representation of a deceased person</w:t>
      </w:r>
      <w:r w:rsidR="005F201C" w:rsidRPr="2559862A">
        <w:rPr>
          <w:rStyle w:val="FootnoteReference"/>
        </w:rPr>
        <w:footnoteReference w:id="24"/>
      </w:r>
      <w:r w:rsidR="00DC63D7" w:rsidRPr="2559862A">
        <w:t xml:space="preserve"> and hence become an accidental funera</w:t>
      </w:r>
      <w:r w:rsidR="39E7CE4C" w:rsidRPr="2559862A">
        <w:t>ry</w:t>
      </w:r>
      <w:r w:rsidR="00DC63D7" w:rsidRPr="2559862A">
        <w:t xml:space="preserve"> item as </w:t>
      </w:r>
      <w:r w:rsidR="00C927AF" w:rsidRPr="2559862A">
        <w:t>the</w:t>
      </w:r>
      <w:r w:rsidR="2BB5B428" w:rsidRPr="2559862A">
        <w:t xml:space="preserve"> individual’s</w:t>
      </w:r>
      <w:r w:rsidR="00DC63D7" w:rsidRPr="2559862A">
        <w:t xml:space="preserve"> legacy continues through the statue’s representation of them</w:t>
      </w:r>
      <w:r w:rsidR="005F201C" w:rsidRPr="2559862A">
        <w:t>.</w:t>
      </w:r>
    </w:p>
    <w:p w14:paraId="5AC7E82A" w14:textId="77777777" w:rsidR="00DC63D7" w:rsidRDefault="00DC63D7" w:rsidP="00D33CAC">
      <w:pPr>
        <w:rPr>
          <w:rFonts w:cstheme="minorHAnsi"/>
          <w:bCs/>
        </w:rPr>
      </w:pPr>
    </w:p>
    <w:p w14:paraId="05513732" w14:textId="73C93160" w:rsidR="00935C6B" w:rsidRPr="00BF4E14" w:rsidRDefault="00935C6B" w:rsidP="2559862A">
      <w:r w:rsidRPr="2559862A">
        <w:t>From this we can gather that at some point during the Middle Kingdom, an official working within the Pharaoh’s court, possibly a scribe</w:t>
      </w:r>
      <w:r w:rsidR="6A452FE1" w:rsidRPr="2559862A">
        <w:t>,</w:t>
      </w:r>
      <w:r w:rsidRPr="2559862A">
        <w:t xml:space="preserve"> was given a slab of red granite as a reward for his service to the Pharaoh</w:t>
      </w:r>
      <w:r w:rsidR="001F4F86">
        <w:t>.</w:t>
      </w:r>
      <w:r w:rsidR="00D82434" w:rsidRPr="2559862A">
        <w:rPr>
          <w:rStyle w:val="FootnoteReference"/>
        </w:rPr>
        <w:footnoteReference w:id="25"/>
      </w:r>
      <w:r w:rsidRPr="2559862A">
        <w:t xml:space="preserve"> The granite w</w:t>
      </w:r>
      <w:r w:rsidR="0DB02344" w:rsidRPr="2559862A">
        <w:t>as</w:t>
      </w:r>
      <w:r w:rsidRPr="2559862A">
        <w:t xml:space="preserve"> likely </w:t>
      </w:r>
      <w:r w:rsidR="052923F9" w:rsidRPr="2559862A">
        <w:t xml:space="preserve">to have </w:t>
      </w:r>
      <w:r w:rsidRPr="2559862A">
        <w:t>been mined in Aswan,</w:t>
      </w:r>
      <w:r w:rsidR="00D82434" w:rsidRPr="2559862A">
        <w:t xml:space="preserve"> </w:t>
      </w:r>
      <w:r w:rsidRPr="2559862A">
        <w:t>taken up the Nile to the royal court and then gifted to the individual</w:t>
      </w:r>
      <w:r w:rsidR="38E461A4" w:rsidRPr="2559862A">
        <w:t>,</w:t>
      </w:r>
      <w:r w:rsidRPr="2559862A">
        <w:t xml:space="preserve"> who </w:t>
      </w:r>
      <w:r w:rsidR="6EF4A5B4" w:rsidRPr="2559862A">
        <w:t xml:space="preserve">may then have </w:t>
      </w:r>
      <w:r w:rsidRPr="2559862A">
        <w:t>taken the slab back to his home province and asked the local craftsmen to make him a statue of him</w:t>
      </w:r>
      <w:r w:rsidR="5496D898" w:rsidRPr="2559862A">
        <w:t>self</w:t>
      </w:r>
      <w:r w:rsidRPr="2559862A">
        <w:t xml:space="preserve"> dedicated to the God Thoth and possibly to the Pharaoh that had gifted </w:t>
      </w:r>
      <w:r w:rsidR="00F66F38" w:rsidRPr="2559862A">
        <w:t>him</w:t>
      </w:r>
      <w:r w:rsidRPr="2559862A">
        <w:t xml:space="preserve"> the granite slab. Sometime later the individual </w:t>
      </w:r>
      <w:r w:rsidR="00D82434" w:rsidRPr="2559862A">
        <w:t>died,</w:t>
      </w:r>
      <w:r w:rsidRPr="2559862A">
        <w:t xml:space="preserve"> and the statue was left within the household sh</w:t>
      </w:r>
      <w:r w:rsidR="1BC004BB" w:rsidRPr="2559862A">
        <w:t>rine</w:t>
      </w:r>
      <w:r w:rsidRPr="2559862A">
        <w:t xml:space="preserve">, put in the ancestorial tomb or was buried at the temple complex </w:t>
      </w:r>
      <w:r w:rsidR="4E2646AF" w:rsidRPr="2559862A">
        <w:t xml:space="preserve">in which it was </w:t>
      </w:r>
      <w:r w:rsidRPr="2559862A">
        <w:t>kept. Then during the early 1900s, M</w:t>
      </w:r>
      <w:r>
        <w:t xml:space="preserve">ajor Harry Hartley Southey came along to either explore or visit the excavations of the </w:t>
      </w:r>
      <w:r w:rsidR="00D82434">
        <w:t>v</w:t>
      </w:r>
      <w:r>
        <w:t>illa</w:t>
      </w:r>
      <w:r w:rsidR="00D82434">
        <w:t>, tom</w:t>
      </w:r>
      <w:r w:rsidR="4B73F2C3">
        <w:t>b</w:t>
      </w:r>
      <w:r w:rsidR="00D82434">
        <w:t xml:space="preserve"> </w:t>
      </w:r>
      <w:r>
        <w:t>or temple and purchased this fragment for his private collection back home in Wales. Southey then died in 1917</w:t>
      </w:r>
      <w:r w:rsidR="00D82434">
        <w:rPr>
          <w:rStyle w:val="FootnoteReference"/>
        </w:rPr>
        <w:footnoteReference w:id="26"/>
      </w:r>
      <w:r>
        <w:t xml:space="preserve"> and his collections then became a part of his local town’s museum in Wales.</w:t>
      </w:r>
    </w:p>
    <w:p w14:paraId="71A905BD" w14:textId="77777777" w:rsidR="00BF4E14" w:rsidRPr="00BF4E14" w:rsidRDefault="00BF4E14" w:rsidP="008C1DB7">
      <w:pPr>
        <w:rPr>
          <w:rFonts w:cstheme="minorHAnsi"/>
          <w:bCs/>
        </w:rPr>
      </w:pPr>
    </w:p>
    <w:p w14:paraId="524F04E7" w14:textId="77777777" w:rsidR="001F4F86" w:rsidRPr="008C1DB7" w:rsidRDefault="001F4F86" w:rsidP="001F4F86">
      <w:pPr>
        <w:rPr>
          <w:rFonts w:cstheme="minorHAnsi"/>
        </w:rPr>
      </w:pPr>
      <w:r w:rsidRPr="008C1DB7">
        <w:rPr>
          <w:rFonts w:cstheme="minorHAnsi"/>
          <w:b/>
          <w:u w:val="single"/>
        </w:rPr>
        <w:t>Bibliography</w:t>
      </w:r>
    </w:p>
    <w:p w14:paraId="3C7BE05E" w14:textId="77777777" w:rsidR="001F4F86" w:rsidRDefault="001F4F86" w:rsidP="001F4F86">
      <w:pPr>
        <w:rPr>
          <w:rFonts w:cstheme="minorHAnsi"/>
        </w:rPr>
      </w:pPr>
      <w:r>
        <w:rPr>
          <w:rFonts w:cstheme="minorHAnsi"/>
        </w:rPr>
        <w:t xml:space="preserve">Aston B., Harrel J. &amp; Shaw I. (2000), ‘Stone’, in Nicolson P. (ed) &amp; Shaw I. (ed) </w:t>
      </w:r>
      <w:r w:rsidRPr="00AF2E84">
        <w:rPr>
          <w:rFonts w:cstheme="minorHAnsi"/>
          <w:i/>
          <w:iCs/>
        </w:rPr>
        <w:t>Ancient Egyptian Materials and Technology</w:t>
      </w:r>
      <w:r>
        <w:rPr>
          <w:rFonts w:cstheme="minorHAnsi"/>
        </w:rPr>
        <w:t>, Cambridge, Cambridge University Press</w:t>
      </w:r>
    </w:p>
    <w:p w14:paraId="485EC7A5" w14:textId="77777777" w:rsidR="001F4F86" w:rsidRPr="00661C4E" w:rsidRDefault="001F4F86" w:rsidP="001F4F86">
      <w:pPr>
        <w:rPr>
          <w:rFonts w:cstheme="minorHAnsi"/>
        </w:rPr>
      </w:pPr>
    </w:p>
    <w:p w14:paraId="771DD5DC" w14:textId="77777777" w:rsidR="001F4F86" w:rsidRPr="00661C4E" w:rsidRDefault="001F4F86" w:rsidP="001F4F86">
      <w:pPr>
        <w:rPr>
          <w:rFonts w:cstheme="minorHAnsi"/>
        </w:rPr>
      </w:pPr>
      <w:r w:rsidRPr="00661C4E">
        <w:rPr>
          <w:rFonts w:cstheme="minorHAnsi"/>
        </w:rPr>
        <w:t xml:space="preserve">Connor S., Tavier H. and Putter T. D (2015), ‘‘Put the Statues in the Oven’ Preliminary results of research on Steatite sculpture from the Late Middle Kingdom’, </w:t>
      </w:r>
      <w:r w:rsidRPr="00630B86">
        <w:rPr>
          <w:rFonts w:cstheme="minorHAnsi"/>
          <w:i/>
          <w:iCs/>
        </w:rPr>
        <w:t>The Journal of Egyptian Archaeology</w:t>
      </w:r>
      <w:r w:rsidRPr="00661C4E">
        <w:rPr>
          <w:rFonts w:cstheme="minorHAnsi"/>
        </w:rPr>
        <w:t xml:space="preserve">, Vol. 101, pp. 297-311, sage ltd, Available at: </w:t>
      </w:r>
      <w:hyperlink r:id="rId16" w:history="1">
        <w:r w:rsidRPr="00FB083B">
          <w:rPr>
            <w:rStyle w:val="Hyperlink"/>
            <w:rFonts w:cstheme="minorHAnsi"/>
          </w:rPr>
          <w:t>https://www.jstor.org/stable/26379049</w:t>
        </w:r>
      </w:hyperlink>
      <w:r>
        <w:rPr>
          <w:rFonts w:cstheme="minorHAnsi"/>
        </w:rPr>
        <w:t xml:space="preserve"> </w:t>
      </w:r>
      <w:r w:rsidRPr="00661C4E">
        <w:rPr>
          <w:rFonts w:cstheme="minorHAnsi"/>
        </w:rPr>
        <w:t>(Accessed: 26th January 2021)</w:t>
      </w:r>
    </w:p>
    <w:p w14:paraId="4EA25FB8" w14:textId="77777777" w:rsidR="001F4F86" w:rsidRPr="00661C4E" w:rsidRDefault="001F4F86" w:rsidP="001F4F86">
      <w:pPr>
        <w:rPr>
          <w:rFonts w:cstheme="minorHAnsi"/>
        </w:rPr>
      </w:pPr>
    </w:p>
    <w:p w14:paraId="463EE6FE" w14:textId="77777777" w:rsidR="001F4F86" w:rsidRPr="00661C4E" w:rsidRDefault="001F4F86" w:rsidP="001F4F86">
      <w:pPr>
        <w:rPr>
          <w:rFonts w:cstheme="minorHAnsi"/>
        </w:rPr>
      </w:pPr>
      <w:r w:rsidRPr="00661C4E">
        <w:rPr>
          <w:rFonts w:cstheme="minorHAnsi"/>
        </w:rPr>
        <w:t>Gardiner A.H. (1957), ‘</w:t>
      </w:r>
      <w:r w:rsidRPr="0093420D">
        <w:rPr>
          <w:rFonts w:cstheme="minorHAnsi"/>
          <w:i/>
          <w:iCs/>
        </w:rPr>
        <w:t>Egyptian Grammar: Being an Introduction to the Study of Hieroglyphs’</w:t>
      </w:r>
      <w:r w:rsidRPr="00661C4E">
        <w:rPr>
          <w:rFonts w:cstheme="minorHAnsi"/>
        </w:rPr>
        <w:t>, 3rd Ed (1st edition 1927</w:t>
      </w:r>
      <w:r>
        <w:rPr>
          <w:rFonts w:cstheme="minorHAnsi"/>
        </w:rPr>
        <w:t>)</w:t>
      </w:r>
      <w:r w:rsidRPr="00661C4E">
        <w:rPr>
          <w:rFonts w:cstheme="minorHAnsi"/>
        </w:rPr>
        <w:t>, Oxford, Griffith Institute, pp. 438–548</w:t>
      </w:r>
    </w:p>
    <w:p w14:paraId="76306D3F" w14:textId="77777777" w:rsidR="001F4F86" w:rsidRDefault="001F4F86" w:rsidP="001F4F86">
      <w:pPr>
        <w:rPr>
          <w:rFonts w:cstheme="minorHAnsi"/>
        </w:rPr>
      </w:pPr>
    </w:p>
    <w:p w14:paraId="3ADBF4F6" w14:textId="77777777" w:rsidR="001F4F86" w:rsidRDefault="001F4F86" w:rsidP="001F4F86">
      <w:pPr>
        <w:rPr>
          <w:rFonts w:cstheme="minorHAnsi"/>
        </w:rPr>
      </w:pPr>
      <w:r w:rsidRPr="001B7642">
        <w:rPr>
          <w:rFonts w:cstheme="minorHAnsi"/>
        </w:rPr>
        <w:t>Granodiorite statue of a cloaked man</w:t>
      </w:r>
      <w:r>
        <w:rPr>
          <w:rFonts w:cstheme="minorHAnsi"/>
        </w:rPr>
        <w:t xml:space="preserve"> </w:t>
      </w:r>
      <w:r>
        <w:rPr>
          <w:rFonts w:cstheme="minorHAnsi"/>
          <w:bCs/>
        </w:rPr>
        <w:t>(</w:t>
      </w:r>
      <w:r w:rsidRPr="000D0831">
        <w:rPr>
          <w:rFonts w:cstheme="minorHAnsi"/>
          <w:bCs/>
        </w:rPr>
        <w:t>EA1237</w:t>
      </w:r>
      <w:r>
        <w:rPr>
          <w:rFonts w:cstheme="minorHAnsi"/>
          <w:bCs/>
        </w:rPr>
        <w:t xml:space="preserve">), British Museum, Available at: </w:t>
      </w:r>
      <w:hyperlink r:id="rId17" w:history="1">
        <w:r w:rsidRPr="00FB083B">
          <w:rPr>
            <w:rStyle w:val="Hyperlink"/>
            <w:rFonts w:cstheme="minorHAnsi"/>
            <w:bCs/>
          </w:rPr>
          <w:t>https://www.britishmuseum.org/collection/object/Y_EA1237</w:t>
        </w:r>
      </w:hyperlink>
      <w:r>
        <w:rPr>
          <w:rFonts w:cstheme="minorHAnsi"/>
          <w:bCs/>
        </w:rPr>
        <w:t xml:space="preserve"> (Accessed 2nd February 2021)</w:t>
      </w:r>
    </w:p>
    <w:p w14:paraId="23514A93" w14:textId="77777777" w:rsidR="001F4F86" w:rsidRPr="00661C4E" w:rsidRDefault="001F4F86" w:rsidP="001F4F86">
      <w:pPr>
        <w:rPr>
          <w:rFonts w:cstheme="minorHAnsi"/>
        </w:rPr>
      </w:pPr>
    </w:p>
    <w:p w14:paraId="00A6AEA4" w14:textId="77777777" w:rsidR="001F4F86" w:rsidRPr="00661C4E" w:rsidRDefault="001F4F86" w:rsidP="001F4F86">
      <w:pPr>
        <w:rPr>
          <w:rFonts w:cstheme="minorHAnsi"/>
        </w:rPr>
      </w:pPr>
      <w:r w:rsidRPr="00661C4E">
        <w:rPr>
          <w:rFonts w:cstheme="minorHAnsi"/>
        </w:rPr>
        <w:t xml:space="preserve">Hernández R. A. D (2017). ‘The Egyptian Temple as a Place to House Collections (from the Old Kingdom to the Late Period)’, </w:t>
      </w:r>
      <w:r w:rsidRPr="0093420D">
        <w:rPr>
          <w:rFonts w:cstheme="minorHAnsi"/>
          <w:i/>
          <w:iCs/>
        </w:rPr>
        <w:t>The Journal of Egyptian Archaeology</w:t>
      </w:r>
      <w:r w:rsidRPr="00661C4E">
        <w:rPr>
          <w:rFonts w:cstheme="minorHAnsi"/>
        </w:rPr>
        <w:t xml:space="preserve">, June Vol. 103, No. 1, pp. 3-11, Sage Publications, Ltd., Available at: </w:t>
      </w:r>
      <w:hyperlink r:id="rId18" w:history="1">
        <w:r w:rsidRPr="00FB083B">
          <w:rPr>
            <w:rStyle w:val="Hyperlink"/>
            <w:rFonts w:cstheme="minorHAnsi"/>
          </w:rPr>
          <w:t>https://www.jstor.org/stable/10.2307/26948548</w:t>
        </w:r>
      </w:hyperlink>
      <w:r>
        <w:rPr>
          <w:rFonts w:cstheme="minorHAnsi"/>
        </w:rPr>
        <w:t xml:space="preserve"> </w:t>
      </w:r>
      <w:r w:rsidRPr="00661C4E">
        <w:rPr>
          <w:rFonts w:cstheme="minorHAnsi"/>
        </w:rPr>
        <w:t>(Accessed 26th January 2021)</w:t>
      </w:r>
    </w:p>
    <w:p w14:paraId="158676C3" w14:textId="77777777" w:rsidR="001F4F86" w:rsidRPr="00661C4E" w:rsidRDefault="001F4F86" w:rsidP="001F4F86">
      <w:pPr>
        <w:rPr>
          <w:rFonts w:cstheme="minorHAnsi"/>
        </w:rPr>
      </w:pPr>
    </w:p>
    <w:p w14:paraId="6286DE9F" w14:textId="77777777" w:rsidR="001F4F86" w:rsidRPr="00661C4E" w:rsidRDefault="001F4F86" w:rsidP="001F4F86">
      <w:pPr>
        <w:rPr>
          <w:rFonts w:cstheme="minorHAnsi"/>
        </w:rPr>
      </w:pPr>
      <w:r w:rsidRPr="00661C4E">
        <w:rPr>
          <w:rFonts w:cstheme="minorHAnsi"/>
        </w:rPr>
        <w:t xml:space="preserve">Iskander J.M (2011), ‘The Haker Feast and the Transformation’, </w:t>
      </w:r>
      <w:r w:rsidRPr="0093420D">
        <w:rPr>
          <w:rFonts w:cstheme="minorHAnsi"/>
          <w:i/>
          <w:iCs/>
        </w:rPr>
        <w:t>Studien zur Altägyptischen Kultur</w:t>
      </w:r>
      <w:r w:rsidRPr="00661C4E">
        <w:rPr>
          <w:rFonts w:cstheme="minorHAnsi"/>
        </w:rPr>
        <w:t xml:space="preserve">, Bd. 40, pp. 137-142, Helmut Buske Verlag GmbH, Available at: </w:t>
      </w:r>
      <w:hyperlink r:id="rId19" w:history="1">
        <w:r w:rsidRPr="00FB083B">
          <w:rPr>
            <w:rStyle w:val="Hyperlink"/>
            <w:rFonts w:cstheme="minorHAnsi"/>
          </w:rPr>
          <w:t>https://www.jstor.org/stable/41812312</w:t>
        </w:r>
      </w:hyperlink>
      <w:r>
        <w:rPr>
          <w:rFonts w:cstheme="minorHAnsi"/>
        </w:rPr>
        <w:t xml:space="preserve"> </w:t>
      </w:r>
      <w:r w:rsidRPr="00661C4E">
        <w:rPr>
          <w:rFonts w:cstheme="minorHAnsi"/>
        </w:rPr>
        <w:t>(Accessed 26th January 2021)</w:t>
      </w:r>
    </w:p>
    <w:p w14:paraId="6B175F8D" w14:textId="77777777" w:rsidR="001F4F86" w:rsidRPr="00661C4E" w:rsidRDefault="001F4F86" w:rsidP="001F4F86">
      <w:pPr>
        <w:rPr>
          <w:rFonts w:cstheme="minorHAnsi"/>
        </w:rPr>
      </w:pPr>
    </w:p>
    <w:p w14:paraId="7AB98806" w14:textId="77777777" w:rsidR="001F4F86" w:rsidRPr="00661C4E" w:rsidRDefault="001F4F86" w:rsidP="001F4F86">
      <w:pPr>
        <w:rPr>
          <w:rFonts w:cstheme="minorHAnsi"/>
        </w:rPr>
      </w:pPr>
      <w:r w:rsidRPr="00661C4E">
        <w:rPr>
          <w:rFonts w:cstheme="minorHAnsi"/>
        </w:rPr>
        <w:t xml:space="preserve">Karen E. (2008), ‘Ancestor Bust’, </w:t>
      </w:r>
      <w:r w:rsidRPr="0093420D">
        <w:rPr>
          <w:rFonts w:cstheme="minorHAnsi"/>
          <w:i/>
          <w:iCs/>
        </w:rPr>
        <w:t>UCLA Encyclopaedia of Egyptology</w:t>
      </w:r>
      <w:r w:rsidRPr="00661C4E">
        <w:rPr>
          <w:rFonts w:cstheme="minorHAnsi"/>
        </w:rPr>
        <w:t xml:space="preserve">, 1(1), 18th March, Los Angeles, Available at: </w:t>
      </w:r>
      <w:hyperlink r:id="rId20" w:history="1">
        <w:r w:rsidRPr="00FB083B">
          <w:rPr>
            <w:rStyle w:val="Hyperlink"/>
            <w:rFonts w:cstheme="minorHAnsi"/>
          </w:rPr>
          <w:t>https://escholarship.org/uc/item/59k7832w</w:t>
        </w:r>
      </w:hyperlink>
      <w:r>
        <w:rPr>
          <w:rFonts w:cstheme="minorHAnsi"/>
        </w:rPr>
        <w:t xml:space="preserve"> </w:t>
      </w:r>
      <w:r w:rsidRPr="00661C4E">
        <w:rPr>
          <w:rFonts w:cstheme="minorHAnsi"/>
        </w:rPr>
        <w:t>(Accessed 12th January 2021)</w:t>
      </w:r>
    </w:p>
    <w:p w14:paraId="3AA44C49" w14:textId="77777777" w:rsidR="001F4F86" w:rsidRPr="00661C4E" w:rsidRDefault="001F4F86" w:rsidP="001F4F86">
      <w:pPr>
        <w:rPr>
          <w:rFonts w:cstheme="minorHAnsi"/>
        </w:rPr>
      </w:pPr>
    </w:p>
    <w:p w14:paraId="4C0F5AF8" w14:textId="77777777" w:rsidR="001F4F86" w:rsidRPr="00661C4E" w:rsidRDefault="001F4F86" w:rsidP="001F4F86">
      <w:pPr>
        <w:rPr>
          <w:rFonts w:cstheme="minorHAnsi"/>
        </w:rPr>
      </w:pPr>
      <w:r w:rsidRPr="00661C4E">
        <w:rPr>
          <w:rFonts w:cstheme="minorHAnsi"/>
        </w:rPr>
        <w:t xml:space="preserve">Lerner L. (2019), ‘Ancient urban villa with shrine for ancestor worship discovered in Egypt’, </w:t>
      </w:r>
      <w:r w:rsidRPr="0093420D">
        <w:rPr>
          <w:rFonts w:cstheme="minorHAnsi"/>
          <w:i/>
          <w:iCs/>
        </w:rPr>
        <w:t>UChicago News</w:t>
      </w:r>
      <w:r w:rsidRPr="00661C4E">
        <w:rPr>
          <w:rFonts w:cstheme="minorHAnsi"/>
        </w:rPr>
        <w:t xml:space="preserve">, 4th January, Available at: </w:t>
      </w:r>
      <w:hyperlink r:id="rId21" w:history="1">
        <w:r w:rsidRPr="00FB083B">
          <w:rPr>
            <w:rStyle w:val="Hyperlink"/>
            <w:rFonts w:cstheme="minorHAnsi"/>
          </w:rPr>
          <w:t>https://news.uchicago.edu/story/ancient-urban-villa-shrine-ancestor-worship-discovered-egypt</w:t>
        </w:r>
      </w:hyperlink>
      <w:r>
        <w:rPr>
          <w:rFonts w:cstheme="minorHAnsi"/>
        </w:rPr>
        <w:t xml:space="preserve"> </w:t>
      </w:r>
    </w:p>
    <w:p w14:paraId="0421BCC1" w14:textId="77777777" w:rsidR="001F4F86" w:rsidRPr="00661C4E" w:rsidRDefault="001F4F86" w:rsidP="001F4F86">
      <w:pPr>
        <w:rPr>
          <w:rFonts w:cstheme="minorHAnsi"/>
        </w:rPr>
      </w:pPr>
    </w:p>
    <w:p w14:paraId="1D52F7BB" w14:textId="77777777" w:rsidR="001F4F86" w:rsidRPr="00661C4E" w:rsidRDefault="001F4F86" w:rsidP="001F4F86">
      <w:pPr>
        <w:rPr>
          <w:rFonts w:cstheme="minorHAnsi"/>
        </w:rPr>
      </w:pPr>
      <w:r w:rsidRPr="00661C4E">
        <w:rPr>
          <w:rFonts w:cstheme="minorHAnsi"/>
        </w:rPr>
        <w:t xml:space="preserve">Manley B. (2012), </w:t>
      </w:r>
      <w:r w:rsidRPr="0093420D">
        <w:rPr>
          <w:rFonts w:cstheme="minorHAnsi"/>
          <w:i/>
          <w:iCs/>
        </w:rPr>
        <w:t>‘Egyptian hieroglyphs for complete beginners: the revolutionary new approach to reading the monuments’</w:t>
      </w:r>
      <w:r w:rsidRPr="00661C4E">
        <w:rPr>
          <w:rFonts w:cstheme="minorHAnsi"/>
        </w:rPr>
        <w:t>, London, Thames &amp; Hudson</w:t>
      </w:r>
    </w:p>
    <w:p w14:paraId="12F67C94" w14:textId="77777777" w:rsidR="001F4F86" w:rsidRPr="00661C4E" w:rsidRDefault="001F4F86" w:rsidP="001F4F86">
      <w:pPr>
        <w:rPr>
          <w:rFonts w:cstheme="minorHAnsi"/>
        </w:rPr>
      </w:pPr>
    </w:p>
    <w:p w14:paraId="151603B9" w14:textId="77777777" w:rsidR="001F4F86" w:rsidRPr="00661C4E" w:rsidRDefault="001F4F86" w:rsidP="001F4F86">
      <w:pPr>
        <w:rPr>
          <w:rFonts w:cstheme="minorHAnsi"/>
        </w:rPr>
      </w:pPr>
      <w:r w:rsidRPr="00661C4E">
        <w:rPr>
          <w:rFonts w:cstheme="minorHAnsi"/>
        </w:rPr>
        <w:t xml:space="preserve">Marini P. (2016), ‘HORI'S SHABTI-JARS: FOUR ADDITIONAL JARS IDENTIFIED AT THE BRITISH MUSEUM’, </w:t>
      </w:r>
      <w:r w:rsidRPr="0093420D">
        <w:rPr>
          <w:rFonts w:cstheme="minorHAnsi"/>
          <w:i/>
          <w:iCs/>
        </w:rPr>
        <w:t>Egitto e Vicino Oriente</w:t>
      </w:r>
      <w:r w:rsidRPr="00661C4E">
        <w:rPr>
          <w:rFonts w:cstheme="minorHAnsi"/>
        </w:rPr>
        <w:t>, Vol. 39, pp. 107-116, Pisa University Press S.R.L., Available at: https://www.jstor.org/stable/10.2307/26490807 (Accessed 26th January 2021)</w:t>
      </w:r>
    </w:p>
    <w:p w14:paraId="08998E67" w14:textId="77777777" w:rsidR="001F4F86" w:rsidRDefault="001F4F86" w:rsidP="001F4F86">
      <w:pPr>
        <w:rPr>
          <w:rFonts w:cstheme="minorHAnsi"/>
        </w:rPr>
      </w:pPr>
    </w:p>
    <w:p w14:paraId="05F8AFC2" w14:textId="77777777" w:rsidR="001F4F86" w:rsidRPr="005F5FC9" w:rsidRDefault="001F4F86" w:rsidP="001F4F86">
      <w:pPr>
        <w:rPr>
          <w:rFonts w:cstheme="minorHAnsi"/>
        </w:rPr>
      </w:pPr>
      <w:r>
        <w:rPr>
          <w:rFonts w:cstheme="minorHAnsi"/>
        </w:rPr>
        <w:t xml:space="preserve">NOVA (2000), </w:t>
      </w:r>
      <w:r>
        <w:rPr>
          <w:rFonts w:cstheme="minorHAnsi"/>
          <w:i/>
          <w:iCs/>
        </w:rPr>
        <w:t>‘Cutting Granite with Sand’</w:t>
      </w:r>
      <w:r>
        <w:rPr>
          <w:rFonts w:cstheme="minorHAnsi"/>
        </w:rPr>
        <w:t>, Available at</w:t>
      </w:r>
      <w:r>
        <w:rPr>
          <w:rFonts w:cstheme="minorHAnsi"/>
        </w:rPr>
        <w:t xml:space="preserve">: </w:t>
      </w:r>
      <w:hyperlink r:id="rId22" w:history="1">
        <w:r w:rsidRPr="00FB083B">
          <w:rPr>
            <w:rStyle w:val="Hyperlink"/>
            <w:rFonts w:cstheme="minorHAnsi"/>
          </w:rPr>
          <w:t>https://www.pbs.org/wgbh/nova/lostempires/obelisk/cutting.html</w:t>
        </w:r>
      </w:hyperlink>
      <w:r>
        <w:rPr>
          <w:rFonts w:cstheme="minorHAnsi"/>
        </w:rPr>
        <w:t xml:space="preserve"> (Accessed 12</w:t>
      </w:r>
      <w:r w:rsidRPr="005F5FC9">
        <w:rPr>
          <w:rFonts w:cstheme="minorHAnsi"/>
          <w:vertAlign w:val="superscript"/>
        </w:rPr>
        <w:t>th</w:t>
      </w:r>
      <w:r>
        <w:rPr>
          <w:rFonts w:cstheme="minorHAnsi"/>
        </w:rPr>
        <w:t xml:space="preserve"> January 2021)</w:t>
      </w:r>
    </w:p>
    <w:p w14:paraId="5381D6FB" w14:textId="77777777" w:rsidR="001D3F32" w:rsidRDefault="001D3F32" w:rsidP="001D3F32">
      <w:pPr>
        <w:rPr>
          <w:rFonts w:cstheme="minorHAnsi"/>
          <w:bCs/>
        </w:rPr>
      </w:pPr>
    </w:p>
    <w:p w14:paraId="64A08842" w14:textId="7D9836F9" w:rsidR="001D3F32" w:rsidRDefault="001D3F32" w:rsidP="001D3F32">
      <w:pPr>
        <w:rPr>
          <w:rFonts w:cstheme="minorHAnsi"/>
        </w:rPr>
      </w:pPr>
      <w:r>
        <w:rPr>
          <w:rFonts w:cstheme="minorHAnsi"/>
          <w:bCs/>
        </w:rPr>
        <w:t>T</w:t>
      </w:r>
      <w:r w:rsidRPr="00426604">
        <w:rPr>
          <w:rFonts w:cstheme="minorHAnsi"/>
          <w:bCs/>
        </w:rPr>
        <w:t>he</w:t>
      </w:r>
      <w:r>
        <w:rPr>
          <w:rFonts w:cstheme="minorHAnsi"/>
          <w:bCs/>
        </w:rPr>
        <w:t xml:space="preserve"> </w:t>
      </w:r>
      <w:r w:rsidRPr="000D0831">
        <w:rPr>
          <w:rFonts w:cstheme="minorHAnsi"/>
          <w:bCs/>
        </w:rPr>
        <w:t>Seated depiction of Cherti-hotep</w:t>
      </w:r>
      <w:r>
        <w:rPr>
          <w:rFonts w:cstheme="minorHAnsi"/>
          <w:bCs/>
        </w:rPr>
        <w:t xml:space="preserve"> (</w:t>
      </w:r>
      <w:r w:rsidRPr="000D0831">
        <w:rPr>
          <w:rFonts w:cstheme="minorHAnsi"/>
          <w:bCs/>
        </w:rPr>
        <w:t>ÄM 15700</w:t>
      </w:r>
      <w:r>
        <w:rPr>
          <w:rFonts w:cstheme="minorHAnsi"/>
          <w:bCs/>
        </w:rPr>
        <w:t xml:space="preserve">), </w:t>
      </w:r>
      <w:r w:rsidRPr="0093420D">
        <w:rPr>
          <w:rFonts w:cstheme="minorHAnsi"/>
          <w:bCs/>
          <w:i/>
          <w:iCs/>
        </w:rPr>
        <w:t>The Egyptian Museum and Papyrus Collection in Berlin</w:t>
      </w:r>
      <w:r>
        <w:rPr>
          <w:rFonts w:cstheme="minorHAnsi"/>
          <w:bCs/>
        </w:rPr>
        <w:t xml:space="preserve">, Available at: </w:t>
      </w:r>
      <w:hyperlink r:id="rId23" w:history="1">
        <w:r w:rsidRPr="00FB083B">
          <w:rPr>
            <w:rStyle w:val="Hyperlink"/>
            <w:rFonts w:cstheme="minorHAnsi"/>
            <w:bCs/>
          </w:rPr>
          <w:t>https://www.smb.museum/en/museums-institutions/aegyptisches-museum-und-papyrussammlung/collection-research/collection-highlights/</w:t>
        </w:r>
      </w:hyperlink>
      <w:r>
        <w:rPr>
          <w:rFonts w:cstheme="minorHAnsi"/>
          <w:bCs/>
        </w:rPr>
        <w:t xml:space="preserve"> (Accessed 2</w:t>
      </w:r>
      <w:r w:rsidRPr="001B7642">
        <w:rPr>
          <w:rFonts w:cstheme="minorHAnsi"/>
          <w:bCs/>
          <w:vertAlign w:val="superscript"/>
        </w:rPr>
        <w:t>nd</w:t>
      </w:r>
      <w:r>
        <w:rPr>
          <w:rFonts w:cstheme="minorHAnsi"/>
          <w:bCs/>
        </w:rPr>
        <w:t xml:space="preserve"> February 2021)</w:t>
      </w:r>
    </w:p>
    <w:p w14:paraId="307B4AA4" w14:textId="77777777" w:rsidR="001F4F86" w:rsidRPr="00661C4E" w:rsidRDefault="001F4F86" w:rsidP="001F4F86">
      <w:pPr>
        <w:rPr>
          <w:rFonts w:cstheme="minorHAnsi"/>
        </w:rPr>
      </w:pPr>
    </w:p>
    <w:p w14:paraId="04EB5305" w14:textId="77777777" w:rsidR="001F4F86" w:rsidRPr="00661C4E" w:rsidRDefault="001F4F86" w:rsidP="001F4F86">
      <w:pPr>
        <w:rPr>
          <w:rFonts w:cstheme="minorHAnsi"/>
        </w:rPr>
      </w:pPr>
      <w:r w:rsidRPr="00661C4E">
        <w:rPr>
          <w:rFonts w:cstheme="minorHAnsi"/>
        </w:rPr>
        <w:t>Shaw G. J. (2014), ‘</w:t>
      </w:r>
      <w:r w:rsidRPr="0093420D">
        <w:rPr>
          <w:rFonts w:cstheme="minorHAnsi"/>
          <w:i/>
          <w:iCs/>
        </w:rPr>
        <w:t>The Egyptian Myths: a guide to the Ancient Gods and Legends</w:t>
      </w:r>
      <w:r w:rsidRPr="00661C4E">
        <w:rPr>
          <w:rFonts w:cstheme="minorHAnsi"/>
        </w:rPr>
        <w:t>’, London, Thames &amp; Hudson</w:t>
      </w:r>
    </w:p>
    <w:p w14:paraId="52DC8756" w14:textId="77777777" w:rsidR="001F4F86" w:rsidRPr="00661C4E" w:rsidRDefault="001F4F86" w:rsidP="001F4F86">
      <w:pPr>
        <w:rPr>
          <w:rFonts w:cstheme="minorHAnsi"/>
        </w:rPr>
      </w:pPr>
    </w:p>
    <w:p w14:paraId="7140C1A2" w14:textId="77777777" w:rsidR="001F4F86" w:rsidRPr="00661C4E" w:rsidRDefault="001F4F86" w:rsidP="001F4F86">
      <w:pPr>
        <w:rPr>
          <w:rFonts w:cstheme="minorHAnsi"/>
        </w:rPr>
      </w:pPr>
      <w:r w:rsidRPr="00661C4E">
        <w:rPr>
          <w:rFonts w:cstheme="minorHAnsi"/>
        </w:rPr>
        <w:t xml:space="preserve">Shaw I. (2003), </w:t>
      </w:r>
      <w:r w:rsidRPr="0093420D">
        <w:rPr>
          <w:rFonts w:cstheme="minorHAnsi"/>
          <w:i/>
          <w:iCs/>
        </w:rPr>
        <w:t>‘The Oxford history of Ancient Egypt’</w:t>
      </w:r>
      <w:r w:rsidRPr="00661C4E">
        <w:rPr>
          <w:rFonts w:cstheme="minorHAnsi"/>
        </w:rPr>
        <w:t>, Oxford, Oxford University Press</w:t>
      </w:r>
    </w:p>
    <w:p w14:paraId="5C516A6C" w14:textId="77777777" w:rsidR="001F4F86" w:rsidRDefault="001F4F86" w:rsidP="001F4F86">
      <w:pPr>
        <w:rPr>
          <w:rFonts w:cstheme="minorHAnsi"/>
        </w:rPr>
      </w:pPr>
    </w:p>
    <w:p w14:paraId="726D9A92" w14:textId="6172921E" w:rsidR="001F4F86" w:rsidRDefault="001D3F32" w:rsidP="001F4F86">
      <w:pPr>
        <w:rPr>
          <w:rFonts w:cstheme="minorHAnsi"/>
        </w:rPr>
      </w:pPr>
      <w:r w:rsidRPr="001D3F32">
        <w:rPr>
          <w:rFonts w:cstheme="minorHAnsi"/>
        </w:rPr>
        <w:t>Simpson W</w:t>
      </w:r>
      <w:r>
        <w:rPr>
          <w:rFonts w:cstheme="minorHAnsi"/>
        </w:rPr>
        <w:t>. K</w:t>
      </w:r>
      <w:r w:rsidRPr="001D3F32">
        <w:rPr>
          <w:rFonts w:cstheme="minorHAnsi"/>
        </w:rPr>
        <w:t>.</w:t>
      </w:r>
      <w:r>
        <w:rPr>
          <w:rFonts w:cstheme="minorHAnsi"/>
        </w:rPr>
        <w:t xml:space="preserve"> (</w:t>
      </w:r>
      <w:r w:rsidRPr="001D3F32">
        <w:rPr>
          <w:rFonts w:cstheme="minorHAnsi"/>
        </w:rPr>
        <w:t>1976</w:t>
      </w:r>
      <w:r>
        <w:rPr>
          <w:rFonts w:cstheme="minorHAnsi"/>
        </w:rPr>
        <w:t>), ‘</w:t>
      </w:r>
      <w:r w:rsidRPr="001D3F32">
        <w:rPr>
          <w:rFonts w:cstheme="minorHAnsi"/>
        </w:rPr>
        <w:t xml:space="preserve">The Mastabas of Qar and </w:t>
      </w:r>
      <w:proofErr w:type="spellStart"/>
      <w:r w:rsidRPr="001D3F32">
        <w:rPr>
          <w:rFonts w:cstheme="minorHAnsi"/>
        </w:rPr>
        <w:t>Idu</w:t>
      </w:r>
      <w:proofErr w:type="spellEnd"/>
      <w:r w:rsidRPr="001D3F32">
        <w:rPr>
          <w:rFonts w:cstheme="minorHAnsi"/>
        </w:rPr>
        <w:t>, G 7101 and 7102</w:t>
      </w:r>
      <w:r>
        <w:rPr>
          <w:rFonts w:cstheme="minorHAnsi"/>
        </w:rPr>
        <w:t xml:space="preserve">’, </w:t>
      </w:r>
      <w:r w:rsidRPr="001D3F32">
        <w:rPr>
          <w:rFonts w:cstheme="minorHAnsi"/>
        </w:rPr>
        <w:t>Boston</w:t>
      </w:r>
      <w:r>
        <w:rPr>
          <w:rFonts w:cstheme="minorHAnsi"/>
        </w:rPr>
        <w:t xml:space="preserve">, </w:t>
      </w:r>
      <w:r w:rsidRPr="001D3F32">
        <w:rPr>
          <w:rFonts w:cstheme="minorHAnsi"/>
        </w:rPr>
        <w:t>Museum of Fine Arts</w:t>
      </w:r>
    </w:p>
    <w:p w14:paraId="123ADEFD" w14:textId="77777777" w:rsidR="001D3F32" w:rsidRDefault="001D3F32" w:rsidP="001F4F86">
      <w:pPr>
        <w:rPr>
          <w:rFonts w:cstheme="minorHAnsi"/>
        </w:rPr>
      </w:pPr>
    </w:p>
    <w:p w14:paraId="71CFC11B" w14:textId="77777777" w:rsidR="001F4F86" w:rsidRDefault="001F4F86" w:rsidP="001F4F86">
      <w:pPr>
        <w:rPr>
          <w:rFonts w:cstheme="minorHAnsi"/>
        </w:rPr>
      </w:pPr>
      <w:r>
        <w:rPr>
          <w:rFonts w:cstheme="minorHAnsi"/>
          <w:bCs/>
        </w:rPr>
        <w:t xml:space="preserve">The </w:t>
      </w:r>
      <w:r w:rsidRPr="00484340">
        <w:rPr>
          <w:rFonts w:cstheme="minorHAnsi"/>
          <w:bCs/>
        </w:rPr>
        <w:t xml:space="preserve">Standing figure of Antef </w:t>
      </w:r>
      <w:r>
        <w:rPr>
          <w:rFonts w:cstheme="minorHAnsi"/>
          <w:bCs/>
        </w:rPr>
        <w:t>(</w:t>
      </w:r>
      <w:r w:rsidRPr="003752ED">
        <w:rPr>
          <w:rFonts w:cstheme="minorHAnsi"/>
          <w:bCs/>
        </w:rPr>
        <w:t>ÄM 12485</w:t>
      </w:r>
      <w:r>
        <w:rPr>
          <w:rFonts w:cstheme="minorHAnsi"/>
          <w:bCs/>
        </w:rPr>
        <w:t xml:space="preserve">), </w:t>
      </w:r>
      <w:r w:rsidRPr="0093420D">
        <w:rPr>
          <w:rFonts w:cstheme="minorHAnsi"/>
          <w:bCs/>
          <w:i/>
          <w:iCs/>
        </w:rPr>
        <w:t>The Egyptian Museum and Papyrus Collection in Berlin</w:t>
      </w:r>
      <w:r>
        <w:rPr>
          <w:rFonts w:cstheme="minorHAnsi"/>
          <w:bCs/>
        </w:rPr>
        <w:t xml:space="preserve">, Available at: </w:t>
      </w:r>
      <w:hyperlink r:id="rId24" w:history="1">
        <w:r w:rsidRPr="00FB083B">
          <w:rPr>
            <w:rStyle w:val="Hyperlink"/>
            <w:rFonts w:cstheme="minorHAnsi"/>
            <w:bCs/>
          </w:rPr>
          <w:t>https://smb.museum-digital.de/index.php?t=objekt&amp;oges=386&amp;cachesLoaded=true</w:t>
        </w:r>
      </w:hyperlink>
      <w:r>
        <w:rPr>
          <w:rFonts w:cstheme="minorHAnsi"/>
          <w:bCs/>
        </w:rPr>
        <w:t xml:space="preserve"> (Accessed 24</w:t>
      </w:r>
      <w:r w:rsidRPr="001B7642">
        <w:rPr>
          <w:rFonts w:cstheme="minorHAnsi"/>
          <w:bCs/>
          <w:vertAlign w:val="superscript"/>
        </w:rPr>
        <w:t>th</w:t>
      </w:r>
      <w:r>
        <w:rPr>
          <w:rFonts w:cstheme="minorHAnsi"/>
          <w:bCs/>
        </w:rPr>
        <w:t xml:space="preserve"> January 2021)</w:t>
      </w:r>
    </w:p>
    <w:p w14:paraId="4A302291" w14:textId="77777777" w:rsidR="001F4F86" w:rsidRDefault="001F4F86" w:rsidP="001F4F86">
      <w:pPr>
        <w:rPr>
          <w:rFonts w:cstheme="minorHAnsi"/>
        </w:rPr>
      </w:pPr>
    </w:p>
    <w:p w14:paraId="33AAF4F6" w14:textId="77777777" w:rsidR="001F4F86" w:rsidRPr="009933BC" w:rsidRDefault="001F4F86" w:rsidP="001F4F86">
      <w:pPr>
        <w:rPr>
          <w:rFonts w:cstheme="minorHAnsi"/>
          <w:i/>
          <w:iCs/>
        </w:rPr>
      </w:pPr>
      <w:r>
        <w:rPr>
          <w:rFonts w:cstheme="minorHAnsi"/>
        </w:rPr>
        <w:t xml:space="preserve">Stocks D. A (2003), </w:t>
      </w:r>
      <w:r>
        <w:rPr>
          <w:rFonts w:cstheme="minorHAnsi"/>
          <w:i/>
          <w:iCs/>
        </w:rPr>
        <w:t>‘</w:t>
      </w:r>
      <w:r w:rsidRPr="009933BC">
        <w:rPr>
          <w:rFonts w:cstheme="minorHAnsi"/>
          <w:i/>
          <w:iCs/>
        </w:rPr>
        <w:t>E</w:t>
      </w:r>
      <w:r>
        <w:rPr>
          <w:rFonts w:cstheme="minorHAnsi"/>
          <w:i/>
          <w:iCs/>
        </w:rPr>
        <w:t xml:space="preserve">xperiments in </w:t>
      </w:r>
      <w:r w:rsidRPr="009933BC">
        <w:rPr>
          <w:rFonts w:cstheme="minorHAnsi"/>
          <w:i/>
          <w:iCs/>
        </w:rPr>
        <w:t>E</w:t>
      </w:r>
      <w:r>
        <w:rPr>
          <w:rFonts w:cstheme="minorHAnsi"/>
          <w:i/>
          <w:iCs/>
        </w:rPr>
        <w:t xml:space="preserve">gyptian Archaeology: </w:t>
      </w:r>
      <w:r w:rsidRPr="009933BC">
        <w:rPr>
          <w:rFonts w:cstheme="minorHAnsi"/>
          <w:i/>
          <w:iCs/>
        </w:rPr>
        <w:t>Stone working technology in Ancient Egypt</w:t>
      </w:r>
      <w:r>
        <w:rPr>
          <w:rFonts w:cstheme="minorHAnsi"/>
          <w:i/>
          <w:iCs/>
        </w:rPr>
        <w:t>’</w:t>
      </w:r>
      <w:r>
        <w:rPr>
          <w:rFonts w:cstheme="minorHAnsi"/>
        </w:rPr>
        <w:t xml:space="preserve">, London, Routledge </w:t>
      </w:r>
    </w:p>
    <w:p w14:paraId="40844481" w14:textId="77777777" w:rsidR="001F4F86" w:rsidRDefault="001F4F86" w:rsidP="001F4F86">
      <w:pPr>
        <w:rPr>
          <w:rFonts w:cstheme="minorHAnsi"/>
        </w:rPr>
      </w:pPr>
    </w:p>
    <w:p w14:paraId="2D44D91D" w14:textId="77777777" w:rsidR="001F4F86" w:rsidRPr="00811ABD" w:rsidRDefault="001F4F86" w:rsidP="001F4F86">
      <w:pPr>
        <w:rPr>
          <w:rFonts w:cstheme="minorHAnsi"/>
        </w:rPr>
      </w:pPr>
      <w:r>
        <w:rPr>
          <w:rFonts w:cstheme="minorHAnsi"/>
        </w:rPr>
        <w:t xml:space="preserve">Taylor J.H (2001), </w:t>
      </w:r>
      <w:r>
        <w:rPr>
          <w:rFonts w:cstheme="minorHAnsi"/>
          <w:i/>
          <w:iCs/>
        </w:rPr>
        <w:t>‘Death and the Afterlife in Ancient Egypt’</w:t>
      </w:r>
      <w:r>
        <w:rPr>
          <w:rFonts w:cstheme="minorHAnsi"/>
        </w:rPr>
        <w:t>, London, The British Museum press</w:t>
      </w:r>
    </w:p>
    <w:p w14:paraId="4549F59E" w14:textId="77777777" w:rsidR="001F4F86" w:rsidRPr="00661C4E" w:rsidRDefault="001F4F86" w:rsidP="001F4F86">
      <w:pPr>
        <w:rPr>
          <w:rFonts w:cstheme="minorHAnsi"/>
        </w:rPr>
      </w:pPr>
    </w:p>
    <w:p w14:paraId="41607E33" w14:textId="77777777" w:rsidR="001F4F86" w:rsidRDefault="001F4F86" w:rsidP="001F4F86">
      <w:pPr>
        <w:rPr>
          <w:rFonts w:cstheme="minorHAnsi"/>
        </w:rPr>
      </w:pPr>
      <w:r w:rsidRPr="00661C4E">
        <w:rPr>
          <w:rFonts w:cstheme="minorHAnsi"/>
        </w:rPr>
        <w:t xml:space="preserve">Wilson P. (2004), </w:t>
      </w:r>
      <w:r w:rsidRPr="0093420D">
        <w:rPr>
          <w:rFonts w:cstheme="minorHAnsi"/>
          <w:i/>
          <w:iCs/>
        </w:rPr>
        <w:t>‘Hieroglyphs: A Very Short Introduction’</w:t>
      </w:r>
      <w:r w:rsidRPr="00661C4E">
        <w:rPr>
          <w:rFonts w:cstheme="minorHAnsi"/>
        </w:rPr>
        <w:t>, Oxford, Oxford University Press</w:t>
      </w:r>
    </w:p>
    <w:p w14:paraId="4A581300" w14:textId="7F5A9D3C" w:rsidR="0005244A" w:rsidRDefault="0005244A" w:rsidP="001F4F86">
      <w:pPr>
        <w:rPr>
          <w:rFonts w:cstheme="minorHAnsi"/>
        </w:rPr>
      </w:pPr>
    </w:p>
    <w:sectPr w:rsidR="0005244A" w:rsidSect="00ED54D4">
      <w:headerReference w:type="default" r:id="rI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08C18C" w14:textId="77777777" w:rsidR="009B2A89" w:rsidRDefault="009B2A89" w:rsidP="001D0987">
      <w:r>
        <w:separator/>
      </w:r>
    </w:p>
  </w:endnote>
  <w:endnote w:type="continuationSeparator" w:id="0">
    <w:p w14:paraId="5B36F8DF" w14:textId="77777777" w:rsidR="009B2A89" w:rsidRDefault="009B2A89" w:rsidP="001D09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altName w:val="Times"/>
    <w:panose1 w:val="02000500000000000000"/>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7DBE8D" w14:textId="77777777" w:rsidR="009B2A89" w:rsidRDefault="009B2A89" w:rsidP="001D0987">
      <w:r>
        <w:separator/>
      </w:r>
    </w:p>
  </w:footnote>
  <w:footnote w:type="continuationSeparator" w:id="0">
    <w:p w14:paraId="35B1B1A4" w14:textId="77777777" w:rsidR="009B2A89" w:rsidRDefault="009B2A89" w:rsidP="001D0987">
      <w:r>
        <w:continuationSeparator/>
      </w:r>
    </w:p>
  </w:footnote>
  <w:footnote w:id="1">
    <w:p w14:paraId="48097BDE" w14:textId="250FAFEB" w:rsidR="001415D3" w:rsidRDefault="001415D3">
      <w:pPr>
        <w:pStyle w:val="FootnoteText"/>
      </w:pPr>
      <w:r>
        <w:rPr>
          <w:rStyle w:val="FootnoteReference"/>
        </w:rPr>
        <w:footnoteRef/>
      </w:r>
      <w:r>
        <w:t xml:space="preserve"> </w:t>
      </w:r>
      <w:r w:rsidR="009933BC">
        <w:rPr>
          <w:rFonts w:cstheme="minorHAnsi"/>
          <w:bCs/>
        </w:rPr>
        <w:t>S</w:t>
      </w:r>
      <w:r w:rsidRPr="001415D3">
        <w:rPr>
          <w:rFonts w:cstheme="minorHAnsi"/>
          <w:bCs/>
        </w:rPr>
        <w:t>to</w:t>
      </w:r>
      <w:r w:rsidR="009933BC">
        <w:rPr>
          <w:rFonts w:cstheme="minorHAnsi"/>
          <w:bCs/>
        </w:rPr>
        <w:t>cks</w:t>
      </w:r>
      <w:r w:rsidRPr="001415D3">
        <w:rPr>
          <w:rFonts w:cstheme="minorHAnsi"/>
          <w:bCs/>
        </w:rPr>
        <w:t xml:space="preserve">, </w:t>
      </w:r>
      <w:r w:rsidR="009933BC">
        <w:rPr>
          <w:rFonts w:cstheme="minorHAnsi"/>
          <w:bCs/>
        </w:rPr>
        <w:t>2003</w:t>
      </w:r>
      <w:r w:rsidRPr="001415D3">
        <w:rPr>
          <w:rFonts w:cstheme="minorHAnsi"/>
          <w:bCs/>
        </w:rPr>
        <w:t xml:space="preserve">, pp. </w:t>
      </w:r>
      <w:r w:rsidR="009933BC">
        <w:rPr>
          <w:rFonts w:cstheme="minorHAnsi"/>
          <w:bCs/>
        </w:rPr>
        <w:t>76</w:t>
      </w:r>
    </w:p>
  </w:footnote>
  <w:footnote w:id="2">
    <w:p w14:paraId="28F9943F" w14:textId="0B989556" w:rsidR="00AF2E84" w:rsidRDefault="00AF2E84">
      <w:pPr>
        <w:pStyle w:val="FootnoteText"/>
      </w:pPr>
      <w:r>
        <w:rPr>
          <w:rStyle w:val="FootnoteReference"/>
        </w:rPr>
        <w:footnoteRef/>
      </w:r>
      <w:r>
        <w:t xml:space="preserve"> </w:t>
      </w:r>
      <w:r>
        <w:rPr>
          <w:rFonts w:cstheme="minorHAnsi"/>
        </w:rPr>
        <w:t xml:space="preserve">Aston, Harrel &amp; Shaw, 2000, </w:t>
      </w:r>
      <w:r>
        <w:rPr>
          <w:rFonts w:cstheme="minorHAnsi"/>
          <w:bCs/>
        </w:rPr>
        <w:t>pp. 36</w:t>
      </w:r>
    </w:p>
  </w:footnote>
  <w:footnote w:id="3">
    <w:p w14:paraId="559292B7" w14:textId="4FD6E1E8" w:rsidR="005F5FC9" w:rsidRDefault="005F5FC9">
      <w:pPr>
        <w:pStyle w:val="FootnoteText"/>
      </w:pPr>
      <w:r>
        <w:rPr>
          <w:rStyle w:val="FootnoteReference"/>
        </w:rPr>
        <w:footnoteRef/>
      </w:r>
      <w:r>
        <w:t xml:space="preserve"> </w:t>
      </w:r>
      <w:r>
        <w:rPr>
          <w:rFonts w:cstheme="minorHAnsi"/>
          <w:bCs/>
        </w:rPr>
        <w:t>NOVA, 2000</w:t>
      </w:r>
    </w:p>
  </w:footnote>
  <w:footnote w:id="4">
    <w:p w14:paraId="09C11EFE" w14:textId="3129948F" w:rsidR="00831ABD" w:rsidRDefault="00831ABD">
      <w:pPr>
        <w:pStyle w:val="FootnoteText"/>
      </w:pPr>
      <w:r>
        <w:rPr>
          <w:rStyle w:val="FootnoteReference"/>
        </w:rPr>
        <w:footnoteRef/>
      </w:r>
      <w:r>
        <w:t xml:space="preserve"> </w:t>
      </w:r>
      <w:r w:rsidRPr="00831ABD">
        <w:rPr>
          <w:rFonts w:cstheme="minorHAnsi"/>
          <w:bCs/>
        </w:rPr>
        <w:t xml:space="preserve">ÄM 12485, Ägyptisches Museum und Papyrussammlung </w:t>
      </w:r>
      <w:r>
        <w:rPr>
          <w:rFonts w:cstheme="minorHAnsi"/>
          <w:bCs/>
        </w:rPr>
        <w:t>(</w:t>
      </w:r>
      <w:r w:rsidRPr="00831ABD">
        <w:rPr>
          <w:rFonts w:cstheme="minorHAnsi"/>
          <w:bCs/>
        </w:rPr>
        <w:t>ÄM&amp;P</w:t>
      </w:r>
      <w:r>
        <w:rPr>
          <w:rFonts w:cstheme="minorHAnsi"/>
          <w:bCs/>
        </w:rPr>
        <w:t>)</w:t>
      </w:r>
    </w:p>
  </w:footnote>
  <w:footnote w:id="5">
    <w:p w14:paraId="4C6D275F" w14:textId="4576C8C4" w:rsidR="001415D3" w:rsidRDefault="001415D3">
      <w:pPr>
        <w:pStyle w:val="FootnoteText"/>
      </w:pPr>
      <w:r>
        <w:rPr>
          <w:rStyle w:val="FootnoteReference"/>
        </w:rPr>
        <w:footnoteRef/>
      </w:r>
      <w:r>
        <w:t xml:space="preserve"> </w:t>
      </w:r>
      <w:r w:rsidRPr="001415D3">
        <w:rPr>
          <w:rFonts w:cstheme="minorHAnsi"/>
          <w:bCs/>
        </w:rPr>
        <w:t>Shaw, 2003, pp.137</w:t>
      </w:r>
    </w:p>
  </w:footnote>
  <w:footnote w:id="6">
    <w:p w14:paraId="23A4B221" w14:textId="251CA710" w:rsidR="008F5A3D" w:rsidRDefault="008F5A3D">
      <w:pPr>
        <w:pStyle w:val="FootnoteText"/>
      </w:pPr>
      <w:r>
        <w:rPr>
          <w:rStyle w:val="FootnoteReference"/>
        </w:rPr>
        <w:footnoteRef/>
      </w:r>
      <w:r>
        <w:t xml:space="preserve"> </w:t>
      </w:r>
      <w:r w:rsidRPr="00426604">
        <w:rPr>
          <w:rFonts w:cstheme="minorHAnsi"/>
          <w:bCs/>
        </w:rPr>
        <w:t>ÄM 12485,</w:t>
      </w:r>
      <w:r>
        <w:rPr>
          <w:rFonts w:cstheme="minorHAnsi"/>
          <w:bCs/>
        </w:rPr>
        <w:t xml:space="preserve"> </w:t>
      </w:r>
      <w:r w:rsidRPr="00426604">
        <w:rPr>
          <w:rFonts w:cstheme="minorHAnsi"/>
          <w:bCs/>
        </w:rPr>
        <w:t>ÄM</w:t>
      </w:r>
      <w:r>
        <w:rPr>
          <w:rFonts w:cstheme="minorHAnsi"/>
          <w:bCs/>
        </w:rPr>
        <w:t>&amp;P</w:t>
      </w:r>
    </w:p>
  </w:footnote>
  <w:footnote w:id="7">
    <w:p w14:paraId="34FC4A93" w14:textId="0BB94BF9" w:rsidR="000D0831" w:rsidRDefault="000D0831">
      <w:pPr>
        <w:pStyle w:val="FootnoteText"/>
      </w:pPr>
      <w:r>
        <w:rPr>
          <w:rStyle w:val="FootnoteReference"/>
        </w:rPr>
        <w:footnoteRef/>
      </w:r>
      <w:r>
        <w:t xml:space="preserve"> </w:t>
      </w:r>
      <w:r w:rsidRPr="000D0831">
        <w:rPr>
          <w:rFonts w:cstheme="minorHAnsi"/>
          <w:bCs/>
        </w:rPr>
        <w:t>ÄM 15700</w:t>
      </w:r>
      <w:r>
        <w:rPr>
          <w:rFonts w:cstheme="minorHAnsi"/>
          <w:bCs/>
        </w:rPr>
        <w:t xml:space="preserve">, </w:t>
      </w:r>
      <w:r w:rsidRPr="00426604">
        <w:rPr>
          <w:rFonts w:cstheme="minorHAnsi"/>
          <w:bCs/>
        </w:rPr>
        <w:t>ÄM</w:t>
      </w:r>
      <w:r>
        <w:rPr>
          <w:rFonts w:cstheme="minorHAnsi"/>
          <w:bCs/>
        </w:rPr>
        <w:t>&amp;P</w:t>
      </w:r>
    </w:p>
  </w:footnote>
  <w:footnote w:id="8">
    <w:p w14:paraId="7F8DA385" w14:textId="73B8BADC" w:rsidR="000D0831" w:rsidRDefault="000D0831">
      <w:pPr>
        <w:pStyle w:val="FootnoteText"/>
      </w:pPr>
      <w:r>
        <w:rPr>
          <w:rStyle w:val="FootnoteReference"/>
        </w:rPr>
        <w:footnoteRef/>
      </w:r>
      <w:r>
        <w:t xml:space="preserve"> </w:t>
      </w:r>
      <w:r w:rsidRPr="00426604">
        <w:rPr>
          <w:rFonts w:cstheme="minorHAnsi"/>
          <w:bCs/>
        </w:rPr>
        <w:t>ÄM 12485,</w:t>
      </w:r>
      <w:r>
        <w:rPr>
          <w:rFonts w:cstheme="minorHAnsi"/>
          <w:bCs/>
        </w:rPr>
        <w:t xml:space="preserve"> </w:t>
      </w:r>
      <w:r w:rsidRPr="00426604">
        <w:rPr>
          <w:rFonts w:cstheme="minorHAnsi"/>
          <w:bCs/>
        </w:rPr>
        <w:t>ÄM</w:t>
      </w:r>
      <w:r>
        <w:rPr>
          <w:rFonts w:cstheme="minorHAnsi"/>
          <w:bCs/>
        </w:rPr>
        <w:t>&amp;P</w:t>
      </w:r>
    </w:p>
  </w:footnote>
  <w:footnote w:id="9">
    <w:p w14:paraId="5D8F42B9" w14:textId="216A0AD5" w:rsidR="007C08CE" w:rsidRDefault="007C08CE">
      <w:pPr>
        <w:pStyle w:val="FootnoteText"/>
      </w:pPr>
      <w:r>
        <w:rPr>
          <w:rStyle w:val="FootnoteReference"/>
        </w:rPr>
        <w:footnoteRef/>
      </w:r>
      <w:r>
        <w:t xml:space="preserve"> </w:t>
      </w:r>
      <w:r w:rsidRPr="000D0831">
        <w:rPr>
          <w:rFonts w:cstheme="minorHAnsi"/>
          <w:bCs/>
        </w:rPr>
        <w:t>EA1237</w:t>
      </w:r>
      <w:r>
        <w:rPr>
          <w:rFonts w:cstheme="minorHAnsi"/>
          <w:bCs/>
        </w:rPr>
        <w:t>, British Museum</w:t>
      </w:r>
    </w:p>
  </w:footnote>
  <w:footnote w:id="10">
    <w:p w14:paraId="0639D66C" w14:textId="7630C023" w:rsidR="00FB11F9" w:rsidRDefault="00FB11F9">
      <w:pPr>
        <w:pStyle w:val="FootnoteText"/>
      </w:pPr>
      <w:r>
        <w:rPr>
          <w:rStyle w:val="FootnoteReference"/>
        </w:rPr>
        <w:footnoteRef/>
      </w:r>
      <w:r>
        <w:t xml:space="preserve"> </w:t>
      </w:r>
      <w:r w:rsidRPr="00FB11F9">
        <w:rPr>
          <w:rFonts w:cstheme="minorHAnsi"/>
          <w:bCs/>
        </w:rPr>
        <w:t>ÄM 12485</w:t>
      </w:r>
      <w:r>
        <w:rPr>
          <w:rFonts w:cstheme="minorHAnsi"/>
          <w:bCs/>
        </w:rPr>
        <w:t xml:space="preserve">, </w:t>
      </w:r>
      <w:r w:rsidRPr="00426604">
        <w:rPr>
          <w:rFonts w:cstheme="minorHAnsi"/>
          <w:bCs/>
        </w:rPr>
        <w:t>ÄM</w:t>
      </w:r>
      <w:r>
        <w:rPr>
          <w:rFonts w:cstheme="minorHAnsi"/>
          <w:bCs/>
        </w:rPr>
        <w:t>&amp;P</w:t>
      </w:r>
    </w:p>
  </w:footnote>
  <w:footnote w:id="11">
    <w:p w14:paraId="402D0FC8" w14:textId="7FC8B58A" w:rsidR="001415D3" w:rsidRDefault="001415D3">
      <w:pPr>
        <w:pStyle w:val="FootnoteText"/>
      </w:pPr>
      <w:r>
        <w:rPr>
          <w:rStyle w:val="FootnoteReference"/>
        </w:rPr>
        <w:footnoteRef/>
      </w:r>
      <w:r>
        <w:t xml:space="preserve"> </w:t>
      </w:r>
      <w:r w:rsidRPr="00426604">
        <w:rPr>
          <w:rFonts w:cstheme="minorHAnsi"/>
          <w:bCs/>
        </w:rPr>
        <w:t>Wilson, 2004, pp.25</w:t>
      </w:r>
    </w:p>
  </w:footnote>
  <w:footnote w:id="12">
    <w:p w14:paraId="4A9645EA" w14:textId="3FB99D88" w:rsidR="000F2FCE" w:rsidRDefault="000F2FCE">
      <w:pPr>
        <w:pStyle w:val="FootnoteText"/>
      </w:pPr>
      <w:r>
        <w:rPr>
          <w:rStyle w:val="FootnoteReference"/>
        </w:rPr>
        <w:footnoteRef/>
      </w:r>
      <w:r>
        <w:t xml:space="preserve"> </w:t>
      </w:r>
      <w:r w:rsidRPr="00426604">
        <w:rPr>
          <w:rFonts w:cstheme="minorHAnsi"/>
          <w:bCs/>
        </w:rPr>
        <w:t>Manley, 2012, pp.50</w:t>
      </w:r>
    </w:p>
  </w:footnote>
  <w:footnote w:id="13">
    <w:p w14:paraId="0D614D08" w14:textId="660D4D29" w:rsidR="000F2FCE" w:rsidRDefault="000F2FCE">
      <w:pPr>
        <w:pStyle w:val="FootnoteText"/>
      </w:pPr>
      <w:r>
        <w:rPr>
          <w:rStyle w:val="FootnoteReference"/>
        </w:rPr>
        <w:footnoteRef/>
      </w:r>
      <w:r>
        <w:t xml:space="preserve"> </w:t>
      </w:r>
      <w:r w:rsidRPr="00426604">
        <w:rPr>
          <w:rFonts w:cstheme="minorHAnsi"/>
          <w:bCs/>
        </w:rPr>
        <w:t>Gardiner, 1957, pp. 470</w:t>
      </w:r>
    </w:p>
  </w:footnote>
  <w:footnote w:id="14">
    <w:p w14:paraId="6ECA5580" w14:textId="221D9FA3" w:rsidR="00FB11F9" w:rsidRDefault="00FB11F9">
      <w:pPr>
        <w:pStyle w:val="FootnoteText"/>
      </w:pPr>
      <w:r>
        <w:rPr>
          <w:rStyle w:val="FootnoteReference"/>
        </w:rPr>
        <w:footnoteRef/>
      </w:r>
      <w:r>
        <w:t xml:space="preserve"> </w:t>
      </w:r>
      <w:r w:rsidRPr="00426604">
        <w:rPr>
          <w:rFonts w:cstheme="minorHAnsi"/>
          <w:bCs/>
        </w:rPr>
        <w:t>Manley, 2012, pp.</w:t>
      </w:r>
      <w:r>
        <w:rPr>
          <w:rFonts w:cstheme="minorHAnsi"/>
          <w:bCs/>
        </w:rPr>
        <w:t>144</w:t>
      </w:r>
    </w:p>
  </w:footnote>
  <w:footnote w:id="15">
    <w:p w14:paraId="11D46AF2" w14:textId="6223A01B" w:rsidR="00A055B0" w:rsidRDefault="00A055B0">
      <w:pPr>
        <w:pStyle w:val="FootnoteText"/>
      </w:pPr>
      <w:r>
        <w:rPr>
          <w:rStyle w:val="FootnoteReference"/>
        </w:rPr>
        <w:footnoteRef/>
      </w:r>
      <w:r>
        <w:t xml:space="preserve"> </w:t>
      </w:r>
      <w:r>
        <w:rPr>
          <w:rFonts w:cstheme="minorHAnsi"/>
          <w:bCs/>
        </w:rPr>
        <w:t>Lerner, 2019</w:t>
      </w:r>
    </w:p>
  </w:footnote>
  <w:footnote w:id="16">
    <w:p w14:paraId="5BADB659" w14:textId="77777777" w:rsidR="000D66C0" w:rsidRDefault="000D66C0" w:rsidP="000D66C0">
      <w:pPr>
        <w:pStyle w:val="FootnoteText"/>
      </w:pPr>
      <w:r>
        <w:rPr>
          <w:rStyle w:val="FootnoteReference"/>
        </w:rPr>
        <w:footnoteRef/>
      </w:r>
      <w:r>
        <w:t xml:space="preserve"> </w:t>
      </w:r>
      <w:r>
        <w:rPr>
          <w:rFonts w:cstheme="minorHAnsi"/>
          <w:bCs/>
        </w:rPr>
        <w:t>Karen, 2008, pp.1</w:t>
      </w:r>
    </w:p>
  </w:footnote>
  <w:footnote w:id="17">
    <w:p w14:paraId="619D731E" w14:textId="3ED8734D" w:rsidR="00A055B0" w:rsidRDefault="00A055B0">
      <w:pPr>
        <w:pStyle w:val="FootnoteText"/>
      </w:pPr>
      <w:r>
        <w:rPr>
          <w:rStyle w:val="FootnoteReference"/>
        </w:rPr>
        <w:footnoteRef/>
      </w:r>
      <w:r>
        <w:t xml:space="preserve"> </w:t>
      </w:r>
      <w:r>
        <w:rPr>
          <w:rFonts w:cstheme="minorHAnsi"/>
          <w:bCs/>
        </w:rPr>
        <w:t>Taylor, 2001 pp.42</w:t>
      </w:r>
    </w:p>
  </w:footnote>
  <w:footnote w:id="18">
    <w:p w14:paraId="0806EA10" w14:textId="05ADA42D" w:rsidR="00A055B0" w:rsidRDefault="00A055B0">
      <w:pPr>
        <w:pStyle w:val="FootnoteText"/>
      </w:pPr>
      <w:r>
        <w:rPr>
          <w:rStyle w:val="FootnoteReference"/>
        </w:rPr>
        <w:footnoteRef/>
      </w:r>
      <w:r>
        <w:t xml:space="preserve"> </w:t>
      </w:r>
      <w:r>
        <w:rPr>
          <w:rFonts w:cstheme="minorHAnsi"/>
          <w:bCs/>
        </w:rPr>
        <w:t>Lerner, 2019</w:t>
      </w:r>
    </w:p>
  </w:footnote>
  <w:footnote w:id="19">
    <w:p w14:paraId="15FE0D9E" w14:textId="7642FC90" w:rsidR="00A055B0" w:rsidRDefault="00A055B0">
      <w:pPr>
        <w:pStyle w:val="FootnoteText"/>
      </w:pPr>
      <w:r>
        <w:rPr>
          <w:rStyle w:val="FootnoteReference"/>
        </w:rPr>
        <w:footnoteRef/>
      </w:r>
      <w:r>
        <w:t xml:space="preserve"> </w:t>
      </w:r>
      <w:r w:rsidRPr="0014146B">
        <w:rPr>
          <w:rFonts w:cstheme="minorHAnsi"/>
        </w:rPr>
        <w:t>Hernández</w:t>
      </w:r>
      <w:r>
        <w:rPr>
          <w:rFonts w:cstheme="minorHAnsi"/>
        </w:rPr>
        <w:t xml:space="preserve">, 2017, </w:t>
      </w:r>
      <w:r>
        <w:rPr>
          <w:rFonts w:cstheme="minorHAnsi"/>
          <w:bCs/>
        </w:rPr>
        <w:t>pp. 4</w:t>
      </w:r>
    </w:p>
  </w:footnote>
  <w:footnote w:id="20">
    <w:p w14:paraId="54297477" w14:textId="700E79EC" w:rsidR="00935C6B" w:rsidRDefault="00935C6B">
      <w:pPr>
        <w:pStyle w:val="FootnoteText"/>
      </w:pPr>
      <w:r>
        <w:rPr>
          <w:rStyle w:val="FootnoteReference"/>
        </w:rPr>
        <w:footnoteRef/>
      </w:r>
      <w:r>
        <w:t xml:space="preserve"> </w:t>
      </w:r>
      <w:r w:rsidRPr="00050FCA">
        <w:rPr>
          <w:rFonts w:cstheme="minorHAnsi"/>
        </w:rPr>
        <w:t>Marini</w:t>
      </w:r>
      <w:r>
        <w:rPr>
          <w:rFonts w:cstheme="minorHAnsi"/>
        </w:rPr>
        <w:t>, 2016</w:t>
      </w:r>
      <w:r>
        <w:rPr>
          <w:rFonts w:cstheme="minorHAnsi"/>
          <w:bCs/>
        </w:rPr>
        <w:t>, pp. 1</w:t>
      </w:r>
      <w:r w:rsidRPr="00050FCA">
        <w:rPr>
          <w:rFonts w:cstheme="minorHAnsi"/>
          <w:bCs/>
        </w:rPr>
        <w:t>07</w:t>
      </w:r>
    </w:p>
  </w:footnote>
  <w:footnote w:id="21">
    <w:p w14:paraId="33983C88" w14:textId="4C3DE226" w:rsidR="00736E90" w:rsidRDefault="00736E90">
      <w:pPr>
        <w:pStyle w:val="FootnoteText"/>
      </w:pPr>
      <w:r>
        <w:rPr>
          <w:rStyle w:val="FootnoteReference"/>
        </w:rPr>
        <w:footnoteRef/>
      </w:r>
      <w:r>
        <w:t xml:space="preserve"> </w:t>
      </w:r>
      <w:r w:rsidRPr="00050FCA">
        <w:rPr>
          <w:rFonts w:cstheme="minorHAnsi"/>
        </w:rPr>
        <w:t>Iskander</w:t>
      </w:r>
      <w:r>
        <w:rPr>
          <w:rFonts w:cstheme="minorHAnsi"/>
        </w:rPr>
        <w:t>, 2011</w:t>
      </w:r>
      <w:r>
        <w:rPr>
          <w:rFonts w:cstheme="minorHAnsi"/>
          <w:bCs/>
        </w:rPr>
        <w:t>, pp.137</w:t>
      </w:r>
    </w:p>
  </w:footnote>
  <w:footnote w:id="22">
    <w:p w14:paraId="7E22953E" w14:textId="660FAD2D" w:rsidR="001D3F32" w:rsidRDefault="001D3F32">
      <w:pPr>
        <w:pStyle w:val="FootnoteText"/>
      </w:pPr>
      <w:r>
        <w:rPr>
          <w:rStyle w:val="FootnoteReference"/>
        </w:rPr>
        <w:footnoteRef/>
      </w:r>
      <w:r>
        <w:t xml:space="preserve"> </w:t>
      </w:r>
      <w:r w:rsidRPr="001D3F32">
        <w:rPr>
          <w:rFonts w:cstheme="minorHAnsi"/>
        </w:rPr>
        <w:t>Simpso</w:t>
      </w:r>
      <w:r>
        <w:rPr>
          <w:rFonts w:cstheme="minorHAnsi"/>
        </w:rPr>
        <w:t>n,</w:t>
      </w:r>
      <w:r>
        <w:rPr>
          <w:rFonts w:cstheme="minorHAnsi"/>
        </w:rPr>
        <w:t xml:space="preserve"> </w:t>
      </w:r>
      <w:r w:rsidRPr="001D3F32">
        <w:rPr>
          <w:rFonts w:cstheme="minorHAnsi"/>
        </w:rPr>
        <w:t>1976</w:t>
      </w:r>
      <w:r>
        <w:rPr>
          <w:rFonts w:cstheme="minorHAnsi"/>
        </w:rPr>
        <w:t>, pp. VII</w:t>
      </w:r>
    </w:p>
  </w:footnote>
  <w:footnote w:id="23">
    <w:p w14:paraId="73158F38" w14:textId="3EB458B7" w:rsidR="000F2FCE" w:rsidRDefault="000F2FCE">
      <w:pPr>
        <w:pStyle w:val="FootnoteText"/>
      </w:pPr>
      <w:r>
        <w:rPr>
          <w:rStyle w:val="FootnoteReference"/>
        </w:rPr>
        <w:footnoteRef/>
      </w:r>
      <w:r>
        <w:t xml:space="preserve"> </w:t>
      </w:r>
      <w:r>
        <w:rPr>
          <w:rFonts w:cstheme="minorHAnsi"/>
        </w:rPr>
        <w:t>T</w:t>
      </w:r>
      <w:r w:rsidRPr="00661C4E">
        <w:rPr>
          <w:rFonts w:cstheme="minorHAnsi"/>
        </w:rPr>
        <w:t>a</w:t>
      </w:r>
      <w:r>
        <w:rPr>
          <w:rFonts w:cstheme="minorHAnsi"/>
        </w:rPr>
        <w:t>ylo</w:t>
      </w:r>
      <w:r w:rsidRPr="00661C4E">
        <w:rPr>
          <w:rFonts w:cstheme="minorHAnsi"/>
        </w:rPr>
        <w:t>r</w:t>
      </w:r>
      <w:r>
        <w:rPr>
          <w:rFonts w:cstheme="minorHAnsi"/>
        </w:rPr>
        <w:t xml:space="preserve">, </w:t>
      </w:r>
      <w:r w:rsidRPr="00661C4E">
        <w:rPr>
          <w:rFonts w:cstheme="minorHAnsi"/>
        </w:rPr>
        <w:t>200</w:t>
      </w:r>
      <w:r>
        <w:rPr>
          <w:rFonts w:cstheme="minorHAnsi"/>
        </w:rPr>
        <w:t>1, pp.42</w:t>
      </w:r>
    </w:p>
  </w:footnote>
  <w:footnote w:id="24">
    <w:p w14:paraId="724CAF73" w14:textId="6FB1AC39" w:rsidR="005F201C" w:rsidRDefault="005F201C">
      <w:pPr>
        <w:pStyle w:val="FootnoteText"/>
      </w:pPr>
      <w:r>
        <w:rPr>
          <w:rStyle w:val="FootnoteReference"/>
        </w:rPr>
        <w:footnoteRef/>
      </w:r>
      <w:r>
        <w:t xml:space="preserve"> </w:t>
      </w:r>
      <w:r>
        <w:rPr>
          <w:rFonts w:cstheme="minorHAnsi"/>
          <w:bCs/>
        </w:rPr>
        <w:t>Taylor, 2001 pp.42</w:t>
      </w:r>
    </w:p>
  </w:footnote>
  <w:footnote w:id="25">
    <w:p w14:paraId="4BC30414" w14:textId="1B7F8AAD" w:rsidR="00D82434" w:rsidRDefault="00D82434">
      <w:pPr>
        <w:pStyle w:val="FootnoteText"/>
      </w:pPr>
      <w:r>
        <w:rPr>
          <w:rStyle w:val="FootnoteReference"/>
        </w:rPr>
        <w:footnoteRef/>
      </w:r>
      <w:r>
        <w:t xml:space="preserve"> </w:t>
      </w:r>
      <w:r>
        <w:rPr>
          <w:rFonts w:cstheme="minorHAnsi"/>
        </w:rPr>
        <w:t>Connor</w:t>
      </w:r>
      <w:r w:rsidRPr="00B6226B">
        <w:rPr>
          <w:rFonts w:cstheme="minorHAnsi"/>
        </w:rPr>
        <w:t>,</w:t>
      </w:r>
      <w:r>
        <w:rPr>
          <w:rFonts w:cstheme="minorHAnsi"/>
        </w:rPr>
        <w:t xml:space="preserve"> </w:t>
      </w:r>
      <w:r w:rsidRPr="00B6226B">
        <w:rPr>
          <w:rFonts w:cstheme="minorHAnsi"/>
        </w:rPr>
        <w:t>T</w:t>
      </w:r>
      <w:r>
        <w:rPr>
          <w:rFonts w:cstheme="minorHAnsi"/>
        </w:rPr>
        <w:t xml:space="preserve">avier &amp; </w:t>
      </w:r>
      <w:r w:rsidRPr="00B6226B">
        <w:rPr>
          <w:rFonts w:cstheme="minorHAnsi"/>
        </w:rPr>
        <w:t>P</w:t>
      </w:r>
      <w:r>
        <w:rPr>
          <w:rFonts w:cstheme="minorHAnsi"/>
        </w:rPr>
        <w:t>utter, pp. 298</w:t>
      </w:r>
    </w:p>
  </w:footnote>
  <w:footnote w:id="26">
    <w:p w14:paraId="68E68D8A" w14:textId="746E9D38" w:rsidR="00D82434" w:rsidRDefault="00D82434">
      <w:pPr>
        <w:pStyle w:val="FootnoteText"/>
      </w:pPr>
      <w:r>
        <w:rPr>
          <w:rStyle w:val="FootnoteReference"/>
        </w:rPr>
        <w:footnoteRef/>
      </w:r>
      <w:r>
        <w:t xml:space="preserve"> CWGC, 2021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6C4783" w14:textId="4CCECBE5" w:rsidR="001D0987" w:rsidRDefault="001D0987" w:rsidP="001D0987">
    <w:r w:rsidRPr="000C2CD2">
      <w:t xml:space="preserve">Clements_1902715_Block </w:t>
    </w:r>
    <w:r>
      <w:t>Four</w:t>
    </w:r>
    <w:r w:rsidRPr="000C2CD2">
      <w:t>_ HPA</w:t>
    </w:r>
    <w:r>
      <w:t>H5</w:t>
    </w:r>
    <w:r w:rsidRPr="000C2CD2">
      <w:t>0</w:t>
    </w:r>
    <w:r>
      <w:t>11</w:t>
    </w:r>
    <w:r w:rsidRPr="000C2CD2">
      <w:t xml:space="preserve">_ </w:t>
    </w:r>
    <w:r>
      <w:t>Museum Catalogue Entry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48135E"/>
    <w:multiLevelType w:val="hybridMultilevel"/>
    <w:tmpl w:val="020E1934"/>
    <w:lvl w:ilvl="0" w:tplc="04090001">
      <w:start w:val="1"/>
      <w:numFmt w:val="bullet"/>
      <w:lvlText w:val=""/>
      <w:lvlJc w:val="left"/>
      <w:pPr>
        <w:ind w:left="405" w:hanging="360"/>
      </w:pPr>
      <w:rPr>
        <w:rFonts w:ascii="Symbol" w:hAnsi="Symbol" w:hint="default"/>
      </w:rPr>
    </w:lvl>
    <w:lvl w:ilvl="1" w:tplc="04090003" w:tentative="1">
      <w:start w:val="1"/>
      <w:numFmt w:val="bullet"/>
      <w:lvlText w:val="o"/>
      <w:lvlJc w:val="left"/>
      <w:pPr>
        <w:ind w:left="1125" w:hanging="360"/>
      </w:pPr>
      <w:rPr>
        <w:rFonts w:ascii="Courier New" w:hAnsi="Courier New" w:cs="Courier New" w:hint="default"/>
      </w:rPr>
    </w:lvl>
    <w:lvl w:ilvl="2" w:tplc="04090005" w:tentative="1">
      <w:start w:val="1"/>
      <w:numFmt w:val="bullet"/>
      <w:lvlText w:val=""/>
      <w:lvlJc w:val="left"/>
      <w:pPr>
        <w:ind w:left="1845" w:hanging="360"/>
      </w:pPr>
      <w:rPr>
        <w:rFonts w:ascii="Wingdings" w:hAnsi="Wingdings" w:hint="default"/>
      </w:rPr>
    </w:lvl>
    <w:lvl w:ilvl="3" w:tplc="04090001" w:tentative="1">
      <w:start w:val="1"/>
      <w:numFmt w:val="bullet"/>
      <w:lvlText w:val=""/>
      <w:lvlJc w:val="left"/>
      <w:pPr>
        <w:ind w:left="2565" w:hanging="360"/>
      </w:pPr>
      <w:rPr>
        <w:rFonts w:ascii="Symbol" w:hAnsi="Symbol" w:hint="default"/>
      </w:rPr>
    </w:lvl>
    <w:lvl w:ilvl="4" w:tplc="04090003" w:tentative="1">
      <w:start w:val="1"/>
      <w:numFmt w:val="bullet"/>
      <w:lvlText w:val="o"/>
      <w:lvlJc w:val="left"/>
      <w:pPr>
        <w:ind w:left="3285" w:hanging="360"/>
      </w:pPr>
      <w:rPr>
        <w:rFonts w:ascii="Courier New" w:hAnsi="Courier New" w:cs="Courier New" w:hint="default"/>
      </w:rPr>
    </w:lvl>
    <w:lvl w:ilvl="5" w:tplc="04090005" w:tentative="1">
      <w:start w:val="1"/>
      <w:numFmt w:val="bullet"/>
      <w:lvlText w:val=""/>
      <w:lvlJc w:val="left"/>
      <w:pPr>
        <w:ind w:left="4005" w:hanging="360"/>
      </w:pPr>
      <w:rPr>
        <w:rFonts w:ascii="Wingdings" w:hAnsi="Wingdings" w:hint="default"/>
      </w:rPr>
    </w:lvl>
    <w:lvl w:ilvl="6" w:tplc="04090001" w:tentative="1">
      <w:start w:val="1"/>
      <w:numFmt w:val="bullet"/>
      <w:lvlText w:val=""/>
      <w:lvlJc w:val="left"/>
      <w:pPr>
        <w:ind w:left="4725" w:hanging="360"/>
      </w:pPr>
      <w:rPr>
        <w:rFonts w:ascii="Symbol" w:hAnsi="Symbol" w:hint="default"/>
      </w:rPr>
    </w:lvl>
    <w:lvl w:ilvl="7" w:tplc="04090003" w:tentative="1">
      <w:start w:val="1"/>
      <w:numFmt w:val="bullet"/>
      <w:lvlText w:val="o"/>
      <w:lvlJc w:val="left"/>
      <w:pPr>
        <w:ind w:left="5445" w:hanging="360"/>
      </w:pPr>
      <w:rPr>
        <w:rFonts w:ascii="Courier New" w:hAnsi="Courier New" w:cs="Courier New" w:hint="default"/>
      </w:rPr>
    </w:lvl>
    <w:lvl w:ilvl="8" w:tplc="04090005" w:tentative="1">
      <w:start w:val="1"/>
      <w:numFmt w:val="bullet"/>
      <w:lvlText w:val=""/>
      <w:lvlJc w:val="left"/>
      <w:pPr>
        <w:ind w:left="6165" w:hanging="360"/>
      </w:pPr>
      <w:rPr>
        <w:rFonts w:ascii="Wingdings" w:hAnsi="Wingdings" w:hint="default"/>
      </w:rPr>
    </w:lvl>
  </w:abstractNum>
  <w:abstractNum w:abstractNumId="1" w15:restartNumberingAfterBreak="0">
    <w:nsid w:val="1EED1D5F"/>
    <w:multiLevelType w:val="hybridMultilevel"/>
    <w:tmpl w:val="35F459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A500D3"/>
    <w:multiLevelType w:val="hybridMultilevel"/>
    <w:tmpl w:val="9B383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B57AD4"/>
    <w:multiLevelType w:val="hybridMultilevel"/>
    <w:tmpl w:val="D2DA8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C3012B"/>
    <w:multiLevelType w:val="hybridMultilevel"/>
    <w:tmpl w:val="F9AA9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734ECB"/>
    <w:multiLevelType w:val="hybridMultilevel"/>
    <w:tmpl w:val="4B7C2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987"/>
    <w:rsid w:val="000151D7"/>
    <w:rsid w:val="00022C4C"/>
    <w:rsid w:val="0005244A"/>
    <w:rsid w:val="000B4A40"/>
    <w:rsid w:val="000D0181"/>
    <w:rsid w:val="000D0831"/>
    <w:rsid w:val="000D66C0"/>
    <w:rsid w:val="000E2A1C"/>
    <w:rsid w:val="000E6623"/>
    <w:rsid w:val="000F2FCE"/>
    <w:rsid w:val="00117028"/>
    <w:rsid w:val="0012402C"/>
    <w:rsid w:val="001415D3"/>
    <w:rsid w:val="00150482"/>
    <w:rsid w:val="0015520B"/>
    <w:rsid w:val="00187B52"/>
    <w:rsid w:val="00194912"/>
    <w:rsid w:val="001B0916"/>
    <w:rsid w:val="001B7642"/>
    <w:rsid w:val="001D0987"/>
    <w:rsid w:val="001D3F32"/>
    <w:rsid w:val="001D5A43"/>
    <w:rsid w:val="001F033E"/>
    <w:rsid w:val="001F0F72"/>
    <w:rsid w:val="001F4F86"/>
    <w:rsid w:val="00211A4C"/>
    <w:rsid w:val="0027014F"/>
    <w:rsid w:val="002745CD"/>
    <w:rsid w:val="002A6106"/>
    <w:rsid w:val="002C1A9F"/>
    <w:rsid w:val="002F52D1"/>
    <w:rsid w:val="00311D8F"/>
    <w:rsid w:val="00322714"/>
    <w:rsid w:val="003258E0"/>
    <w:rsid w:val="00325A49"/>
    <w:rsid w:val="0034483F"/>
    <w:rsid w:val="00355133"/>
    <w:rsid w:val="003752ED"/>
    <w:rsid w:val="00395567"/>
    <w:rsid w:val="003A4CD6"/>
    <w:rsid w:val="003C0C0A"/>
    <w:rsid w:val="00401D79"/>
    <w:rsid w:val="00416A24"/>
    <w:rsid w:val="00426604"/>
    <w:rsid w:val="00432818"/>
    <w:rsid w:val="00484340"/>
    <w:rsid w:val="004913F9"/>
    <w:rsid w:val="00492897"/>
    <w:rsid w:val="00494885"/>
    <w:rsid w:val="004C5F33"/>
    <w:rsid w:val="004F6EE8"/>
    <w:rsid w:val="00512342"/>
    <w:rsid w:val="005158EC"/>
    <w:rsid w:val="005542C9"/>
    <w:rsid w:val="00557F9F"/>
    <w:rsid w:val="0057601B"/>
    <w:rsid w:val="005F01A0"/>
    <w:rsid w:val="005F201C"/>
    <w:rsid w:val="005F5FC9"/>
    <w:rsid w:val="00602F97"/>
    <w:rsid w:val="00617BFC"/>
    <w:rsid w:val="00632E8A"/>
    <w:rsid w:val="00661C4E"/>
    <w:rsid w:val="00675587"/>
    <w:rsid w:val="0069359F"/>
    <w:rsid w:val="00696B93"/>
    <w:rsid w:val="006B768C"/>
    <w:rsid w:val="006F3029"/>
    <w:rsid w:val="00710EFE"/>
    <w:rsid w:val="0071783A"/>
    <w:rsid w:val="00736E90"/>
    <w:rsid w:val="00737FDC"/>
    <w:rsid w:val="00740018"/>
    <w:rsid w:val="007430A9"/>
    <w:rsid w:val="00764261"/>
    <w:rsid w:val="00774BE8"/>
    <w:rsid w:val="00775ED1"/>
    <w:rsid w:val="007A2755"/>
    <w:rsid w:val="007B2188"/>
    <w:rsid w:val="007B4FF4"/>
    <w:rsid w:val="007B74C3"/>
    <w:rsid w:val="007C08CE"/>
    <w:rsid w:val="00811ABD"/>
    <w:rsid w:val="008159CE"/>
    <w:rsid w:val="00815BFA"/>
    <w:rsid w:val="00816220"/>
    <w:rsid w:val="0082292C"/>
    <w:rsid w:val="00831ABD"/>
    <w:rsid w:val="0083434D"/>
    <w:rsid w:val="00870FDA"/>
    <w:rsid w:val="00894F16"/>
    <w:rsid w:val="008A1B7E"/>
    <w:rsid w:val="008B5AF2"/>
    <w:rsid w:val="008B62AD"/>
    <w:rsid w:val="008C1DB7"/>
    <w:rsid w:val="008D2566"/>
    <w:rsid w:val="008E73E8"/>
    <w:rsid w:val="008F18A5"/>
    <w:rsid w:val="008F5A3D"/>
    <w:rsid w:val="00907A65"/>
    <w:rsid w:val="00915351"/>
    <w:rsid w:val="00915565"/>
    <w:rsid w:val="00935C6B"/>
    <w:rsid w:val="00956022"/>
    <w:rsid w:val="0098179B"/>
    <w:rsid w:val="009933BC"/>
    <w:rsid w:val="009A2F14"/>
    <w:rsid w:val="009B2A1F"/>
    <w:rsid w:val="009B2A89"/>
    <w:rsid w:val="00A04A62"/>
    <w:rsid w:val="00A055B0"/>
    <w:rsid w:val="00A376B2"/>
    <w:rsid w:val="00A85377"/>
    <w:rsid w:val="00AF2E84"/>
    <w:rsid w:val="00AF481E"/>
    <w:rsid w:val="00AF7673"/>
    <w:rsid w:val="00B268C1"/>
    <w:rsid w:val="00B31CDA"/>
    <w:rsid w:val="00B33756"/>
    <w:rsid w:val="00B425C1"/>
    <w:rsid w:val="00B52C7E"/>
    <w:rsid w:val="00B73271"/>
    <w:rsid w:val="00B92884"/>
    <w:rsid w:val="00BA17B7"/>
    <w:rsid w:val="00BA2463"/>
    <w:rsid w:val="00BA6E5D"/>
    <w:rsid w:val="00BC2871"/>
    <w:rsid w:val="00BC43CB"/>
    <w:rsid w:val="00BD13CE"/>
    <w:rsid w:val="00BF4E14"/>
    <w:rsid w:val="00C3163C"/>
    <w:rsid w:val="00C82569"/>
    <w:rsid w:val="00C927AF"/>
    <w:rsid w:val="00C936A4"/>
    <w:rsid w:val="00CC269F"/>
    <w:rsid w:val="00CD6A14"/>
    <w:rsid w:val="00CF32F9"/>
    <w:rsid w:val="00D33CAC"/>
    <w:rsid w:val="00D36381"/>
    <w:rsid w:val="00D41523"/>
    <w:rsid w:val="00D544AB"/>
    <w:rsid w:val="00D82434"/>
    <w:rsid w:val="00DC63D7"/>
    <w:rsid w:val="00DF426C"/>
    <w:rsid w:val="00E11777"/>
    <w:rsid w:val="00E12D87"/>
    <w:rsid w:val="00E147B2"/>
    <w:rsid w:val="00E30E36"/>
    <w:rsid w:val="00E66808"/>
    <w:rsid w:val="00E73AE0"/>
    <w:rsid w:val="00E7782C"/>
    <w:rsid w:val="00E9698B"/>
    <w:rsid w:val="00ED54D4"/>
    <w:rsid w:val="00EF11B4"/>
    <w:rsid w:val="00F66F38"/>
    <w:rsid w:val="00F6748B"/>
    <w:rsid w:val="00F94FEF"/>
    <w:rsid w:val="00FB11F9"/>
    <w:rsid w:val="00FB1256"/>
    <w:rsid w:val="00FC04CD"/>
    <w:rsid w:val="00FE403B"/>
    <w:rsid w:val="039A89B0"/>
    <w:rsid w:val="052923F9"/>
    <w:rsid w:val="08816B51"/>
    <w:rsid w:val="0A92D9E7"/>
    <w:rsid w:val="0B67FAB4"/>
    <w:rsid w:val="0C8FDD6B"/>
    <w:rsid w:val="0DB02344"/>
    <w:rsid w:val="0E598629"/>
    <w:rsid w:val="104721A0"/>
    <w:rsid w:val="10F9704B"/>
    <w:rsid w:val="13EA2B0E"/>
    <w:rsid w:val="17C9ED2D"/>
    <w:rsid w:val="1801FC8E"/>
    <w:rsid w:val="1BC004BB"/>
    <w:rsid w:val="20DAC835"/>
    <w:rsid w:val="218D9139"/>
    <w:rsid w:val="2559862A"/>
    <w:rsid w:val="29198133"/>
    <w:rsid w:val="2A4FDD35"/>
    <w:rsid w:val="2BB5B428"/>
    <w:rsid w:val="2C33621A"/>
    <w:rsid w:val="2ED962D2"/>
    <w:rsid w:val="30DFA9A6"/>
    <w:rsid w:val="38E461A4"/>
    <w:rsid w:val="39E7CE4C"/>
    <w:rsid w:val="3AFCD396"/>
    <w:rsid w:val="3CFE1856"/>
    <w:rsid w:val="4B73F2C3"/>
    <w:rsid w:val="4D66AEC9"/>
    <w:rsid w:val="4E2646AF"/>
    <w:rsid w:val="5061B0C7"/>
    <w:rsid w:val="51417F41"/>
    <w:rsid w:val="5496D898"/>
    <w:rsid w:val="56BA2247"/>
    <w:rsid w:val="5A8F2165"/>
    <w:rsid w:val="638E5AE4"/>
    <w:rsid w:val="6709C3A5"/>
    <w:rsid w:val="674E55ED"/>
    <w:rsid w:val="6A452FE1"/>
    <w:rsid w:val="6EF4A5B4"/>
    <w:rsid w:val="70DADD25"/>
    <w:rsid w:val="73554025"/>
    <w:rsid w:val="75DEEB38"/>
    <w:rsid w:val="76B27947"/>
    <w:rsid w:val="787B7EF2"/>
    <w:rsid w:val="7E06DE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C5868"/>
  <w14:defaultImageDpi w14:val="32767"/>
  <w15:chartTrackingRefBased/>
  <w15:docId w15:val="{843ADBA3-B039-3440-AECE-6A5E5F5F7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15BF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1DB7"/>
    <w:pPr>
      <w:keepNext/>
      <w:keepLines/>
      <w:spacing w:before="40" w:line="276" w:lineRule="auto"/>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0987"/>
    <w:pPr>
      <w:tabs>
        <w:tab w:val="center" w:pos="4680"/>
        <w:tab w:val="right" w:pos="9360"/>
      </w:tabs>
    </w:pPr>
  </w:style>
  <w:style w:type="character" w:customStyle="1" w:styleId="HeaderChar">
    <w:name w:val="Header Char"/>
    <w:basedOn w:val="DefaultParagraphFont"/>
    <w:link w:val="Header"/>
    <w:uiPriority w:val="99"/>
    <w:rsid w:val="001D0987"/>
    <w:rPr>
      <w:lang w:val="en-GB"/>
    </w:rPr>
  </w:style>
  <w:style w:type="paragraph" w:styleId="Footer">
    <w:name w:val="footer"/>
    <w:basedOn w:val="Normal"/>
    <w:link w:val="FooterChar"/>
    <w:uiPriority w:val="99"/>
    <w:unhideWhenUsed/>
    <w:rsid w:val="001D0987"/>
    <w:pPr>
      <w:tabs>
        <w:tab w:val="center" w:pos="4680"/>
        <w:tab w:val="right" w:pos="9360"/>
      </w:tabs>
    </w:pPr>
  </w:style>
  <w:style w:type="character" w:customStyle="1" w:styleId="FooterChar">
    <w:name w:val="Footer Char"/>
    <w:basedOn w:val="DefaultParagraphFont"/>
    <w:link w:val="Footer"/>
    <w:uiPriority w:val="99"/>
    <w:rsid w:val="001D0987"/>
    <w:rPr>
      <w:lang w:val="en-GB"/>
    </w:rPr>
  </w:style>
  <w:style w:type="character" w:customStyle="1" w:styleId="Heading2Char">
    <w:name w:val="Heading 2 Char"/>
    <w:basedOn w:val="DefaultParagraphFont"/>
    <w:link w:val="Heading2"/>
    <w:uiPriority w:val="9"/>
    <w:rsid w:val="008C1DB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C1DB7"/>
    <w:pPr>
      <w:spacing w:after="200" w:line="276" w:lineRule="auto"/>
      <w:ind w:left="720"/>
      <w:contextualSpacing/>
    </w:pPr>
    <w:rPr>
      <w:rFonts w:ascii="Calibri" w:eastAsia="Times New Roman" w:hAnsi="Calibri" w:cs="Times New Roman"/>
      <w:sz w:val="22"/>
      <w:szCs w:val="22"/>
      <w:lang w:val="en-US"/>
    </w:rPr>
  </w:style>
  <w:style w:type="character" w:styleId="Hyperlink">
    <w:name w:val="Hyperlink"/>
    <w:basedOn w:val="DefaultParagraphFont"/>
    <w:uiPriority w:val="99"/>
    <w:rsid w:val="008C1DB7"/>
    <w:rPr>
      <w:rFonts w:cs="Times New Roman"/>
      <w:color w:val="0000FF"/>
      <w:u w:val="single"/>
    </w:rPr>
  </w:style>
  <w:style w:type="character" w:styleId="FollowedHyperlink">
    <w:name w:val="FollowedHyperlink"/>
    <w:basedOn w:val="DefaultParagraphFont"/>
    <w:uiPriority w:val="99"/>
    <w:semiHidden/>
    <w:unhideWhenUsed/>
    <w:rsid w:val="00696B93"/>
    <w:rPr>
      <w:color w:val="954F72" w:themeColor="followedHyperlink"/>
      <w:u w:val="single"/>
    </w:rPr>
  </w:style>
  <w:style w:type="character" w:customStyle="1" w:styleId="Heading1Char">
    <w:name w:val="Heading 1 Char"/>
    <w:basedOn w:val="DefaultParagraphFont"/>
    <w:link w:val="Heading1"/>
    <w:uiPriority w:val="9"/>
    <w:rsid w:val="00815BFA"/>
    <w:rPr>
      <w:rFonts w:asciiTheme="majorHAnsi" w:eastAsiaTheme="majorEastAsia" w:hAnsiTheme="majorHAnsi" w:cstheme="majorBidi"/>
      <w:color w:val="2F5496" w:themeColor="accent1" w:themeShade="BF"/>
      <w:sz w:val="32"/>
      <w:szCs w:val="32"/>
      <w:lang w:val="en-GB"/>
    </w:rPr>
  </w:style>
  <w:style w:type="paragraph" w:styleId="FootnoteText">
    <w:name w:val="footnote text"/>
    <w:basedOn w:val="Normal"/>
    <w:link w:val="FootnoteTextChar"/>
    <w:uiPriority w:val="99"/>
    <w:semiHidden/>
    <w:unhideWhenUsed/>
    <w:rsid w:val="001415D3"/>
    <w:rPr>
      <w:sz w:val="20"/>
      <w:szCs w:val="20"/>
    </w:rPr>
  </w:style>
  <w:style w:type="character" w:customStyle="1" w:styleId="FootnoteTextChar">
    <w:name w:val="Footnote Text Char"/>
    <w:basedOn w:val="DefaultParagraphFont"/>
    <w:link w:val="FootnoteText"/>
    <w:uiPriority w:val="99"/>
    <w:semiHidden/>
    <w:rsid w:val="001415D3"/>
    <w:rPr>
      <w:sz w:val="20"/>
      <w:szCs w:val="20"/>
      <w:lang w:val="en-GB"/>
    </w:rPr>
  </w:style>
  <w:style w:type="character" w:styleId="FootnoteReference">
    <w:name w:val="footnote reference"/>
    <w:basedOn w:val="DefaultParagraphFont"/>
    <w:uiPriority w:val="99"/>
    <w:semiHidden/>
    <w:unhideWhenUsed/>
    <w:rsid w:val="001415D3"/>
    <w:rPr>
      <w:vertAlign w:val="superscript"/>
    </w:rPr>
  </w:style>
  <w:style w:type="character" w:styleId="UnresolvedMention">
    <w:name w:val="Unresolved Mention"/>
    <w:basedOn w:val="DefaultParagraphFont"/>
    <w:uiPriority w:val="99"/>
    <w:rsid w:val="009933BC"/>
    <w:rPr>
      <w:color w:val="605E5C"/>
      <w:shd w:val="clear" w:color="auto" w:fill="E1DFDD"/>
    </w:rPr>
  </w:style>
  <w:style w:type="paragraph" w:styleId="Caption">
    <w:name w:val="caption"/>
    <w:basedOn w:val="Normal"/>
    <w:next w:val="Normal"/>
    <w:uiPriority w:val="35"/>
    <w:unhideWhenUsed/>
    <w:qFormat/>
    <w:rsid w:val="00B425C1"/>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172964">
      <w:bodyDiv w:val="1"/>
      <w:marLeft w:val="0"/>
      <w:marRight w:val="0"/>
      <w:marTop w:val="0"/>
      <w:marBottom w:val="0"/>
      <w:divBdr>
        <w:top w:val="none" w:sz="0" w:space="0" w:color="auto"/>
        <w:left w:val="none" w:sz="0" w:space="0" w:color="auto"/>
        <w:bottom w:val="none" w:sz="0" w:space="0" w:color="auto"/>
        <w:right w:val="none" w:sz="0" w:space="0" w:color="auto"/>
      </w:divBdr>
    </w:div>
    <w:div w:id="110056126">
      <w:bodyDiv w:val="1"/>
      <w:marLeft w:val="0"/>
      <w:marRight w:val="0"/>
      <w:marTop w:val="0"/>
      <w:marBottom w:val="0"/>
      <w:divBdr>
        <w:top w:val="none" w:sz="0" w:space="0" w:color="auto"/>
        <w:left w:val="none" w:sz="0" w:space="0" w:color="auto"/>
        <w:bottom w:val="none" w:sz="0" w:space="0" w:color="auto"/>
        <w:right w:val="none" w:sz="0" w:space="0" w:color="auto"/>
      </w:divBdr>
    </w:div>
    <w:div w:id="411389518">
      <w:bodyDiv w:val="1"/>
      <w:marLeft w:val="0"/>
      <w:marRight w:val="0"/>
      <w:marTop w:val="0"/>
      <w:marBottom w:val="0"/>
      <w:divBdr>
        <w:top w:val="none" w:sz="0" w:space="0" w:color="auto"/>
        <w:left w:val="none" w:sz="0" w:space="0" w:color="auto"/>
        <w:bottom w:val="none" w:sz="0" w:space="0" w:color="auto"/>
        <w:right w:val="none" w:sz="0" w:space="0" w:color="auto"/>
      </w:divBdr>
    </w:div>
    <w:div w:id="534462793">
      <w:bodyDiv w:val="1"/>
      <w:marLeft w:val="0"/>
      <w:marRight w:val="0"/>
      <w:marTop w:val="0"/>
      <w:marBottom w:val="0"/>
      <w:divBdr>
        <w:top w:val="none" w:sz="0" w:space="0" w:color="auto"/>
        <w:left w:val="none" w:sz="0" w:space="0" w:color="auto"/>
        <w:bottom w:val="none" w:sz="0" w:space="0" w:color="auto"/>
        <w:right w:val="none" w:sz="0" w:space="0" w:color="auto"/>
      </w:divBdr>
    </w:div>
    <w:div w:id="658459322">
      <w:bodyDiv w:val="1"/>
      <w:marLeft w:val="0"/>
      <w:marRight w:val="0"/>
      <w:marTop w:val="0"/>
      <w:marBottom w:val="0"/>
      <w:divBdr>
        <w:top w:val="none" w:sz="0" w:space="0" w:color="auto"/>
        <w:left w:val="none" w:sz="0" w:space="0" w:color="auto"/>
        <w:bottom w:val="none" w:sz="0" w:space="0" w:color="auto"/>
        <w:right w:val="none" w:sz="0" w:space="0" w:color="auto"/>
      </w:divBdr>
      <w:divsChild>
        <w:div w:id="441193718">
          <w:marLeft w:val="360"/>
          <w:marRight w:val="0"/>
          <w:marTop w:val="200"/>
          <w:marBottom w:val="0"/>
          <w:divBdr>
            <w:top w:val="none" w:sz="0" w:space="0" w:color="auto"/>
            <w:left w:val="none" w:sz="0" w:space="0" w:color="auto"/>
            <w:bottom w:val="none" w:sz="0" w:space="0" w:color="auto"/>
            <w:right w:val="none" w:sz="0" w:space="0" w:color="auto"/>
          </w:divBdr>
        </w:div>
      </w:divsChild>
    </w:div>
    <w:div w:id="749887268">
      <w:bodyDiv w:val="1"/>
      <w:marLeft w:val="0"/>
      <w:marRight w:val="0"/>
      <w:marTop w:val="0"/>
      <w:marBottom w:val="0"/>
      <w:divBdr>
        <w:top w:val="none" w:sz="0" w:space="0" w:color="auto"/>
        <w:left w:val="none" w:sz="0" w:space="0" w:color="auto"/>
        <w:bottom w:val="none" w:sz="0" w:space="0" w:color="auto"/>
        <w:right w:val="none" w:sz="0" w:space="0" w:color="auto"/>
      </w:divBdr>
    </w:div>
    <w:div w:id="756901412">
      <w:bodyDiv w:val="1"/>
      <w:marLeft w:val="0"/>
      <w:marRight w:val="0"/>
      <w:marTop w:val="0"/>
      <w:marBottom w:val="0"/>
      <w:divBdr>
        <w:top w:val="none" w:sz="0" w:space="0" w:color="auto"/>
        <w:left w:val="none" w:sz="0" w:space="0" w:color="auto"/>
        <w:bottom w:val="none" w:sz="0" w:space="0" w:color="auto"/>
        <w:right w:val="none" w:sz="0" w:space="0" w:color="auto"/>
      </w:divBdr>
    </w:div>
    <w:div w:id="785662881">
      <w:bodyDiv w:val="1"/>
      <w:marLeft w:val="0"/>
      <w:marRight w:val="0"/>
      <w:marTop w:val="0"/>
      <w:marBottom w:val="0"/>
      <w:divBdr>
        <w:top w:val="none" w:sz="0" w:space="0" w:color="auto"/>
        <w:left w:val="none" w:sz="0" w:space="0" w:color="auto"/>
        <w:bottom w:val="none" w:sz="0" w:space="0" w:color="auto"/>
        <w:right w:val="none" w:sz="0" w:space="0" w:color="auto"/>
      </w:divBdr>
    </w:div>
    <w:div w:id="862787947">
      <w:bodyDiv w:val="1"/>
      <w:marLeft w:val="0"/>
      <w:marRight w:val="0"/>
      <w:marTop w:val="0"/>
      <w:marBottom w:val="0"/>
      <w:divBdr>
        <w:top w:val="none" w:sz="0" w:space="0" w:color="auto"/>
        <w:left w:val="none" w:sz="0" w:space="0" w:color="auto"/>
        <w:bottom w:val="none" w:sz="0" w:space="0" w:color="auto"/>
        <w:right w:val="none" w:sz="0" w:space="0" w:color="auto"/>
      </w:divBdr>
    </w:div>
    <w:div w:id="966623039">
      <w:bodyDiv w:val="1"/>
      <w:marLeft w:val="0"/>
      <w:marRight w:val="0"/>
      <w:marTop w:val="0"/>
      <w:marBottom w:val="0"/>
      <w:divBdr>
        <w:top w:val="none" w:sz="0" w:space="0" w:color="auto"/>
        <w:left w:val="none" w:sz="0" w:space="0" w:color="auto"/>
        <w:bottom w:val="none" w:sz="0" w:space="0" w:color="auto"/>
        <w:right w:val="none" w:sz="0" w:space="0" w:color="auto"/>
      </w:divBdr>
      <w:divsChild>
        <w:div w:id="870845846">
          <w:marLeft w:val="0"/>
          <w:marRight w:val="0"/>
          <w:marTop w:val="0"/>
          <w:marBottom w:val="0"/>
          <w:divBdr>
            <w:top w:val="none" w:sz="0" w:space="0" w:color="auto"/>
            <w:left w:val="none" w:sz="0" w:space="0" w:color="auto"/>
            <w:bottom w:val="none" w:sz="0" w:space="0" w:color="auto"/>
            <w:right w:val="none" w:sz="0" w:space="0" w:color="auto"/>
          </w:divBdr>
        </w:div>
        <w:div w:id="794522700">
          <w:marLeft w:val="0"/>
          <w:marRight w:val="0"/>
          <w:marTop w:val="0"/>
          <w:marBottom w:val="0"/>
          <w:divBdr>
            <w:top w:val="none" w:sz="0" w:space="0" w:color="auto"/>
            <w:left w:val="none" w:sz="0" w:space="0" w:color="auto"/>
            <w:bottom w:val="none" w:sz="0" w:space="0" w:color="auto"/>
            <w:right w:val="none" w:sz="0" w:space="0" w:color="auto"/>
          </w:divBdr>
        </w:div>
        <w:div w:id="662782318">
          <w:marLeft w:val="0"/>
          <w:marRight w:val="0"/>
          <w:marTop w:val="0"/>
          <w:marBottom w:val="0"/>
          <w:divBdr>
            <w:top w:val="none" w:sz="0" w:space="0" w:color="auto"/>
            <w:left w:val="none" w:sz="0" w:space="0" w:color="auto"/>
            <w:bottom w:val="none" w:sz="0" w:space="0" w:color="auto"/>
            <w:right w:val="none" w:sz="0" w:space="0" w:color="auto"/>
          </w:divBdr>
        </w:div>
      </w:divsChild>
    </w:div>
    <w:div w:id="1070929781">
      <w:bodyDiv w:val="1"/>
      <w:marLeft w:val="0"/>
      <w:marRight w:val="0"/>
      <w:marTop w:val="0"/>
      <w:marBottom w:val="0"/>
      <w:divBdr>
        <w:top w:val="none" w:sz="0" w:space="0" w:color="auto"/>
        <w:left w:val="none" w:sz="0" w:space="0" w:color="auto"/>
        <w:bottom w:val="none" w:sz="0" w:space="0" w:color="auto"/>
        <w:right w:val="none" w:sz="0" w:space="0" w:color="auto"/>
      </w:divBdr>
    </w:div>
    <w:div w:id="1463495499">
      <w:bodyDiv w:val="1"/>
      <w:marLeft w:val="0"/>
      <w:marRight w:val="0"/>
      <w:marTop w:val="0"/>
      <w:marBottom w:val="0"/>
      <w:divBdr>
        <w:top w:val="none" w:sz="0" w:space="0" w:color="auto"/>
        <w:left w:val="none" w:sz="0" w:space="0" w:color="auto"/>
        <w:bottom w:val="none" w:sz="0" w:space="0" w:color="auto"/>
        <w:right w:val="none" w:sz="0" w:space="0" w:color="auto"/>
      </w:divBdr>
      <w:divsChild>
        <w:div w:id="22749164">
          <w:marLeft w:val="0"/>
          <w:marRight w:val="0"/>
          <w:marTop w:val="0"/>
          <w:marBottom w:val="0"/>
          <w:divBdr>
            <w:top w:val="none" w:sz="0" w:space="0" w:color="auto"/>
            <w:left w:val="none" w:sz="0" w:space="0" w:color="auto"/>
            <w:bottom w:val="none" w:sz="0" w:space="0" w:color="auto"/>
            <w:right w:val="none" w:sz="0" w:space="0" w:color="auto"/>
          </w:divBdr>
        </w:div>
        <w:div w:id="1091702525">
          <w:marLeft w:val="0"/>
          <w:marRight w:val="0"/>
          <w:marTop w:val="0"/>
          <w:marBottom w:val="0"/>
          <w:divBdr>
            <w:top w:val="none" w:sz="0" w:space="0" w:color="auto"/>
            <w:left w:val="none" w:sz="0" w:space="0" w:color="auto"/>
            <w:bottom w:val="none" w:sz="0" w:space="0" w:color="auto"/>
            <w:right w:val="none" w:sz="0" w:space="0" w:color="auto"/>
          </w:divBdr>
        </w:div>
        <w:div w:id="49161030">
          <w:marLeft w:val="0"/>
          <w:marRight w:val="0"/>
          <w:marTop w:val="0"/>
          <w:marBottom w:val="0"/>
          <w:divBdr>
            <w:top w:val="none" w:sz="0" w:space="0" w:color="auto"/>
            <w:left w:val="none" w:sz="0" w:space="0" w:color="auto"/>
            <w:bottom w:val="none" w:sz="0" w:space="0" w:color="auto"/>
            <w:right w:val="none" w:sz="0" w:space="0" w:color="auto"/>
          </w:divBdr>
        </w:div>
      </w:divsChild>
    </w:div>
    <w:div w:id="1503206763">
      <w:bodyDiv w:val="1"/>
      <w:marLeft w:val="0"/>
      <w:marRight w:val="0"/>
      <w:marTop w:val="0"/>
      <w:marBottom w:val="0"/>
      <w:divBdr>
        <w:top w:val="none" w:sz="0" w:space="0" w:color="auto"/>
        <w:left w:val="none" w:sz="0" w:space="0" w:color="auto"/>
        <w:bottom w:val="none" w:sz="0" w:space="0" w:color="auto"/>
        <w:right w:val="none" w:sz="0" w:space="0" w:color="auto"/>
      </w:divBdr>
    </w:div>
    <w:div w:id="1573346997">
      <w:bodyDiv w:val="1"/>
      <w:marLeft w:val="0"/>
      <w:marRight w:val="0"/>
      <w:marTop w:val="0"/>
      <w:marBottom w:val="0"/>
      <w:divBdr>
        <w:top w:val="none" w:sz="0" w:space="0" w:color="auto"/>
        <w:left w:val="none" w:sz="0" w:space="0" w:color="auto"/>
        <w:bottom w:val="none" w:sz="0" w:space="0" w:color="auto"/>
        <w:right w:val="none" w:sz="0" w:space="0" w:color="auto"/>
      </w:divBdr>
    </w:div>
    <w:div w:id="1595015909">
      <w:bodyDiv w:val="1"/>
      <w:marLeft w:val="0"/>
      <w:marRight w:val="0"/>
      <w:marTop w:val="0"/>
      <w:marBottom w:val="0"/>
      <w:divBdr>
        <w:top w:val="none" w:sz="0" w:space="0" w:color="auto"/>
        <w:left w:val="none" w:sz="0" w:space="0" w:color="auto"/>
        <w:bottom w:val="none" w:sz="0" w:space="0" w:color="auto"/>
        <w:right w:val="none" w:sz="0" w:space="0" w:color="auto"/>
      </w:divBdr>
      <w:divsChild>
        <w:div w:id="1082945578">
          <w:marLeft w:val="0"/>
          <w:marRight w:val="0"/>
          <w:marTop w:val="0"/>
          <w:marBottom w:val="0"/>
          <w:divBdr>
            <w:top w:val="none" w:sz="0" w:space="0" w:color="auto"/>
            <w:left w:val="none" w:sz="0" w:space="0" w:color="auto"/>
            <w:bottom w:val="none" w:sz="0" w:space="0" w:color="auto"/>
            <w:right w:val="none" w:sz="0" w:space="0" w:color="auto"/>
          </w:divBdr>
        </w:div>
        <w:div w:id="513226750">
          <w:marLeft w:val="0"/>
          <w:marRight w:val="0"/>
          <w:marTop w:val="0"/>
          <w:marBottom w:val="0"/>
          <w:divBdr>
            <w:top w:val="none" w:sz="0" w:space="0" w:color="auto"/>
            <w:left w:val="none" w:sz="0" w:space="0" w:color="auto"/>
            <w:bottom w:val="none" w:sz="0" w:space="0" w:color="auto"/>
            <w:right w:val="none" w:sz="0" w:space="0" w:color="auto"/>
          </w:divBdr>
        </w:div>
        <w:div w:id="568419411">
          <w:marLeft w:val="0"/>
          <w:marRight w:val="0"/>
          <w:marTop w:val="0"/>
          <w:marBottom w:val="0"/>
          <w:divBdr>
            <w:top w:val="none" w:sz="0" w:space="0" w:color="auto"/>
            <w:left w:val="none" w:sz="0" w:space="0" w:color="auto"/>
            <w:bottom w:val="none" w:sz="0" w:space="0" w:color="auto"/>
            <w:right w:val="none" w:sz="0" w:space="0" w:color="auto"/>
          </w:divBdr>
        </w:div>
      </w:divsChild>
    </w:div>
    <w:div w:id="1613588994">
      <w:bodyDiv w:val="1"/>
      <w:marLeft w:val="0"/>
      <w:marRight w:val="0"/>
      <w:marTop w:val="0"/>
      <w:marBottom w:val="0"/>
      <w:divBdr>
        <w:top w:val="none" w:sz="0" w:space="0" w:color="auto"/>
        <w:left w:val="none" w:sz="0" w:space="0" w:color="auto"/>
        <w:bottom w:val="none" w:sz="0" w:space="0" w:color="auto"/>
        <w:right w:val="none" w:sz="0" w:space="0" w:color="auto"/>
      </w:divBdr>
    </w:div>
    <w:div w:id="1640263307">
      <w:bodyDiv w:val="1"/>
      <w:marLeft w:val="0"/>
      <w:marRight w:val="0"/>
      <w:marTop w:val="0"/>
      <w:marBottom w:val="0"/>
      <w:divBdr>
        <w:top w:val="none" w:sz="0" w:space="0" w:color="auto"/>
        <w:left w:val="none" w:sz="0" w:space="0" w:color="auto"/>
        <w:bottom w:val="none" w:sz="0" w:space="0" w:color="auto"/>
        <w:right w:val="none" w:sz="0" w:space="0" w:color="auto"/>
      </w:divBdr>
    </w:div>
    <w:div w:id="1723141066">
      <w:bodyDiv w:val="1"/>
      <w:marLeft w:val="0"/>
      <w:marRight w:val="0"/>
      <w:marTop w:val="0"/>
      <w:marBottom w:val="0"/>
      <w:divBdr>
        <w:top w:val="none" w:sz="0" w:space="0" w:color="auto"/>
        <w:left w:val="none" w:sz="0" w:space="0" w:color="auto"/>
        <w:bottom w:val="none" w:sz="0" w:space="0" w:color="auto"/>
        <w:right w:val="none" w:sz="0" w:space="0" w:color="auto"/>
      </w:divBdr>
      <w:divsChild>
        <w:div w:id="248120149">
          <w:marLeft w:val="0"/>
          <w:marRight w:val="0"/>
          <w:marTop w:val="0"/>
          <w:marBottom w:val="0"/>
          <w:divBdr>
            <w:top w:val="none" w:sz="0" w:space="0" w:color="auto"/>
            <w:left w:val="none" w:sz="0" w:space="0" w:color="auto"/>
            <w:bottom w:val="none" w:sz="0" w:space="0" w:color="auto"/>
            <w:right w:val="none" w:sz="0" w:space="0" w:color="auto"/>
          </w:divBdr>
          <w:divsChild>
            <w:div w:id="214396846">
              <w:marLeft w:val="0"/>
              <w:marRight w:val="0"/>
              <w:marTop w:val="0"/>
              <w:marBottom w:val="0"/>
              <w:divBdr>
                <w:top w:val="none" w:sz="0" w:space="0" w:color="auto"/>
                <w:left w:val="none" w:sz="0" w:space="0" w:color="auto"/>
                <w:bottom w:val="none" w:sz="0" w:space="0" w:color="auto"/>
                <w:right w:val="none" w:sz="0" w:space="0" w:color="auto"/>
              </w:divBdr>
              <w:divsChild>
                <w:div w:id="3165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719882">
      <w:bodyDiv w:val="1"/>
      <w:marLeft w:val="0"/>
      <w:marRight w:val="0"/>
      <w:marTop w:val="0"/>
      <w:marBottom w:val="0"/>
      <w:divBdr>
        <w:top w:val="none" w:sz="0" w:space="0" w:color="auto"/>
        <w:left w:val="none" w:sz="0" w:space="0" w:color="auto"/>
        <w:bottom w:val="none" w:sz="0" w:space="0" w:color="auto"/>
        <w:right w:val="none" w:sz="0" w:space="0" w:color="auto"/>
      </w:divBdr>
    </w:div>
    <w:div w:id="1915699278">
      <w:bodyDiv w:val="1"/>
      <w:marLeft w:val="0"/>
      <w:marRight w:val="0"/>
      <w:marTop w:val="0"/>
      <w:marBottom w:val="0"/>
      <w:divBdr>
        <w:top w:val="none" w:sz="0" w:space="0" w:color="auto"/>
        <w:left w:val="none" w:sz="0" w:space="0" w:color="auto"/>
        <w:bottom w:val="none" w:sz="0" w:space="0" w:color="auto"/>
        <w:right w:val="none" w:sz="0" w:space="0" w:color="auto"/>
      </w:divBdr>
    </w:div>
    <w:div w:id="2068651319">
      <w:bodyDiv w:val="1"/>
      <w:marLeft w:val="0"/>
      <w:marRight w:val="0"/>
      <w:marTop w:val="0"/>
      <w:marBottom w:val="0"/>
      <w:divBdr>
        <w:top w:val="none" w:sz="0" w:space="0" w:color="auto"/>
        <w:left w:val="none" w:sz="0" w:space="0" w:color="auto"/>
        <w:bottom w:val="none" w:sz="0" w:space="0" w:color="auto"/>
        <w:right w:val="none" w:sz="0" w:space="0" w:color="auto"/>
      </w:divBdr>
    </w:div>
    <w:div w:id="2093430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jstor.org/stable/10.2307/26948548"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news.uchicago.edu/story/ancient-urban-villa-shrine-ancestor-worship-discovered-egypt"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britishmuseum.org/collection/object/Y_EA1237"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jstor.org/stable/26379049" TargetMode="External"/><Relationship Id="rId20" Type="http://schemas.openxmlformats.org/officeDocument/2006/relationships/hyperlink" Target="https://escholarship.org/uc/item/59k7832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mb.museum-digital.de/index.php?t=objekt&amp;oges=386&amp;cachesLoaded=true" TargetMode="External"/><Relationship Id="rId5" Type="http://schemas.openxmlformats.org/officeDocument/2006/relationships/numbering" Target="numbering.xml"/><Relationship Id="rId15" Type="http://schemas.openxmlformats.org/officeDocument/2006/relationships/image" Target="media/image5.emf"/><Relationship Id="rId23" Type="http://schemas.openxmlformats.org/officeDocument/2006/relationships/hyperlink" Target="https://www.smb.museum/en/museums-institutions/aegyptisches-museum-und-papyrussammlung/collection-research/collection-highlights/" TargetMode="External"/><Relationship Id="rId10" Type="http://schemas.openxmlformats.org/officeDocument/2006/relationships/endnotes" Target="endnotes.xml"/><Relationship Id="rId19" Type="http://schemas.openxmlformats.org/officeDocument/2006/relationships/hyperlink" Target="https://www.jstor.org/stable/4181231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hyperlink" Target="https://www.pbs.org/wgbh/nova/lostempires/obelisk/cutting.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8" ma:contentTypeDescription="Create a new document." ma:contentTypeScope="" ma:versionID="fd7b481fcd59bed29e2d6c7e45736155">
  <xsd:schema xmlns:xsd="http://www.w3.org/2001/XMLSchema" xmlns:xs="http://www.w3.org/2001/XMLSchema" xmlns:p="http://schemas.microsoft.com/office/2006/metadata/properties" xmlns:ns2="92c24619-d6d5-42cf-b618-23d930ad9f20" targetNamespace="http://schemas.microsoft.com/office/2006/metadata/properties" ma:root="true" ma:fieldsID="00010286ae7fb26e7639a7a1dc8e146c"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7B5550E-3791-4B41-9140-AC10138539C9}">
  <ds:schemaRefs>
    <ds:schemaRef ds:uri="http://schemas.openxmlformats.org/officeDocument/2006/bibliography"/>
  </ds:schemaRefs>
</ds:datastoreItem>
</file>

<file path=customXml/itemProps2.xml><?xml version="1.0" encoding="utf-8"?>
<ds:datastoreItem xmlns:ds="http://schemas.openxmlformats.org/officeDocument/2006/customXml" ds:itemID="{E4ADBFE9-238F-471E-8D70-53AD64461FB3}">
  <ds:schemaRefs>
    <ds:schemaRef ds:uri="http://schemas.microsoft.com/sharepoint/v3/contenttype/forms"/>
  </ds:schemaRefs>
</ds:datastoreItem>
</file>

<file path=customXml/itemProps3.xml><?xml version="1.0" encoding="utf-8"?>
<ds:datastoreItem xmlns:ds="http://schemas.openxmlformats.org/officeDocument/2006/customXml" ds:itemID="{F2C99935-22B5-45AD-8F6A-8F7536DA8B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8A38FF4-4F52-47FA-B57C-88EF1B6CF87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5</Pages>
  <Words>1848</Words>
  <Characters>9797</Characters>
  <Application>Microsoft Office Word</Application>
  <DocSecurity>0</DocSecurity>
  <Lines>195</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Clements (1902715)</dc:creator>
  <cp:keywords/>
  <dc:description/>
  <cp:lastModifiedBy>Lloyd Clements (1902715)</cp:lastModifiedBy>
  <cp:revision>7</cp:revision>
  <dcterms:created xsi:type="dcterms:W3CDTF">2021-02-05T17:23:00Z</dcterms:created>
  <dcterms:modified xsi:type="dcterms:W3CDTF">2021-02-06T21:55:00Z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